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8D962F" w14:textId="6E2DC118" w:rsidR="00CB3596" w:rsidRPr="00E00F13" w:rsidRDefault="00CB3596">
      <w:pPr>
        <w:rPr>
          <w:lang w:val="es-ES"/>
        </w:rPr>
      </w:pPr>
    </w:p>
    <w:p w14:paraId="01AFF91D" w14:textId="77777777" w:rsidR="003F26BE" w:rsidRPr="00E00F13" w:rsidRDefault="003F26BE"/>
    <w:p w14:paraId="7A9BBF93" w14:textId="5FC1B130" w:rsidR="003F26BE" w:rsidRPr="00E00F13" w:rsidRDefault="003F26BE">
      <w:pPr>
        <w:rPr>
          <w:lang w:val="es-ES"/>
        </w:rPr>
      </w:pPr>
    </w:p>
    <w:p w14:paraId="685C4ED9" w14:textId="72816859" w:rsidR="003F26BE" w:rsidRPr="00E00F13" w:rsidRDefault="003F26BE"/>
    <w:p w14:paraId="698D231A" w14:textId="77777777" w:rsidR="00CC68BA" w:rsidRPr="00E00F13" w:rsidRDefault="00CC68BA"/>
    <w:p w14:paraId="4FB0E8E3" w14:textId="77777777" w:rsidR="00322633" w:rsidRPr="00E00F13" w:rsidRDefault="00322633" w:rsidP="003F26BE">
      <w:pPr>
        <w:jc w:val="center"/>
        <w:rPr>
          <w:rFonts w:ascii="Arial" w:hAnsi="Arial" w:cs="Arial"/>
          <w:b/>
          <w:bCs/>
          <w:sz w:val="36"/>
          <w:szCs w:val="36"/>
        </w:rPr>
      </w:pPr>
    </w:p>
    <w:p w14:paraId="65F487AE" w14:textId="2BF3F842" w:rsidR="003F26BE" w:rsidRPr="00E00F13" w:rsidRDefault="003F26BE" w:rsidP="00CC68BA">
      <w:pPr>
        <w:pStyle w:val="Ttulo1"/>
        <w:jc w:val="center"/>
        <w:rPr>
          <w:b/>
          <w:bCs/>
          <w:color w:val="auto"/>
        </w:rPr>
      </w:pPr>
      <w:bookmarkStart w:id="0" w:name="_Toc215607007"/>
      <w:bookmarkStart w:id="1" w:name="_Toc215608539"/>
      <w:bookmarkStart w:id="2" w:name="_Toc216374419"/>
      <w:bookmarkStart w:id="3" w:name="_Toc216378123"/>
      <w:bookmarkStart w:id="4" w:name="_Toc217393250"/>
      <w:bookmarkStart w:id="5" w:name="_Toc217474482"/>
      <w:bookmarkStart w:id="6" w:name="_Toc234242763"/>
      <w:r w:rsidRPr="00E00F13">
        <w:rPr>
          <w:b/>
          <w:bCs/>
          <w:color w:val="auto"/>
        </w:rPr>
        <w:t xml:space="preserve">Lineamientos de política </w:t>
      </w:r>
      <w:r w:rsidR="00FB0D3C" w:rsidRPr="00E00F13">
        <w:rPr>
          <w:b/>
          <w:bCs/>
          <w:color w:val="auto"/>
        </w:rPr>
        <w:t>Nuestro</w:t>
      </w:r>
      <w:r w:rsidRPr="00E00F13">
        <w:rPr>
          <w:b/>
          <w:bCs/>
          <w:color w:val="auto"/>
        </w:rPr>
        <w:t xml:space="preserve"> Hábitat </w:t>
      </w:r>
      <w:bookmarkEnd w:id="0"/>
      <w:bookmarkEnd w:id="1"/>
      <w:bookmarkEnd w:id="2"/>
      <w:bookmarkEnd w:id="3"/>
      <w:r w:rsidRPr="00E00F13">
        <w:rPr>
          <w:b/>
          <w:bCs/>
          <w:color w:val="auto"/>
        </w:rPr>
        <w:t>Biodiverso</w:t>
      </w:r>
      <w:bookmarkEnd w:id="4"/>
      <w:bookmarkEnd w:id="5"/>
      <w:bookmarkEnd w:id="6"/>
    </w:p>
    <w:p w14:paraId="71060EE7" w14:textId="1F5A424D" w:rsidR="003F26BE" w:rsidRPr="00E00F13" w:rsidRDefault="00477E26" w:rsidP="00CC68BA">
      <w:pPr>
        <w:pStyle w:val="Ttulo1"/>
        <w:jc w:val="center"/>
        <w:rPr>
          <w:b/>
          <w:bCs/>
          <w:color w:val="auto"/>
        </w:rPr>
      </w:pPr>
      <w:bookmarkStart w:id="7" w:name="_Toc215607008"/>
      <w:bookmarkStart w:id="8" w:name="_Toc215608540"/>
      <w:bookmarkStart w:id="9" w:name="_Toc216374420"/>
      <w:bookmarkStart w:id="10" w:name="_Toc216378124"/>
      <w:bookmarkStart w:id="11" w:name="_Toc217393251"/>
      <w:bookmarkStart w:id="12" w:name="_Toc217474483"/>
      <w:bookmarkStart w:id="13" w:name="_Toc234242764"/>
      <w:r w:rsidRPr="00E00F13">
        <w:rPr>
          <w:b/>
          <w:bCs/>
          <w:color w:val="auto"/>
        </w:rPr>
        <w:t>Paradigmas en tensión: el caso del Ministerio de Vivienda, Ciudad y Territorio</w:t>
      </w:r>
      <w:bookmarkEnd w:id="7"/>
      <w:bookmarkEnd w:id="8"/>
      <w:bookmarkEnd w:id="9"/>
      <w:bookmarkEnd w:id="10"/>
      <w:bookmarkEnd w:id="11"/>
      <w:bookmarkEnd w:id="12"/>
      <w:bookmarkEnd w:id="13"/>
    </w:p>
    <w:p w14:paraId="08DE6E3F" w14:textId="5838132B" w:rsidR="003F26BE" w:rsidRPr="00E00F13" w:rsidRDefault="003F26BE" w:rsidP="003F26BE">
      <w:pPr>
        <w:spacing w:after="0" w:line="360" w:lineRule="auto"/>
        <w:jc w:val="both"/>
        <w:rPr>
          <w:rFonts w:ascii="Arial" w:hAnsi="Arial" w:cs="Arial"/>
          <w:sz w:val="24"/>
          <w:szCs w:val="24"/>
        </w:rPr>
      </w:pPr>
    </w:p>
    <w:p w14:paraId="7A443FDE" w14:textId="27533364" w:rsidR="003F26BE" w:rsidRPr="00E00F13" w:rsidRDefault="003F26BE" w:rsidP="003F26BE">
      <w:pPr>
        <w:spacing w:after="0" w:line="360" w:lineRule="auto"/>
        <w:jc w:val="both"/>
        <w:rPr>
          <w:rFonts w:ascii="Arial" w:hAnsi="Arial" w:cs="Arial"/>
          <w:sz w:val="24"/>
          <w:szCs w:val="24"/>
        </w:rPr>
      </w:pPr>
    </w:p>
    <w:p w14:paraId="3DE75407" w14:textId="6E8F5C11" w:rsidR="003F26BE" w:rsidRPr="00E00F13" w:rsidRDefault="003F26BE" w:rsidP="003F26BE">
      <w:pPr>
        <w:spacing w:after="0" w:line="360" w:lineRule="auto"/>
        <w:jc w:val="both"/>
        <w:rPr>
          <w:rFonts w:ascii="Arial" w:hAnsi="Arial" w:cs="Arial"/>
          <w:sz w:val="24"/>
          <w:szCs w:val="24"/>
        </w:rPr>
      </w:pPr>
    </w:p>
    <w:p w14:paraId="0CCBFBFA" w14:textId="088E6CC8" w:rsidR="003F26BE" w:rsidRPr="00E00F13" w:rsidRDefault="003F26BE" w:rsidP="003F26BE">
      <w:pPr>
        <w:spacing w:after="0" w:line="360" w:lineRule="auto"/>
        <w:jc w:val="both"/>
        <w:rPr>
          <w:rFonts w:ascii="Arial" w:hAnsi="Arial" w:cs="Arial"/>
          <w:sz w:val="24"/>
          <w:szCs w:val="24"/>
        </w:rPr>
      </w:pPr>
    </w:p>
    <w:p w14:paraId="5AEFE8A8" w14:textId="40BD511E" w:rsidR="003F26BE" w:rsidRPr="00E00F13" w:rsidRDefault="003F26BE" w:rsidP="003F26BE">
      <w:pPr>
        <w:spacing w:after="0" w:line="360" w:lineRule="auto"/>
        <w:jc w:val="both"/>
        <w:rPr>
          <w:rFonts w:ascii="Arial" w:hAnsi="Arial" w:cs="Arial"/>
          <w:sz w:val="24"/>
          <w:szCs w:val="24"/>
        </w:rPr>
      </w:pPr>
    </w:p>
    <w:p w14:paraId="39DDCECE" w14:textId="0D5385B0" w:rsidR="003F26BE" w:rsidRPr="00E00F13" w:rsidRDefault="003F26BE" w:rsidP="003F26BE">
      <w:pPr>
        <w:spacing w:after="0" w:line="360" w:lineRule="auto"/>
        <w:jc w:val="both"/>
        <w:rPr>
          <w:rFonts w:ascii="Arial" w:hAnsi="Arial" w:cs="Arial"/>
          <w:sz w:val="24"/>
          <w:szCs w:val="24"/>
        </w:rPr>
      </w:pPr>
    </w:p>
    <w:p w14:paraId="583C640A" w14:textId="1FD6A8D4" w:rsidR="003F26BE" w:rsidRPr="00E00F13" w:rsidRDefault="003F26BE" w:rsidP="003F26BE">
      <w:pPr>
        <w:spacing w:after="0" w:line="360" w:lineRule="auto"/>
        <w:jc w:val="both"/>
        <w:rPr>
          <w:rFonts w:ascii="Arial" w:hAnsi="Arial" w:cs="Arial"/>
          <w:sz w:val="24"/>
          <w:szCs w:val="24"/>
        </w:rPr>
      </w:pPr>
    </w:p>
    <w:p w14:paraId="091794A7" w14:textId="68AE70A8" w:rsidR="003F26BE" w:rsidRPr="00E00F13" w:rsidRDefault="003F26BE" w:rsidP="003F26BE">
      <w:pPr>
        <w:spacing w:after="0" w:line="360" w:lineRule="auto"/>
        <w:jc w:val="both"/>
        <w:rPr>
          <w:rFonts w:ascii="Arial" w:hAnsi="Arial" w:cs="Arial"/>
          <w:sz w:val="24"/>
          <w:szCs w:val="24"/>
        </w:rPr>
      </w:pPr>
    </w:p>
    <w:p w14:paraId="0724BA65" w14:textId="77777777" w:rsidR="003F26BE" w:rsidRPr="00E00F13" w:rsidRDefault="003F26BE" w:rsidP="003F26BE">
      <w:pPr>
        <w:spacing w:after="0" w:line="360" w:lineRule="auto"/>
        <w:jc w:val="both"/>
        <w:rPr>
          <w:rFonts w:ascii="Arial" w:hAnsi="Arial" w:cs="Arial"/>
          <w:sz w:val="24"/>
          <w:szCs w:val="24"/>
        </w:rPr>
      </w:pPr>
    </w:p>
    <w:p w14:paraId="5798E110" w14:textId="1EFEFB4E" w:rsidR="003F26BE" w:rsidRPr="00E00F13" w:rsidRDefault="003F26BE" w:rsidP="003F26BE">
      <w:pPr>
        <w:spacing w:after="0" w:line="360" w:lineRule="auto"/>
        <w:jc w:val="both"/>
        <w:rPr>
          <w:rFonts w:ascii="Arial" w:hAnsi="Arial" w:cs="Arial"/>
          <w:sz w:val="24"/>
          <w:szCs w:val="24"/>
        </w:rPr>
      </w:pPr>
    </w:p>
    <w:p w14:paraId="36FBA6AB" w14:textId="72504674" w:rsidR="003F26BE" w:rsidRPr="00E00F13" w:rsidRDefault="003F26BE" w:rsidP="003F26BE">
      <w:pPr>
        <w:spacing w:after="0" w:line="360" w:lineRule="auto"/>
        <w:jc w:val="right"/>
        <w:rPr>
          <w:rFonts w:ascii="Arial" w:hAnsi="Arial" w:cs="Arial"/>
          <w:sz w:val="24"/>
          <w:szCs w:val="24"/>
        </w:rPr>
      </w:pPr>
      <w:r w:rsidRPr="00E00F13">
        <w:rPr>
          <w:rFonts w:ascii="Arial" w:hAnsi="Arial" w:cs="Arial"/>
          <w:sz w:val="24"/>
          <w:szCs w:val="24"/>
        </w:rPr>
        <w:t>Ministerio de Vivienda, Ciudad y territorio</w:t>
      </w:r>
    </w:p>
    <w:p w14:paraId="0CABB599" w14:textId="33CDA72E" w:rsidR="003F26BE" w:rsidRPr="00E00F13" w:rsidRDefault="003F26BE" w:rsidP="003F26BE">
      <w:pPr>
        <w:spacing w:after="0" w:line="360" w:lineRule="auto"/>
        <w:jc w:val="right"/>
        <w:rPr>
          <w:rFonts w:ascii="Arial" w:hAnsi="Arial" w:cs="Arial"/>
          <w:sz w:val="24"/>
          <w:szCs w:val="24"/>
        </w:rPr>
      </w:pPr>
      <w:r w:rsidRPr="00E00F13">
        <w:rPr>
          <w:rFonts w:ascii="Arial" w:hAnsi="Arial" w:cs="Arial"/>
          <w:sz w:val="24"/>
          <w:szCs w:val="24"/>
        </w:rPr>
        <w:t>202</w:t>
      </w:r>
      <w:r w:rsidR="00BA237A" w:rsidRPr="00E00F13">
        <w:rPr>
          <w:rFonts w:ascii="Arial" w:hAnsi="Arial" w:cs="Arial"/>
          <w:sz w:val="24"/>
          <w:szCs w:val="24"/>
        </w:rPr>
        <w:t>6</w:t>
      </w:r>
    </w:p>
    <w:p w14:paraId="7CD1FF35" w14:textId="1F389F8C" w:rsidR="003F26BE" w:rsidRPr="00E00F13" w:rsidRDefault="003F26BE" w:rsidP="003F26BE">
      <w:pPr>
        <w:spacing w:after="0" w:line="360" w:lineRule="auto"/>
        <w:jc w:val="both"/>
        <w:rPr>
          <w:rFonts w:ascii="Arial" w:hAnsi="Arial" w:cs="Arial"/>
          <w:sz w:val="24"/>
          <w:szCs w:val="24"/>
        </w:rPr>
      </w:pPr>
    </w:p>
    <w:p w14:paraId="5A4D8B1C" w14:textId="6BDE956C" w:rsidR="003F26BE" w:rsidRPr="00E00F13" w:rsidRDefault="003F26BE" w:rsidP="003F26BE">
      <w:pPr>
        <w:spacing w:after="0" w:line="360" w:lineRule="auto"/>
        <w:jc w:val="both"/>
        <w:rPr>
          <w:rFonts w:ascii="Arial" w:hAnsi="Arial" w:cs="Arial"/>
          <w:sz w:val="24"/>
          <w:szCs w:val="24"/>
        </w:rPr>
      </w:pPr>
    </w:p>
    <w:p w14:paraId="551751C9" w14:textId="7AA9681A" w:rsidR="003F26BE" w:rsidRPr="00E00F13" w:rsidRDefault="003F26BE" w:rsidP="003F26BE">
      <w:pPr>
        <w:spacing w:after="0" w:line="360" w:lineRule="auto"/>
        <w:jc w:val="both"/>
        <w:rPr>
          <w:rFonts w:ascii="Arial" w:hAnsi="Arial" w:cs="Arial"/>
          <w:sz w:val="24"/>
          <w:szCs w:val="24"/>
        </w:rPr>
      </w:pPr>
    </w:p>
    <w:p w14:paraId="500BB6B7" w14:textId="6C6D5B53" w:rsidR="003F26BE" w:rsidRPr="00E00F13" w:rsidRDefault="003F26BE" w:rsidP="003F26BE">
      <w:pPr>
        <w:spacing w:after="0" w:line="360" w:lineRule="auto"/>
        <w:jc w:val="both"/>
        <w:rPr>
          <w:rFonts w:ascii="Arial" w:hAnsi="Arial" w:cs="Arial"/>
          <w:sz w:val="24"/>
          <w:szCs w:val="24"/>
        </w:rPr>
      </w:pPr>
    </w:p>
    <w:p w14:paraId="3A557EFB" w14:textId="7CF53886" w:rsidR="003F26BE" w:rsidRPr="00E00F13" w:rsidRDefault="003F26BE" w:rsidP="003F26BE">
      <w:pPr>
        <w:spacing w:after="0" w:line="360" w:lineRule="auto"/>
        <w:jc w:val="both"/>
        <w:rPr>
          <w:rFonts w:ascii="Arial" w:hAnsi="Arial" w:cs="Arial"/>
          <w:sz w:val="24"/>
          <w:szCs w:val="24"/>
        </w:rPr>
      </w:pPr>
    </w:p>
    <w:p w14:paraId="6686689C" w14:textId="4D68134B" w:rsidR="003F26BE" w:rsidRPr="00E00F13" w:rsidRDefault="003F26BE" w:rsidP="003F26BE">
      <w:pPr>
        <w:spacing w:after="0" w:line="360" w:lineRule="auto"/>
        <w:jc w:val="both"/>
        <w:rPr>
          <w:rFonts w:ascii="Arial" w:hAnsi="Arial" w:cs="Arial"/>
          <w:sz w:val="24"/>
          <w:szCs w:val="24"/>
        </w:rPr>
      </w:pPr>
    </w:p>
    <w:p w14:paraId="2CB9104B" w14:textId="52B2E43D" w:rsidR="003F26BE" w:rsidRPr="00E00F13" w:rsidRDefault="003F26BE" w:rsidP="003F26BE">
      <w:pPr>
        <w:spacing w:after="0" w:line="360" w:lineRule="auto"/>
        <w:jc w:val="both"/>
        <w:rPr>
          <w:rFonts w:ascii="Arial" w:hAnsi="Arial" w:cs="Arial"/>
          <w:sz w:val="24"/>
          <w:szCs w:val="24"/>
        </w:rPr>
      </w:pPr>
    </w:p>
    <w:p w14:paraId="33EACD94" w14:textId="51DD834D" w:rsidR="003F26BE" w:rsidRPr="00E00F13" w:rsidRDefault="003F26BE" w:rsidP="003F26BE">
      <w:pPr>
        <w:spacing w:after="0" w:line="360" w:lineRule="auto"/>
        <w:jc w:val="both"/>
        <w:rPr>
          <w:rFonts w:ascii="Arial" w:hAnsi="Arial" w:cs="Arial"/>
          <w:sz w:val="24"/>
          <w:szCs w:val="24"/>
        </w:rPr>
      </w:pPr>
    </w:p>
    <w:p w14:paraId="3A030753" w14:textId="213CD9A4" w:rsidR="003F26BE" w:rsidRPr="00E00F13" w:rsidRDefault="003F26BE" w:rsidP="003F26BE">
      <w:pPr>
        <w:spacing w:after="0" w:line="360" w:lineRule="auto"/>
        <w:jc w:val="both"/>
        <w:rPr>
          <w:rFonts w:ascii="Arial" w:hAnsi="Arial" w:cs="Arial"/>
          <w:sz w:val="24"/>
          <w:szCs w:val="24"/>
        </w:rPr>
      </w:pPr>
    </w:p>
    <w:p w14:paraId="3B3F80A7" w14:textId="2A68010A" w:rsidR="00A81960" w:rsidRPr="00E00F13" w:rsidRDefault="00A81960" w:rsidP="003F26BE">
      <w:pPr>
        <w:spacing w:after="0" w:line="360" w:lineRule="auto"/>
        <w:jc w:val="both"/>
        <w:rPr>
          <w:rFonts w:ascii="Arial" w:hAnsi="Arial" w:cs="Arial"/>
          <w:b/>
          <w:bCs/>
          <w:i/>
          <w:iCs/>
          <w:sz w:val="24"/>
          <w:szCs w:val="24"/>
        </w:rPr>
      </w:pPr>
      <w:r w:rsidRPr="00E00F13">
        <w:rPr>
          <w:rFonts w:ascii="Arial" w:hAnsi="Arial" w:cs="Arial"/>
          <w:b/>
          <w:bCs/>
          <w:i/>
          <w:iCs/>
          <w:sz w:val="24"/>
          <w:szCs w:val="24"/>
        </w:rPr>
        <w:lastRenderedPageBreak/>
        <w:t>Lineamientos de política Nuestro Hábitat Biodiverso</w:t>
      </w:r>
    </w:p>
    <w:p w14:paraId="72FC9FEB" w14:textId="1D759F1E" w:rsidR="00A81960" w:rsidRPr="00E00F13" w:rsidRDefault="00A81960" w:rsidP="003F26BE">
      <w:pPr>
        <w:spacing w:after="0" w:line="360" w:lineRule="auto"/>
        <w:jc w:val="both"/>
        <w:rPr>
          <w:rFonts w:ascii="Arial" w:hAnsi="Arial" w:cs="Arial"/>
          <w:sz w:val="24"/>
          <w:szCs w:val="24"/>
        </w:rPr>
      </w:pPr>
    </w:p>
    <w:p w14:paraId="44661212" w14:textId="77777777" w:rsidR="00477E26" w:rsidRPr="00E00F13" w:rsidRDefault="00477E26" w:rsidP="003F26BE">
      <w:pPr>
        <w:spacing w:after="0" w:line="360" w:lineRule="auto"/>
        <w:jc w:val="both"/>
        <w:rPr>
          <w:rFonts w:ascii="Arial" w:hAnsi="Arial" w:cs="Arial"/>
          <w:sz w:val="24"/>
          <w:szCs w:val="24"/>
        </w:rPr>
      </w:pPr>
    </w:p>
    <w:p w14:paraId="0B2CE20D" w14:textId="53E8D4F4" w:rsidR="00A81960" w:rsidRPr="00E00F13" w:rsidRDefault="00A81960" w:rsidP="003F26BE">
      <w:pPr>
        <w:spacing w:after="0" w:line="360" w:lineRule="auto"/>
        <w:jc w:val="both"/>
        <w:rPr>
          <w:rFonts w:ascii="Arial" w:hAnsi="Arial" w:cs="Arial"/>
          <w:sz w:val="24"/>
          <w:szCs w:val="24"/>
        </w:rPr>
      </w:pPr>
    </w:p>
    <w:p w14:paraId="2F7C9CC4" w14:textId="5A96C68C" w:rsidR="00A81960" w:rsidRPr="00E00F13" w:rsidRDefault="00A81960" w:rsidP="003F26BE">
      <w:pPr>
        <w:spacing w:after="0" w:line="360" w:lineRule="auto"/>
        <w:jc w:val="both"/>
        <w:rPr>
          <w:rFonts w:ascii="Arial" w:hAnsi="Arial" w:cs="Arial"/>
          <w:sz w:val="24"/>
          <w:szCs w:val="24"/>
        </w:rPr>
      </w:pPr>
    </w:p>
    <w:p w14:paraId="625D80EB" w14:textId="382796E8" w:rsidR="00322633" w:rsidRPr="00E00F13" w:rsidRDefault="00322633" w:rsidP="00322633">
      <w:pPr>
        <w:spacing w:after="0" w:line="360" w:lineRule="auto"/>
        <w:jc w:val="right"/>
        <w:rPr>
          <w:rFonts w:ascii="Arial" w:hAnsi="Arial" w:cs="Arial"/>
          <w:sz w:val="24"/>
          <w:szCs w:val="24"/>
        </w:rPr>
      </w:pPr>
    </w:p>
    <w:p w14:paraId="6194F22A" w14:textId="2A1B2A4C" w:rsidR="003F26BE" w:rsidRPr="00E00F13" w:rsidRDefault="003F26BE" w:rsidP="003F26BE">
      <w:pPr>
        <w:spacing w:after="0" w:line="360" w:lineRule="auto"/>
        <w:jc w:val="both"/>
        <w:rPr>
          <w:rFonts w:ascii="Arial" w:hAnsi="Arial" w:cs="Arial"/>
          <w:sz w:val="24"/>
          <w:szCs w:val="24"/>
        </w:rPr>
      </w:pPr>
    </w:p>
    <w:p w14:paraId="6F3274CE" w14:textId="7DB802CF" w:rsidR="003F26BE" w:rsidRPr="00E00F13" w:rsidRDefault="003F26BE" w:rsidP="003F26BE">
      <w:pPr>
        <w:spacing w:after="0" w:line="360" w:lineRule="auto"/>
        <w:jc w:val="both"/>
        <w:rPr>
          <w:rFonts w:ascii="Arial" w:hAnsi="Arial" w:cs="Arial"/>
          <w:sz w:val="24"/>
          <w:szCs w:val="24"/>
        </w:rPr>
      </w:pPr>
    </w:p>
    <w:p w14:paraId="1750C8B2" w14:textId="11301422" w:rsidR="003F26BE" w:rsidRPr="00E00F13" w:rsidRDefault="003F26BE" w:rsidP="003F26BE">
      <w:pPr>
        <w:spacing w:after="0" w:line="360" w:lineRule="auto"/>
        <w:jc w:val="both"/>
        <w:rPr>
          <w:rFonts w:ascii="Arial" w:hAnsi="Arial" w:cs="Arial"/>
          <w:sz w:val="24"/>
          <w:szCs w:val="24"/>
        </w:rPr>
      </w:pPr>
    </w:p>
    <w:p w14:paraId="7C810A0E" w14:textId="7D6BB3A4" w:rsidR="003F26BE" w:rsidRPr="00E00F13" w:rsidRDefault="003F26BE" w:rsidP="003F26BE">
      <w:pPr>
        <w:spacing w:after="0" w:line="360" w:lineRule="auto"/>
        <w:jc w:val="both"/>
        <w:rPr>
          <w:rFonts w:ascii="Arial" w:hAnsi="Arial" w:cs="Arial"/>
          <w:sz w:val="24"/>
          <w:szCs w:val="24"/>
        </w:rPr>
      </w:pPr>
    </w:p>
    <w:p w14:paraId="0B9F5FBB" w14:textId="7C2849AB" w:rsidR="00515E3B" w:rsidRPr="00E00F13" w:rsidRDefault="00515E3B" w:rsidP="003F26BE">
      <w:pPr>
        <w:spacing w:after="0" w:line="360" w:lineRule="auto"/>
        <w:jc w:val="both"/>
        <w:rPr>
          <w:rFonts w:ascii="Arial" w:hAnsi="Arial" w:cs="Arial"/>
          <w:sz w:val="24"/>
          <w:szCs w:val="24"/>
        </w:rPr>
      </w:pPr>
    </w:p>
    <w:p w14:paraId="309F22ED" w14:textId="64AE4502" w:rsidR="00515E3B" w:rsidRPr="00E00F13" w:rsidRDefault="00515E3B" w:rsidP="003F26BE">
      <w:pPr>
        <w:spacing w:after="0" w:line="360" w:lineRule="auto"/>
        <w:jc w:val="both"/>
        <w:rPr>
          <w:rFonts w:ascii="Arial" w:hAnsi="Arial" w:cs="Arial"/>
          <w:sz w:val="24"/>
          <w:szCs w:val="24"/>
        </w:rPr>
      </w:pPr>
    </w:p>
    <w:p w14:paraId="0C9A510B" w14:textId="1723DB61" w:rsidR="00477E26" w:rsidRPr="00E00F13" w:rsidRDefault="00477E26" w:rsidP="003F26BE">
      <w:pPr>
        <w:spacing w:after="0" w:line="360" w:lineRule="auto"/>
        <w:jc w:val="both"/>
        <w:rPr>
          <w:rFonts w:ascii="Arial" w:hAnsi="Arial" w:cs="Arial"/>
          <w:sz w:val="24"/>
          <w:szCs w:val="24"/>
        </w:rPr>
      </w:pPr>
    </w:p>
    <w:p w14:paraId="55A3DD8C" w14:textId="31A74991" w:rsidR="00477E26" w:rsidRPr="00E00F13" w:rsidRDefault="00477E26" w:rsidP="003F26BE">
      <w:pPr>
        <w:spacing w:after="0" w:line="360" w:lineRule="auto"/>
        <w:jc w:val="both"/>
        <w:rPr>
          <w:rFonts w:ascii="Arial" w:hAnsi="Arial" w:cs="Arial"/>
          <w:b/>
          <w:bCs/>
          <w:sz w:val="24"/>
          <w:szCs w:val="24"/>
        </w:rPr>
      </w:pPr>
      <w:r w:rsidRPr="00E00F13">
        <w:rPr>
          <w:rFonts w:ascii="Arial" w:hAnsi="Arial" w:cs="Arial"/>
          <w:b/>
          <w:bCs/>
          <w:sz w:val="24"/>
          <w:szCs w:val="24"/>
        </w:rPr>
        <w:t>Equipo técnico que elaboró este documento</w:t>
      </w:r>
    </w:p>
    <w:p w14:paraId="3541BD9F" w14:textId="77777777" w:rsidR="002E4CD6" w:rsidRPr="00E00F13" w:rsidRDefault="002E4CD6" w:rsidP="003F26BE">
      <w:pPr>
        <w:spacing w:after="0" w:line="360" w:lineRule="auto"/>
        <w:jc w:val="both"/>
        <w:rPr>
          <w:rFonts w:ascii="Arial" w:hAnsi="Arial" w:cs="Arial"/>
          <w:b/>
          <w:bCs/>
          <w:sz w:val="24"/>
          <w:szCs w:val="24"/>
        </w:rPr>
      </w:pPr>
    </w:p>
    <w:p w14:paraId="060D5147" w14:textId="6EE62651" w:rsidR="002E4CD6" w:rsidRPr="00E00F13" w:rsidRDefault="002E4CD6" w:rsidP="003F26BE">
      <w:pPr>
        <w:spacing w:after="0" w:line="360" w:lineRule="auto"/>
        <w:jc w:val="both"/>
        <w:rPr>
          <w:rFonts w:ascii="Arial" w:hAnsi="Arial" w:cs="Arial"/>
          <w:sz w:val="24"/>
          <w:szCs w:val="24"/>
        </w:rPr>
      </w:pPr>
      <w:r w:rsidRPr="00E00F13">
        <w:rPr>
          <w:rFonts w:ascii="Arial" w:hAnsi="Arial" w:cs="Arial"/>
          <w:sz w:val="24"/>
          <w:szCs w:val="24"/>
        </w:rPr>
        <w:t xml:space="preserve">Líder de equipo </w:t>
      </w:r>
    </w:p>
    <w:p w14:paraId="08E91953" w14:textId="7BE55C40" w:rsidR="002E4CD6" w:rsidRPr="00E00F13" w:rsidRDefault="002E4CD6" w:rsidP="003F26BE">
      <w:pPr>
        <w:spacing w:after="0" w:line="360" w:lineRule="auto"/>
        <w:jc w:val="both"/>
        <w:rPr>
          <w:rFonts w:ascii="Arial" w:hAnsi="Arial" w:cs="Arial"/>
          <w:sz w:val="24"/>
          <w:szCs w:val="24"/>
        </w:rPr>
      </w:pPr>
      <w:r w:rsidRPr="00E00F13">
        <w:rPr>
          <w:rFonts w:ascii="Arial" w:hAnsi="Arial" w:cs="Arial"/>
          <w:sz w:val="24"/>
          <w:szCs w:val="24"/>
        </w:rPr>
        <w:t>Magaly Cala Rodríguez</w:t>
      </w:r>
    </w:p>
    <w:p w14:paraId="79BE1444" w14:textId="0C1C77AE" w:rsidR="00477E26" w:rsidRPr="00E00F13" w:rsidRDefault="00477E26" w:rsidP="003F26BE">
      <w:pPr>
        <w:spacing w:after="0" w:line="360" w:lineRule="auto"/>
        <w:jc w:val="both"/>
        <w:rPr>
          <w:rFonts w:ascii="Arial" w:hAnsi="Arial" w:cs="Arial"/>
          <w:sz w:val="24"/>
          <w:szCs w:val="24"/>
        </w:rPr>
      </w:pPr>
    </w:p>
    <w:p w14:paraId="3DD4949E" w14:textId="756AE8C7" w:rsidR="003E1194" w:rsidRPr="00E00F13" w:rsidRDefault="002E4CD6" w:rsidP="003F26BE">
      <w:pPr>
        <w:spacing w:after="0" w:line="360" w:lineRule="auto"/>
        <w:jc w:val="both"/>
        <w:rPr>
          <w:rFonts w:ascii="Arial" w:hAnsi="Arial" w:cs="Arial"/>
          <w:sz w:val="24"/>
          <w:szCs w:val="24"/>
        </w:rPr>
      </w:pPr>
      <w:r w:rsidRPr="00E00F13">
        <w:rPr>
          <w:rFonts w:ascii="Arial" w:hAnsi="Arial" w:cs="Arial"/>
          <w:sz w:val="24"/>
          <w:szCs w:val="24"/>
        </w:rPr>
        <w:t xml:space="preserve">Gestora </w:t>
      </w:r>
      <w:r w:rsidR="003E1194" w:rsidRPr="00E00F13">
        <w:rPr>
          <w:rFonts w:ascii="Arial" w:hAnsi="Arial" w:cs="Arial"/>
          <w:sz w:val="24"/>
          <w:szCs w:val="24"/>
        </w:rPr>
        <w:t>a cargo</w:t>
      </w:r>
    </w:p>
    <w:p w14:paraId="7D94B9C3" w14:textId="68B689E2" w:rsidR="00477E26" w:rsidRPr="00E00F13" w:rsidRDefault="00477E26" w:rsidP="003F26BE">
      <w:pPr>
        <w:spacing w:after="0" w:line="360" w:lineRule="auto"/>
        <w:jc w:val="both"/>
        <w:rPr>
          <w:rFonts w:ascii="Arial" w:hAnsi="Arial" w:cs="Arial"/>
          <w:sz w:val="24"/>
          <w:szCs w:val="24"/>
        </w:rPr>
      </w:pPr>
      <w:r w:rsidRPr="00E00F13">
        <w:rPr>
          <w:rFonts w:ascii="Arial" w:hAnsi="Arial" w:cs="Arial"/>
          <w:sz w:val="24"/>
          <w:szCs w:val="24"/>
        </w:rPr>
        <w:t>Martha Josefina Espejo Barrios</w:t>
      </w:r>
    </w:p>
    <w:p w14:paraId="4DA2488C" w14:textId="77777777" w:rsidR="003E1194" w:rsidRPr="00E00F13" w:rsidRDefault="003E1194" w:rsidP="003F26BE">
      <w:pPr>
        <w:spacing w:after="0" w:line="360" w:lineRule="auto"/>
        <w:jc w:val="both"/>
        <w:rPr>
          <w:rFonts w:ascii="Arial" w:hAnsi="Arial" w:cs="Arial"/>
          <w:sz w:val="24"/>
          <w:szCs w:val="24"/>
        </w:rPr>
      </w:pPr>
    </w:p>
    <w:p w14:paraId="47CEC2A1" w14:textId="3BA327CC" w:rsidR="003E1194" w:rsidRPr="00E00F13" w:rsidRDefault="003E1194" w:rsidP="003F26BE">
      <w:pPr>
        <w:spacing w:after="0" w:line="360" w:lineRule="auto"/>
        <w:jc w:val="both"/>
        <w:rPr>
          <w:rFonts w:ascii="Arial" w:hAnsi="Arial" w:cs="Arial"/>
          <w:sz w:val="24"/>
          <w:szCs w:val="24"/>
        </w:rPr>
      </w:pPr>
      <w:r w:rsidRPr="00E00F13">
        <w:rPr>
          <w:rFonts w:ascii="Arial" w:hAnsi="Arial" w:cs="Arial"/>
          <w:sz w:val="24"/>
          <w:szCs w:val="24"/>
        </w:rPr>
        <w:t>Colaboradores</w:t>
      </w:r>
    </w:p>
    <w:p w14:paraId="5347AD23" w14:textId="4BEA8FCE" w:rsidR="00477E26" w:rsidRPr="00E00F13" w:rsidRDefault="00477E26" w:rsidP="003F26BE">
      <w:pPr>
        <w:spacing w:after="0" w:line="360" w:lineRule="auto"/>
        <w:jc w:val="both"/>
        <w:rPr>
          <w:rFonts w:ascii="Arial" w:hAnsi="Arial" w:cs="Arial"/>
          <w:sz w:val="24"/>
          <w:szCs w:val="24"/>
        </w:rPr>
      </w:pPr>
      <w:r w:rsidRPr="00E00F13">
        <w:rPr>
          <w:rFonts w:ascii="Arial" w:hAnsi="Arial" w:cs="Arial"/>
          <w:sz w:val="24"/>
          <w:szCs w:val="24"/>
        </w:rPr>
        <w:t>Ana María Palencia</w:t>
      </w:r>
      <w:r w:rsidR="00214066" w:rsidRPr="00E00F13">
        <w:rPr>
          <w:rFonts w:ascii="Arial" w:hAnsi="Arial" w:cs="Arial"/>
          <w:sz w:val="24"/>
          <w:szCs w:val="24"/>
        </w:rPr>
        <w:t xml:space="preserve"> Rivera</w:t>
      </w:r>
    </w:p>
    <w:p w14:paraId="2502F7BF" w14:textId="3EA6692C" w:rsidR="00477E26" w:rsidRPr="00E00F13" w:rsidRDefault="00477E26" w:rsidP="003F26BE">
      <w:pPr>
        <w:spacing w:after="0" w:line="360" w:lineRule="auto"/>
        <w:jc w:val="both"/>
        <w:rPr>
          <w:rFonts w:ascii="Arial" w:hAnsi="Arial" w:cs="Arial"/>
          <w:sz w:val="24"/>
          <w:szCs w:val="24"/>
        </w:rPr>
      </w:pPr>
      <w:r w:rsidRPr="00E00F13">
        <w:rPr>
          <w:rFonts w:ascii="Arial" w:hAnsi="Arial" w:cs="Arial"/>
          <w:sz w:val="24"/>
          <w:szCs w:val="24"/>
        </w:rPr>
        <w:t>Nicolás Vallejo</w:t>
      </w:r>
      <w:r w:rsidR="00AE3A49" w:rsidRPr="00E00F13">
        <w:rPr>
          <w:rFonts w:ascii="Arial" w:hAnsi="Arial" w:cs="Arial"/>
          <w:sz w:val="24"/>
          <w:szCs w:val="24"/>
        </w:rPr>
        <w:t xml:space="preserve"> Morales</w:t>
      </w:r>
    </w:p>
    <w:p w14:paraId="02737BE7" w14:textId="7B848E80" w:rsidR="00477E26" w:rsidRPr="00E00F13" w:rsidRDefault="00477E26" w:rsidP="003F26BE">
      <w:pPr>
        <w:spacing w:after="0" w:line="360" w:lineRule="auto"/>
        <w:jc w:val="both"/>
        <w:rPr>
          <w:rFonts w:ascii="Arial" w:hAnsi="Arial" w:cs="Arial"/>
          <w:sz w:val="24"/>
          <w:szCs w:val="24"/>
        </w:rPr>
      </w:pPr>
      <w:r w:rsidRPr="00E00F13">
        <w:rPr>
          <w:rFonts w:ascii="Arial" w:hAnsi="Arial" w:cs="Arial"/>
          <w:sz w:val="24"/>
          <w:szCs w:val="24"/>
        </w:rPr>
        <w:t xml:space="preserve">Olga Lucía </w:t>
      </w:r>
      <w:r w:rsidR="00F46356" w:rsidRPr="00E00F13">
        <w:rPr>
          <w:rFonts w:ascii="Arial" w:hAnsi="Arial" w:cs="Arial"/>
          <w:sz w:val="24"/>
          <w:szCs w:val="24"/>
        </w:rPr>
        <w:t>Duque</w:t>
      </w:r>
      <w:r w:rsidR="00B23AA7" w:rsidRPr="00E00F13">
        <w:rPr>
          <w:rFonts w:ascii="Arial" w:hAnsi="Arial" w:cs="Arial"/>
          <w:sz w:val="24"/>
          <w:szCs w:val="24"/>
        </w:rPr>
        <w:t xml:space="preserve"> Guevara</w:t>
      </w:r>
    </w:p>
    <w:p w14:paraId="3C63A425" w14:textId="19EEB97F" w:rsidR="001D4B8A" w:rsidRPr="00E00F13" w:rsidRDefault="003E1194" w:rsidP="001D4B8A">
      <w:pPr>
        <w:spacing w:after="0" w:line="360" w:lineRule="auto"/>
        <w:jc w:val="both"/>
        <w:rPr>
          <w:rFonts w:ascii="Arial" w:hAnsi="Arial" w:cs="Arial"/>
          <w:sz w:val="24"/>
          <w:szCs w:val="24"/>
        </w:rPr>
      </w:pPr>
      <w:r w:rsidRPr="00E00F13">
        <w:rPr>
          <w:rFonts w:ascii="Arial" w:hAnsi="Arial" w:cs="Arial"/>
          <w:sz w:val="24"/>
          <w:szCs w:val="24"/>
        </w:rPr>
        <w:t>Rodrigo</w:t>
      </w:r>
      <w:r w:rsidR="00F46356" w:rsidRPr="00E00F13">
        <w:rPr>
          <w:rFonts w:ascii="Arial" w:hAnsi="Arial" w:cs="Arial"/>
          <w:sz w:val="24"/>
          <w:szCs w:val="24"/>
        </w:rPr>
        <w:t xml:space="preserve"> Torrejano</w:t>
      </w:r>
      <w:r w:rsidR="00A74C2D" w:rsidRPr="00E00F13">
        <w:rPr>
          <w:rFonts w:ascii="Arial" w:hAnsi="Arial" w:cs="Arial"/>
          <w:sz w:val="24"/>
          <w:szCs w:val="24"/>
        </w:rPr>
        <w:t xml:space="preserve"> Jiménez</w:t>
      </w:r>
    </w:p>
    <w:p w14:paraId="61232C47" w14:textId="68187759" w:rsidR="003E1194" w:rsidRPr="00E00F13" w:rsidRDefault="003E1194" w:rsidP="001D4B8A">
      <w:pPr>
        <w:spacing w:after="0" w:line="360" w:lineRule="auto"/>
        <w:jc w:val="both"/>
        <w:rPr>
          <w:rFonts w:ascii="Arial" w:hAnsi="Arial" w:cs="Arial"/>
          <w:sz w:val="24"/>
          <w:szCs w:val="24"/>
        </w:rPr>
      </w:pPr>
      <w:r w:rsidRPr="00E00F13">
        <w:rPr>
          <w:rFonts w:ascii="Arial" w:hAnsi="Arial" w:cs="Arial"/>
          <w:sz w:val="24"/>
          <w:szCs w:val="24"/>
        </w:rPr>
        <w:t>Natalia</w:t>
      </w:r>
      <w:r w:rsidR="00F46356" w:rsidRPr="00E00F13">
        <w:rPr>
          <w:rFonts w:ascii="Arial" w:hAnsi="Arial" w:cs="Arial"/>
          <w:sz w:val="24"/>
          <w:szCs w:val="24"/>
        </w:rPr>
        <w:t xml:space="preserve"> Pedraza</w:t>
      </w:r>
      <w:r w:rsidR="00D20D6E" w:rsidRPr="00E00F13">
        <w:rPr>
          <w:rFonts w:ascii="Arial" w:hAnsi="Arial" w:cs="Arial"/>
          <w:sz w:val="24"/>
          <w:szCs w:val="24"/>
        </w:rPr>
        <w:t xml:space="preserve"> Mora</w:t>
      </w:r>
    </w:p>
    <w:p w14:paraId="7349CD67" w14:textId="2F305146" w:rsidR="003E1194" w:rsidRPr="00E00F13" w:rsidRDefault="00F46356" w:rsidP="001D4B8A">
      <w:pPr>
        <w:spacing w:after="0" w:line="360" w:lineRule="auto"/>
        <w:jc w:val="both"/>
        <w:rPr>
          <w:rFonts w:ascii="Arial" w:hAnsi="Arial" w:cs="Arial"/>
          <w:sz w:val="24"/>
          <w:szCs w:val="24"/>
        </w:rPr>
      </w:pPr>
      <w:r w:rsidRPr="00E00F13">
        <w:rPr>
          <w:rFonts w:ascii="Arial" w:hAnsi="Arial" w:cs="Arial"/>
          <w:sz w:val="24"/>
          <w:szCs w:val="24"/>
        </w:rPr>
        <w:t xml:space="preserve">Laura </w:t>
      </w:r>
      <w:r w:rsidR="003E1194" w:rsidRPr="00E00F13">
        <w:rPr>
          <w:rFonts w:ascii="Arial" w:hAnsi="Arial" w:cs="Arial"/>
          <w:sz w:val="24"/>
          <w:szCs w:val="24"/>
        </w:rPr>
        <w:t>Estefanía</w:t>
      </w:r>
      <w:r w:rsidRPr="00E00F13">
        <w:rPr>
          <w:rFonts w:ascii="Arial" w:hAnsi="Arial" w:cs="Arial"/>
          <w:sz w:val="24"/>
          <w:szCs w:val="24"/>
        </w:rPr>
        <w:t xml:space="preserve"> Carrillo</w:t>
      </w:r>
      <w:r w:rsidR="00A74C2D" w:rsidRPr="00E00F13">
        <w:rPr>
          <w:rFonts w:ascii="Arial" w:hAnsi="Arial" w:cs="Arial"/>
          <w:sz w:val="24"/>
          <w:szCs w:val="24"/>
        </w:rPr>
        <w:t xml:space="preserve"> Melo</w:t>
      </w:r>
    </w:p>
    <w:p w14:paraId="01399AA9" w14:textId="77777777" w:rsidR="001D4B8A" w:rsidRPr="00E00F13" w:rsidRDefault="001D4B8A" w:rsidP="001D4B8A">
      <w:pPr>
        <w:spacing w:after="0" w:line="360" w:lineRule="auto"/>
        <w:jc w:val="both"/>
        <w:rPr>
          <w:rFonts w:ascii="Arial" w:hAnsi="Arial" w:cs="Arial"/>
          <w:sz w:val="24"/>
          <w:szCs w:val="24"/>
        </w:rPr>
      </w:pPr>
    </w:p>
    <w:p w14:paraId="78CEF1AB" w14:textId="77777777" w:rsidR="00124DA3" w:rsidRPr="00E00F13" w:rsidRDefault="00124DA3" w:rsidP="001D4B8A">
      <w:pPr>
        <w:spacing w:after="0" w:line="360" w:lineRule="auto"/>
        <w:jc w:val="center"/>
        <w:rPr>
          <w:rFonts w:ascii="Arial" w:hAnsi="Arial" w:cs="Arial"/>
          <w:b/>
          <w:bCs/>
          <w:sz w:val="24"/>
          <w:szCs w:val="24"/>
        </w:rPr>
      </w:pPr>
    </w:p>
    <w:p w14:paraId="69D04319" w14:textId="3F0D359F" w:rsidR="001D4B8A" w:rsidRPr="00E00F13" w:rsidRDefault="001D4B8A" w:rsidP="001D4B8A">
      <w:pPr>
        <w:spacing w:after="0" w:line="360" w:lineRule="auto"/>
        <w:jc w:val="center"/>
        <w:rPr>
          <w:rFonts w:ascii="Arial" w:hAnsi="Arial" w:cs="Arial"/>
          <w:b/>
          <w:bCs/>
          <w:sz w:val="24"/>
          <w:szCs w:val="24"/>
          <w:lang w:val="es-ES"/>
        </w:rPr>
      </w:pPr>
      <w:r w:rsidRPr="00E00F13">
        <w:rPr>
          <w:rFonts w:ascii="Arial" w:hAnsi="Arial" w:cs="Arial"/>
          <w:b/>
          <w:bCs/>
          <w:sz w:val="24"/>
          <w:szCs w:val="24"/>
        </w:rPr>
        <w:t>Colombia, 202</w:t>
      </w:r>
      <w:r w:rsidR="00BA237A" w:rsidRPr="00E00F13">
        <w:rPr>
          <w:rFonts w:ascii="Arial" w:hAnsi="Arial" w:cs="Arial"/>
          <w:b/>
          <w:bCs/>
          <w:sz w:val="24"/>
          <w:szCs w:val="24"/>
        </w:rPr>
        <w:t>6</w:t>
      </w:r>
    </w:p>
    <w:p w14:paraId="6209E772" w14:textId="691C6127" w:rsidR="00515E3B" w:rsidRPr="00E00F13" w:rsidRDefault="004077A7" w:rsidP="003F26BE">
      <w:pPr>
        <w:spacing w:after="0" w:line="360" w:lineRule="auto"/>
        <w:jc w:val="both"/>
        <w:rPr>
          <w:rFonts w:ascii="Arial" w:hAnsi="Arial" w:cs="Arial"/>
          <w:sz w:val="24"/>
          <w:szCs w:val="24"/>
        </w:rPr>
      </w:pPr>
      <w:r w:rsidRPr="00E00F13">
        <w:rPr>
          <w:rFonts w:ascii="Arial" w:hAnsi="Arial" w:cs="Arial"/>
          <w:sz w:val="24"/>
          <w:szCs w:val="24"/>
        </w:rPr>
        <w:lastRenderedPageBreak/>
        <w:tab/>
      </w:r>
    </w:p>
    <w:sdt>
      <w:sdtPr>
        <w:rPr>
          <w:rFonts w:asciiTheme="minorHAnsi" w:eastAsiaTheme="minorEastAsia" w:hAnsiTheme="minorHAnsi" w:cstheme="minorBidi"/>
          <w:color w:val="auto"/>
          <w:sz w:val="22"/>
          <w:szCs w:val="22"/>
          <w:lang w:val="es-ES" w:eastAsia="en-US"/>
        </w:rPr>
        <w:id w:val="-540736335"/>
        <w:docPartObj>
          <w:docPartGallery w:val="Table of Contents"/>
          <w:docPartUnique/>
        </w:docPartObj>
      </w:sdtPr>
      <w:sdtEndPr>
        <w:rPr>
          <w:b/>
          <w:bCs/>
        </w:rPr>
      </w:sdtEndPr>
      <w:sdtContent>
        <w:p w14:paraId="0797F2C9" w14:textId="3DC382D8" w:rsidR="00F14196" w:rsidRPr="00E00F13" w:rsidRDefault="00F14196">
          <w:pPr>
            <w:pStyle w:val="TtuloTDC"/>
            <w:rPr>
              <w:color w:val="auto"/>
            </w:rPr>
          </w:pPr>
          <w:r w:rsidRPr="00E00F13">
            <w:rPr>
              <w:color w:val="auto"/>
              <w:lang w:val="es-ES"/>
            </w:rPr>
            <w:t>Contenido</w:t>
          </w:r>
        </w:p>
        <w:p w14:paraId="2FE30B0D" w14:textId="724AE420" w:rsidR="00C37FFB" w:rsidRDefault="00F14196">
          <w:pPr>
            <w:pStyle w:val="TDC1"/>
            <w:tabs>
              <w:tab w:val="right" w:leader="dot" w:pos="8828"/>
            </w:tabs>
            <w:rPr>
              <w:rFonts w:eastAsiaTheme="minorEastAsia"/>
              <w:noProof/>
              <w:kern w:val="2"/>
              <w:sz w:val="24"/>
              <w:szCs w:val="24"/>
              <w:lang w:eastAsia="es-CO"/>
              <w14:ligatures w14:val="standardContextual"/>
            </w:rPr>
          </w:pPr>
          <w:r w:rsidRPr="00E00F13">
            <w:fldChar w:fldCharType="begin"/>
          </w:r>
          <w:r w:rsidRPr="00E00F13">
            <w:instrText xml:space="preserve"> TOC \o "1-3" \h \z \u </w:instrText>
          </w:r>
          <w:r w:rsidRPr="00E00F13">
            <w:fldChar w:fldCharType="separate"/>
          </w:r>
          <w:hyperlink w:anchor="_Toc234242763" w:history="1">
            <w:r w:rsidR="00C37FFB" w:rsidRPr="00177E58">
              <w:rPr>
                <w:rStyle w:val="Hipervnculo"/>
                <w:b/>
                <w:bCs/>
                <w:noProof/>
              </w:rPr>
              <w:t>Lineamientos de política Nuestro Hábitat Biodiverso</w:t>
            </w:r>
            <w:r w:rsidR="00C37FFB">
              <w:rPr>
                <w:noProof/>
                <w:webHidden/>
              </w:rPr>
              <w:tab/>
            </w:r>
            <w:r w:rsidR="00C37FFB">
              <w:rPr>
                <w:noProof/>
                <w:webHidden/>
              </w:rPr>
              <w:fldChar w:fldCharType="begin"/>
            </w:r>
            <w:r w:rsidR="00C37FFB">
              <w:rPr>
                <w:noProof/>
                <w:webHidden/>
              </w:rPr>
              <w:instrText xml:space="preserve"> PAGEREF _Toc234242763 \h </w:instrText>
            </w:r>
            <w:r w:rsidR="00C37FFB">
              <w:rPr>
                <w:noProof/>
                <w:webHidden/>
              </w:rPr>
            </w:r>
            <w:r w:rsidR="00C37FFB">
              <w:rPr>
                <w:noProof/>
                <w:webHidden/>
              </w:rPr>
              <w:fldChar w:fldCharType="separate"/>
            </w:r>
            <w:r w:rsidR="00C37FFB">
              <w:rPr>
                <w:noProof/>
                <w:webHidden/>
              </w:rPr>
              <w:t>1</w:t>
            </w:r>
            <w:r w:rsidR="00C37FFB">
              <w:rPr>
                <w:noProof/>
                <w:webHidden/>
              </w:rPr>
              <w:fldChar w:fldCharType="end"/>
            </w:r>
          </w:hyperlink>
        </w:p>
        <w:p w14:paraId="342BC9EA" w14:textId="36F204D5" w:rsidR="00C37FFB" w:rsidRDefault="00C37FFB">
          <w:pPr>
            <w:pStyle w:val="TDC1"/>
            <w:tabs>
              <w:tab w:val="right" w:leader="dot" w:pos="8828"/>
            </w:tabs>
            <w:rPr>
              <w:rFonts w:eastAsiaTheme="minorEastAsia"/>
              <w:noProof/>
              <w:kern w:val="2"/>
              <w:sz w:val="24"/>
              <w:szCs w:val="24"/>
              <w:lang w:eastAsia="es-CO"/>
              <w14:ligatures w14:val="standardContextual"/>
            </w:rPr>
          </w:pPr>
          <w:hyperlink w:anchor="_Toc234242764" w:history="1">
            <w:r w:rsidRPr="00177E58">
              <w:rPr>
                <w:rStyle w:val="Hipervnculo"/>
                <w:b/>
                <w:bCs/>
                <w:noProof/>
              </w:rPr>
              <w:t>Paradigmas en tensión: el caso del Ministerio de Vivienda, Ciudad y Territorio</w:t>
            </w:r>
            <w:r>
              <w:rPr>
                <w:noProof/>
                <w:webHidden/>
              </w:rPr>
              <w:tab/>
            </w:r>
            <w:r>
              <w:rPr>
                <w:noProof/>
                <w:webHidden/>
              </w:rPr>
              <w:fldChar w:fldCharType="begin"/>
            </w:r>
            <w:r>
              <w:rPr>
                <w:noProof/>
                <w:webHidden/>
              </w:rPr>
              <w:instrText xml:space="preserve"> PAGEREF _Toc234242764 \h </w:instrText>
            </w:r>
            <w:r>
              <w:rPr>
                <w:noProof/>
                <w:webHidden/>
              </w:rPr>
            </w:r>
            <w:r>
              <w:rPr>
                <w:noProof/>
                <w:webHidden/>
              </w:rPr>
              <w:fldChar w:fldCharType="separate"/>
            </w:r>
            <w:r>
              <w:rPr>
                <w:noProof/>
                <w:webHidden/>
              </w:rPr>
              <w:t>1</w:t>
            </w:r>
            <w:r>
              <w:rPr>
                <w:noProof/>
                <w:webHidden/>
              </w:rPr>
              <w:fldChar w:fldCharType="end"/>
            </w:r>
          </w:hyperlink>
        </w:p>
        <w:p w14:paraId="0EEDE7D5" w14:textId="69962D49" w:rsidR="00C37FFB" w:rsidRDefault="00C37FFB">
          <w:pPr>
            <w:pStyle w:val="TDC1"/>
            <w:tabs>
              <w:tab w:val="right" w:leader="dot" w:pos="8828"/>
            </w:tabs>
            <w:rPr>
              <w:rFonts w:eastAsiaTheme="minorEastAsia"/>
              <w:noProof/>
              <w:kern w:val="2"/>
              <w:sz w:val="24"/>
              <w:szCs w:val="24"/>
              <w:lang w:eastAsia="es-CO"/>
              <w14:ligatures w14:val="standardContextual"/>
            </w:rPr>
          </w:pPr>
          <w:hyperlink w:anchor="_Toc234242765" w:history="1">
            <w:r w:rsidRPr="00177E58">
              <w:rPr>
                <w:rStyle w:val="Hipervnculo"/>
                <w:noProof/>
              </w:rPr>
              <w:t>Introducción</w:t>
            </w:r>
            <w:r>
              <w:rPr>
                <w:noProof/>
                <w:webHidden/>
              </w:rPr>
              <w:tab/>
            </w:r>
            <w:r>
              <w:rPr>
                <w:noProof/>
                <w:webHidden/>
              </w:rPr>
              <w:fldChar w:fldCharType="begin"/>
            </w:r>
            <w:r>
              <w:rPr>
                <w:noProof/>
                <w:webHidden/>
              </w:rPr>
              <w:instrText xml:space="preserve"> PAGEREF _Toc234242765 \h </w:instrText>
            </w:r>
            <w:r>
              <w:rPr>
                <w:noProof/>
                <w:webHidden/>
              </w:rPr>
            </w:r>
            <w:r>
              <w:rPr>
                <w:noProof/>
                <w:webHidden/>
              </w:rPr>
              <w:fldChar w:fldCharType="separate"/>
            </w:r>
            <w:r>
              <w:rPr>
                <w:noProof/>
                <w:webHidden/>
              </w:rPr>
              <w:t>7</w:t>
            </w:r>
            <w:r>
              <w:rPr>
                <w:noProof/>
                <w:webHidden/>
              </w:rPr>
              <w:fldChar w:fldCharType="end"/>
            </w:r>
          </w:hyperlink>
        </w:p>
        <w:p w14:paraId="57E39757" w14:textId="567DF3D5" w:rsidR="00C37FFB" w:rsidRDefault="00C37FFB">
          <w:pPr>
            <w:pStyle w:val="TDC2"/>
            <w:tabs>
              <w:tab w:val="right" w:leader="dot" w:pos="8828"/>
            </w:tabs>
            <w:rPr>
              <w:rFonts w:eastAsiaTheme="minorEastAsia"/>
              <w:noProof/>
              <w:kern w:val="2"/>
              <w:sz w:val="24"/>
              <w:szCs w:val="24"/>
              <w:lang w:eastAsia="es-CO"/>
              <w14:ligatures w14:val="standardContextual"/>
            </w:rPr>
          </w:pPr>
          <w:hyperlink w:anchor="_Toc234242766" w:history="1">
            <w:r w:rsidRPr="00177E58">
              <w:rPr>
                <w:rStyle w:val="Hipervnculo"/>
                <w:noProof/>
                <w:lang w:val="es-ES_tradnl"/>
              </w:rPr>
              <w:t>El sentido político y programático del cambio de paradigma</w:t>
            </w:r>
            <w:r>
              <w:rPr>
                <w:noProof/>
                <w:webHidden/>
              </w:rPr>
              <w:tab/>
            </w:r>
            <w:r>
              <w:rPr>
                <w:noProof/>
                <w:webHidden/>
              </w:rPr>
              <w:fldChar w:fldCharType="begin"/>
            </w:r>
            <w:r>
              <w:rPr>
                <w:noProof/>
                <w:webHidden/>
              </w:rPr>
              <w:instrText xml:space="preserve"> PAGEREF _Toc234242766 \h </w:instrText>
            </w:r>
            <w:r>
              <w:rPr>
                <w:noProof/>
                <w:webHidden/>
              </w:rPr>
            </w:r>
            <w:r>
              <w:rPr>
                <w:noProof/>
                <w:webHidden/>
              </w:rPr>
              <w:fldChar w:fldCharType="separate"/>
            </w:r>
            <w:r>
              <w:rPr>
                <w:noProof/>
                <w:webHidden/>
              </w:rPr>
              <w:t>10</w:t>
            </w:r>
            <w:r>
              <w:rPr>
                <w:noProof/>
                <w:webHidden/>
              </w:rPr>
              <w:fldChar w:fldCharType="end"/>
            </w:r>
          </w:hyperlink>
        </w:p>
        <w:p w14:paraId="5131D0F3" w14:textId="51071BD8" w:rsidR="00C37FFB" w:rsidRDefault="00C37FFB">
          <w:pPr>
            <w:pStyle w:val="TDC2"/>
            <w:tabs>
              <w:tab w:val="right" w:leader="dot" w:pos="8828"/>
            </w:tabs>
            <w:rPr>
              <w:rFonts w:eastAsiaTheme="minorEastAsia"/>
              <w:noProof/>
              <w:kern w:val="2"/>
              <w:sz w:val="24"/>
              <w:szCs w:val="24"/>
              <w:lang w:eastAsia="es-CO"/>
              <w14:ligatures w14:val="standardContextual"/>
            </w:rPr>
          </w:pPr>
          <w:hyperlink w:anchor="_Toc234242767" w:history="1">
            <w:r w:rsidRPr="00177E58">
              <w:rPr>
                <w:rStyle w:val="Hipervnculo"/>
                <w:noProof/>
              </w:rPr>
              <w:t>Un propósito fundamental desde el gobierno progresista: desligar el derecho a la vivienda de una economía de mercado</w:t>
            </w:r>
            <w:r>
              <w:rPr>
                <w:noProof/>
                <w:webHidden/>
              </w:rPr>
              <w:tab/>
            </w:r>
            <w:r>
              <w:rPr>
                <w:noProof/>
                <w:webHidden/>
              </w:rPr>
              <w:fldChar w:fldCharType="begin"/>
            </w:r>
            <w:r>
              <w:rPr>
                <w:noProof/>
                <w:webHidden/>
              </w:rPr>
              <w:instrText xml:space="preserve"> PAGEREF _Toc234242767 \h </w:instrText>
            </w:r>
            <w:r>
              <w:rPr>
                <w:noProof/>
                <w:webHidden/>
              </w:rPr>
            </w:r>
            <w:r>
              <w:rPr>
                <w:noProof/>
                <w:webHidden/>
              </w:rPr>
              <w:fldChar w:fldCharType="separate"/>
            </w:r>
            <w:r>
              <w:rPr>
                <w:noProof/>
                <w:webHidden/>
              </w:rPr>
              <w:t>12</w:t>
            </w:r>
            <w:r>
              <w:rPr>
                <w:noProof/>
                <w:webHidden/>
              </w:rPr>
              <w:fldChar w:fldCharType="end"/>
            </w:r>
          </w:hyperlink>
        </w:p>
        <w:p w14:paraId="7F29ED24" w14:textId="34396949" w:rsidR="00C37FFB" w:rsidRDefault="00C37FFB">
          <w:pPr>
            <w:pStyle w:val="TDC2"/>
            <w:tabs>
              <w:tab w:val="right" w:leader="dot" w:pos="8828"/>
            </w:tabs>
            <w:rPr>
              <w:rFonts w:eastAsiaTheme="minorEastAsia"/>
              <w:noProof/>
              <w:kern w:val="2"/>
              <w:sz w:val="24"/>
              <w:szCs w:val="24"/>
              <w:lang w:eastAsia="es-CO"/>
              <w14:ligatures w14:val="standardContextual"/>
            </w:rPr>
          </w:pPr>
          <w:hyperlink w:anchor="_Toc234242768" w:history="1">
            <w:r w:rsidRPr="00177E58">
              <w:rPr>
                <w:rStyle w:val="Hipervnculo"/>
                <w:noProof/>
              </w:rPr>
              <w:t>El punto de partida del nuevo paradigma: los dieciocho decretos</w:t>
            </w:r>
            <w:r>
              <w:rPr>
                <w:noProof/>
                <w:webHidden/>
              </w:rPr>
              <w:tab/>
            </w:r>
            <w:r>
              <w:rPr>
                <w:noProof/>
                <w:webHidden/>
              </w:rPr>
              <w:fldChar w:fldCharType="begin"/>
            </w:r>
            <w:r>
              <w:rPr>
                <w:noProof/>
                <w:webHidden/>
              </w:rPr>
              <w:instrText xml:space="preserve"> PAGEREF _Toc234242768 \h </w:instrText>
            </w:r>
            <w:r>
              <w:rPr>
                <w:noProof/>
                <w:webHidden/>
              </w:rPr>
            </w:r>
            <w:r>
              <w:rPr>
                <w:noProof/>
                <w:webHidden/>
              </w:rPr>
              <w:fldChar w:fldCharType="separate"/>
            </w:r>
            <w:r>
              <w:rPr>
                <w:noProof/>
                <w:webHidden/>
              </w:rPr>
              <w:t>13</w:t>
            </w:r>
            <w:r>
              <w:rPr>
                <w:noProof/>
                <w:webHidden/>
              </w:rPr>
              <w:fldChar w:fldCharType="end"/>
            </w:r>
          </w:hyperlink>
        </w:p>
        <w:p w14:paraId="067B6961" w14:textId="331487F6"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769" w:history="1">
            <w:r w:rsidRPr="00177E58">
              <w:rPr>
                <w:rStyle w:val="Hipervnculo"/>
                <w:noProof/>
              </w:rPr>
              <w:t>En vivienda</w:t>
            </w:r>
            <w:r>
              <w:rPr>
                <w:noProof/>
                <w:webHidden/>
              </w:rPr>
              <w:tab/>
            </w:r>
            <w:r>
              <w:rPr>
                <w:noProof/>
                <w:webHidden/>
              </w:rPr>
              <w:fldChar w:fldCharType="begin"/>
            </w:r>
            <w:r>
              <w:rPr>
                <w:noProof/>
                <w:webHidden/>
              </w:rPr>
              <w:instrText xml:space="preserve"> PAGEREF _Toc234242769 \h </w:instrText>
            </w:r>
            <w:r>
              <w:rPr>
                <w:noProof/>
                <w:webHidden/>
              </w:rPr>
            </w:r>
            <w:r>
              <w:rPr>
                <w:noProof/>
                <w:webHidden/>
              </w:rPr>
              <w:fldChar w:fldCharType="separate"/>
            </w:r>
            <w:r>
              <w:rPr>
                <w:noProof/>
                <w:webHidden/>
              </w:rPr>
              <w:t>13</w:t>
            </w:r>
            <w:r>
              <w:rPr>
                <w:noProof/>
                <w:webHidden/>
              </w:rPr>
              <w:fldChar w:fldCharType="end"/>
            </w:r>
          </w:hyperlink>
        </w:p>
        <w:p w14:paraId="478665E9" w14:textId="560F1FD8"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770" w:history="1">
            <w:r w:rsidRPr="00177E58">
              <w:rPr>
                <w:rStyle w:val="Hipervnculo"/>
                <w:noProof/>
              </w:rPr>
              <w:t>En agua apta para el consumo humano y saneamiento básico</w:t>
            </w:r>
            <w:r>
              <w:rPr>
                <w:noProof/>
                <w:webHidden/>
              </w:rPr>
              <w:tab/>
            </w:r>
            <w:r>
              <w:rPr>
                <w:noProof/>
                <w:webHidden/>
              </w:rPr>
              <w:fldChar w:fldCharType="begin"/>
            </w:r>
            <w:r>
              <w:rPr>
                <w:noProof/>
                <w:webHidden/>
              </w:rPr>
              <w:instrText xml:space="preserve"> PAGEREF _Toc234242770 \h </w:instrText>
            </w:r>
            <w:r>
              <w:rPr>
                <w:noProof/>
                <w:webHidden/>
              </w:rPr>
            </w:r>
            <w:r>
              <w:rPr>
                <w:noProof/>
                <w:webHidden/>
              </w:rPr>
              <w:fldChar w:fldCharType="separate"/>
            </w:r>
            <w:r>
              <w:rPr>
                <w:noProof/>
                <w:webHidden/>
              </w:rPr>
              <w:t>15</w:t>
            </w:r>
            <w:r>
              <w:rPr>
                <w:noProof/>
                <w:webHidden/>
              </w:rPr>
              <w:fldChar w:fldCharType="end"/>
            </w:r>
          </w:hyperlink>
        </w:p>
        <w:p w14:paraId="0A0073EA" w14:textId="0D8CD7E4" w:rsidR="00C37FFB" w:rsidRDefault="00C37FFB">
          <w:pPr>
            <w:pStyle w:val="TDC2"/>
            <w:tabs>
              <w:tab w:val="right" w:leader="dot" w:pos="8828"/>
            </w:tabs>
            <w:rPr>
              <w:rFonts w:eastAsiaTheme="minorEastAsia"/>
              <w:noProof/>
              <w:kern w:val="2"/>
              <w:sz w:val="24"/>
              <w:szCs w:val="24"/>
              <w:lang w:eastAsia="es-CO"/>
              <w14:ligatures w14:val="standardContextual"/>
            </w:rPr>
          </w:pPr>
          <w:hyperlink w:anchor="_Toc234242771" w:history="1">
            <w:r w:rsidRPr="00177E58">
              <w:rPr>
                <w:rStyle w:val="Hipervnculo"/>
                <w:noProof/>
              </w:rPr>
              <w:t>Adecuación institucional: avances y límites</w:t>
            </w:r>
            <w:r>
              <w:rPr>
                <w:noProof/>
                <w:webHidden/>
              </w:rPr>
              <w:tab/>
            </w:r>
            <w:r>
              <w:rPr>
                <w:noProof/>
                <w:webHidden/>
              </w:rPr>
              <w:fldChar w:fldCharType="begin"/>
            </w:r>
            <w:r>
              <w:rPr>
                <w:noProof/>
                <w:webHidden/>
              </w:rPr>
              <w:instrText xml:space="preserve"> PAGEREF _Toc234242771 \h </w:instrText>
            </w:r>
            <w:r>
              <w:rPr>
                <w:noProof/>
                <w:webHidden/>
              </w:rPr>
            </w:r>
            <w:r>
              <w:rPr>
                <w:noProof/>
                <w:webHidden/>
              </w:rPr>
              <w:fldChar w:fldCharType="separate"/>
            </w:r>
            <w:r>
              <w:rPr>
                <w:noProof/>
                <w:webHidden/>
              </w:rPr>
              <w:t>18</w:t>
            </w:r>
            <w:r>
              <w:rPr>
                <w:noProof/>
                <w:webHidden/>
              </w:rPr>
              <w:fldChar w:fldCharType="end"/>
            </w:r>
          </w:hyperlink>
        </w:p>
        <w:p w14:paraId="4E6B8A6F" w14:textId="79CA1B54" w:rsidR="00C37FFB" w:rsidRDefault="00C37FFB">
          <w:pPr>
            <w:pStyle w:val="TDC2"/>
            <w:tabs>
              <w:tab w:val="right" w:leader="dot" w:pos="8828"/>
            </w:tabs>
            <w:rPr>
              <w:rFonts w:eastAsiaTheme="minorEastAsia"/>
              <w:noProof/>
              <w:kern w:val="2"/>
              <w:sz w:val="24"/>
              <w:szCs w:val="24"/>
              <w:lang w:eastAsia="es-CO"/>
              <w14:ligatures w14:val="standardContextual"/>
            </w:rPr>
          </w:pPr>
          <w:hyperlink w:anchor="_Toc234242772" w:history="1">
            <w:r w:rsidRPr="00177E58">
              <w:rPr>
                <w:rStyle w:val="Hipervnculo"/>
                <w:noProof/>
              </w:rPr>
              <w:t>Nuestro Hábitat Biodiverso y el ordenamiento del territorio alrededor del agua</w:t>
            </w:r>
            <w:r>
              <w:rPr>
                <w:noProof/>
                <w:webHidden/>
              </w:rPr>
              <w:tab/>
            </w:r>
            <w:r>
              <w:rPr>
                <w:noProof/>
                <w:webHidden/>
              </w:rPr>
              <w:fldChar w:fldCharType="begin"/>
            </w:r>
            <w:r>
              <w:rPr>
                <w:noProof/>
                <w:webHidden/>
              </w:rPr>
              <w:instrText xml:space="preserve"> PAGEREF _Toc234242772 \h </w:instrText>
            </w:r>
            <w:r>
              <w:rPr>
                <w:noProof/>
                <w:webHidden/>
              </w:rPr>
            </w:r>
            <w:r>
              <w:rPr>
                <w:noProof/>
                <w:webHidden/>
              </w:rPr>
              <w:fldChar w:fldCharType="separate"/>
            </w:r>
            <w:r>
              <w:rPr>
                <w:noProof/>
                <w:webHidden/>
              </w:rPr>
              <w:t>20</w:t>
            </w:r>
            <w:r>
              <w:rPr>
                <w:noProof/>
                <w:webHidden/>
              </w:rPr>
              <w:fldChar w:fldCharType="end"/>
            </w:r>
          </w:hyperlink>
        </w:p>
        <w:p w14:paraId="0EAAA788" w14:textId="3A561597" w:rsidR="00C37FFB" w:rsidRDefault="00C37FFB">
          <w:pPr>
            <w:pStyle w:val="TDC2"/>
            <w:tabs>
              <w:tab w:val="right" w:leader="dot" w:pos="8828"/>
            </w:tabs>
            <w:rPr>
              <w:rFonts w:eastAsiaTheme="minorEastAsia"/>
              <w:noProof/>
              <w:kern w:val="2"/>
              <w:sz w:val="24"/>
              <w:szCs w:val="24"/>
              <w:lang w:eastAsia="es-CO"/>
              <w14:ligatures w14:val="standardContextual"/>
            </w:rPr>
          </w:pPr>
          <w:hyperlink w:anchor="_Toc234242773" w:history="1">
            <w:r w:rsidRPr="00177E58">
              <w:rPr>
                <w:rStyle w:val="Hipervnculo"/>
                <w:noProof/>
              </w:rPr>
              <w:t>Un paradigma en tensión</w:t>
            </w:r>
            <w:r>
              <w:rPr>
                <w:noProof/>
                <w:webHidden/>
              </w:rPr>
              <w:tab/>
            </w:r>
            <w:r>
              <w:rPr>
                <w:noProof/>
                <w:webHidden/>
              </w:rPr>
              <w:fldChar w:fldCharType="begin"/>
            </w:r>
            <w:r>
              <w:rPr>
                <w:noProof/>
                <w:webHidden/>
              </w:rPr>
              <w:instrText xml:space="preserve"> PAGEREF _Toc234242773 \h </w:instrText>
            </w:r>
            <w:r>
              <w:rPr>
                <w:noProof/>
                <w:webHidden/>
              </w:rPr>
            </w:r>
            <w:r>
              <w:rPr>
                <w:noProof/>
                <w:webHidden/>
              </w:rPr>
              <w:fldChar w:fldCharType="separate"/>
            </w:r>
            <w:r>
              <w:rPr>
                <w:noProof/>
                <w:webHidden/>
              </w:rPr>
              <w:t>21</w:t>
            </w:r>
            <w:r>
              <w:rPr>
                <w:noProof/>
                <w:webHidden/>
              </w:rPr>
              <w:fldChar w:fldCharType="end"/>
            </w:r>
          </w:hyperlink>
        </w:p>
        <w:p w14:paraId="43E9D2C4" w14:textId="42386216" w:rsidR="00C37FFB" w:rsidRDefault="00C37FFB">
          <w:pPr>
            <w:pStyle w:val="TDC1"/>
            <w:tabs>
              <w:tab w:val="right" w:leader="dot" w:pos="8828"/>
            </w:tabs>
            <w:rPr>
              <w:rFonts w:eastAsiaTheme="minorEastAsia"/>
              <w:noProof/>
              <w:kern w:val="2"/>
              <w:sz w:val="24"/>
              <w:szCs w:val="24"/>
              <w:lang w:eastAsia="es-CO"/>
              <w14:ligatures w14:val="standardContextual"/>
            </w:rPr>
          </w:pPr>
          <w:hyperlink w:anchor="_Toc234242774" w:history="1">
            <w:r w:rsidRPr="00177E58">
              <w:rPr>
                <w:rStyle w:val="Hipervnculo"/>
                <w:noProof/>
              </w:rPr>
              <w:t>1. Los problemas de la política pública de vivienda y agua y saneamiento básico para transitar hacia el hábitat</w:t>
            </w:r>
            <w:r>
              <w:rPr>
                <w:noProof/>
                <w:webHidden/>
              </w:rPr>
              <w:tab/>
            </w:r>
            <w:r>
              <w:rPr>
                <w:noProof/>
                <w:webHidden/>
              </w:rPr>
              <w:fldChar w:fldCharType="begin"/>
            </w:r>
            <w:r>
              <w:rPr>
                <w:noProof/>
                <w:webHidden/>
              </w:rPr>
              <w:instrText xml:space="preserve"> PAGEREF _Toc234242774 \h </w:instrText>
            </w:r>
            <w:r>
              <w:rPr>
                <w:noProof/>
                <w:webHidden/>
              </w:rPr>
            </w:r>
            <w:r>
              <w:rPr>
                <w:noProof/>
                <w:webHidden/>
              </w:rPr>
              <w:fldChar w:fldCharType="separate"/>
            </w:r>
            <w:r>
              <w:rPr>
                <w:noProof/>
                <w:webHidden/>
              </w:rPr>
              <w:t>23</w:t>
            </w:r>
            <w:r>
              <w:rPr>
                <w:noProof/>
                <w:webHidden/>
              </w:rPr>
              <w:fldChar w:fldCharType="end"/>
            </w:r>
          </w:hyperlink>
        </w:p>
        <w:p w14:paraId="7C47722E" w14:textId="101917B8" w:rsidR="00C37FFB" w:rsidRDefault="00C37FFB">
          <w:pPr>
            <w:pStyle w:val="TDC2"/>
            <w:tabs>
              <w:tab w:val="right" w:leader="dot" w:pos="8828"/>
            </w:tabs>
            <w:rPr>
              <w:rFonts w:eastAsiaTheme="minorEastAsia"/>
              <w:noProof/>
              <w:kern w:val="2"/>
              <w:sz w:val="24"/>
              <w:szCs w:val="24"/>
              <w:lang w:eastAsia="es-CO"/>
              <w14:ligatures w14:val="standardContextual"/>
            </w:rPr>
          </w:pPr>
          <w:hyperlink w:anchor="_Toc234242775" w:history="1">
            <w:r w:rsidRPr="00177E58">
              <w:rPr>
                <w:rStyle w:val="Hipervnculo"/>
                <w:noProof/>
              </w:rPr>
              <w:t>1.1. La forma de operación: la vivienda convertida en el «yo»</w:t>
            </w:r>
            <w:r>
              <w:rPr>
                <w:noProof/>
                <w:webHidden/>
              </w:rPr>
              <w:tab/>
            </w:r>
            <w:r>
              <w:rPr>
                <w:noProof/>
                <w:webHidden/>
              </w:rPr>
              <w:fldChar w:fldCharType="begin"/>
            </w:r>
            <w:r>
              <w:rPr>
                <w:noProof/>
                <w:webHidden/>
              </w:rPr>
              <w:instrText xml:space="preserve"> PAGEREF _Toc234242775 \h </w:instrText>
            </w:r>
            <w:r>
              <w:rPr>
                <w:noProof/>
                <w:webHidden/>
              </w:rPr>
            </w:r>
            <w:r>
              <w:rPr>
                <w:noProof/>
                <w:webHidden/>
              </w:rPr>
              <w:fldChar w:fldCharType="separate"/>
            </w:r>
            <w:r>
              <w:rPr>
                <w:noProof/>
                <w:webHidden/>
              </w:rPr>
              <w:t>23</w:t>
            </w:r>
            <w:r>
              <w:rPr>
                <w:noProof/>
                <w:webHidden/>
              </w:rPr>
              <w:fldChar w:fldCharType="end"/>
            </w:r>
          </w:hyperlink>
        </w:p>
        <w:p w14:paraId="5BF44BC4" w14:textId="49840DA7"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776" w:history="1">
            <w:r w:rsidRPr="00177E58">
              <w:rPr>
                <w:rStyle w:val="Hipervnculo"/>
                <w:noProof/>
              </w:rPr>
              <w:t>Algunos datos y argumentos del sector privado que aún perduran</w:t>
            </w:r>
            <w:r>
              <w:rPr>
                <w:noProof/>
                <w:webHidden/>
              </w:rPr>
              <w:tab/>
            </w:r>
            <w:r>
              <w:rPr>
                <w:noProof/>
                <w:webHidden/>
              </w:rPr>
              <w:fldChar w:fldCharType="begin"/>
            </w:r>
            <w:r>
              <w:rPr>
                <w:noProof/>
                <w:webHidden/>
              </w:rPr>
              <w:instrText xml:space="preserve"> PAGEREF _Toc234242776 \h </w:instrText>
            </w:r>
            <w:r>
              <w:rPr>
                <w:noProof/>
                <w:webHidden/>
              </w:rPr>
            </w:r>
            <w:r>
              <w:rPr>
                <w:noProof/>
                <w:webHidden/>
              </w:rPr>
              <w:fldChar w:fldCharType="separate"/>
            </w:r>
            <w:r>
              <w:rPr>
                <w:noProof/>
                <w:webHidden/>
              </w:rPr>
              <w:t>26</w:t>
            </w:r>
            <w:r>
              <w:rPr>
                <w:noProof/>
                <w:webHidden/>
              </w:rPr>
              <w:fldChar w:fldCharType="end"/>
            </w:r>
          </w:hyperlink>
        </w:p>
        <w:p w14:paraId="460B7E30" w14:textId="02E52552" w:rsidR="00C37FFB" w:rsidRDefault="00C37FFB">
          <w:pPr>
            <w:pStyle w:val="TDC2"/>
            <w:tabs>
              <w:tab w:val="right" w:leader="dot" w:pos="8828"/>
            </w:tabs>
            <w:rPr>
              <w:rFonts w:eastAsiaTheme="minorEastAsia"/>
              <w:noProof/>
              <w:kern w:val="2"/>
              <w:sz w:val="24"/>
              <w:szCs w:val="24"/>
              <w:lang w:eastAsia="es-CO"/>
              <w14:ligatures w14:val="standardContextual"/>
            </w:rPr>
          </w:pPr>
          <w:hyperlink w:anchor="_Toc234242777" w:history="1">
            <w:r w:rsidRPr="00177E58">
              <w:rPr>
                <w:rStyle w:val="Hipervnculo"/>
                <w:noProof/>
              </w:rPr>
              <w:t>1.2. Problemas de enfoque, estructurales, técnicos e institucionales en materia de agua para el consumo humano y saneamiento básico</w:t>
            </w:r>
            <w:r>
              <w:rPr>
                <w:noProof/>
                <w:webHidden/>
              </w:rPr>
              <w:tab/>
            </w:r>
            <w:r>
              <w:rPr>
                <w:noProof/>
                <w:webHidden/>
              </w:rPr>
              <w:fldChar w:fldCharType="begin"/>
            </w:r>
            <w:r>
              <w:rPr>
                <w:noProof/>
                <w:webHidden/>
              </w:rPr>
              <w:instrText xml:space="preserve"> PAGEREF _Toc234242777 \h </w:instrText>
            </w:r>
            <w:r>
              <w:rPr>
                <w:noProof/>
                <w:webHidden/>
              </w:rPr>
            </w:r>
            <w:r>
              <w:rPr>
                <w:noProof/>
                <w:webHidden/>
              </w:rPr>
              <w:fldChar w:fldCharType="separate"/>
            </w:r>
            <w:r>
              <w:rPr>
                <w:noProof/>
                <w:webHidden/>
              </w:rPr>
              <w:t>33</w:t>
            </w:r>
            <w:r>
              <w:rPr>
                <w:noProof/>
                <w:webHidden/>
              </w:rPr>
              <w:fldChar w:fldCharType="end"/>
            </w:r>
          </w:hyperlink>
        </w:p>
        <w:p w14:paraId="41F4C510" w14:textId="376107F4"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778" w:history="1">
            <w:r w:rsidRPr="00177E58">
              <w:rPr>
                <w:rStyle w:val="Hipervnculo"/>
                <w:noProof/>
              </w:rPr>
              <w:t>1.2.1. El enfoque: causas estructurales de la desigualdad</w:t>
            </w:r>
            <w:r>
              <w:rPr>
                <w:noProof/>
                <w:webHidden/>
              </w:rPr>
              <w:tab/>
            </w:r>
            <w:r>
              <w:rPr>
                <w:noProof/>
                <w:webHidden/>
              </w:rPr>
              <w:fldChar w:fldCharType="begin"/>
            </w:r>
            <w:r>
              <w:rPr>
                <w:noProof/>
                <w:webHidden/>
              </w:rPr>
              <w:instrText xml:space="preserve"> PAGEREF _Toc234242778 \h </w:instrText>
            </w:r>
            <w:r>
              <w:rPr>
                <w:noProof/>
                <w:webHidden/>
              </w:rPr>
            </w:r>
            <w:r>
              <w:rPr>
                <w:noProof/>
                <w:webHidden/>
              </w:rPr>
              <w:fldChar w:fldCharType="separate"/>
            </w:r>
            <w:r>
              <w:rPr>
                <w:noProof/>
                <w:webHidden/>
              </w:rPr>
              <w:t>34</w:t>
            </w:r>
            <w:r>
              <w:rPr>
                <w:noProof/>
                <w:webHidden/>
              </w:rPr>
              <w:fldChar w:fldCharType="end"/>
            </w:r>
          </w:hyperlink>
        </w:p>
        <w:p w14:paraId="6638D78B" w14:textId="27D7C4FA"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779" w:history="1">
            <w:r w:rsidRPr="00177E58">
              <w:rPr>
                <w:rStyle w:val="Hipervnculo"/>
                <w:noProof/>
              </w:rPr>
              <w:t>Problemas estructurales</w:t>
            </w:r>
            <w:r>
              <w:rPr>
                <w:noProof/>
                <w:webHidden/>
              </w:rPr>
              <w:tab/>
            </w:r>
            <w:r>
              <w:rPr>
                <w:noProof/>
                <w:webHidden/>
              </w:rPr>
              <w:fldChar w:fldCharType="begin"/>
            </w:r>
            <w:r>
              <w:rPr>
                <w:noProof/>
                <w:webHidden/>
              </w:rPr>
              <w:instrText xml:space="preserve"> PAGEREF _Toc234242779 \h </w:instrText>
            </w:r>
            <w:r>
              <w:rPr>
                <w:noProof/>
                <w:webHidden/>
              </w:rPr>
            </w:r>
            <w:r>
              <w:rPr>
                <w:noProof/>
                <w:webHidden/>
              </w:rPr>
              <w:fldChar w:fldCharType="separate"/>
            </w:r>
            <w:r>
              <w:rPr>
                <w:noProof/>
                <w:webHidden/>
              </w:rPr>
              <w:t>34</w:t>
            </w:r>
            <w:r>
              <w:rPr>
                <w:noProof/>
                <w:webHidden/>
              </w:rPr>
              <w:fldChar w:fldCharType="end"/>
            </w:r>
          </w:hyperlink>
        </w:p>
        <w:p w14:paraId="2DB1DC71" w14:textId="44645953"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780" w:history="1">
            <w:r w:rsidRPr="00177E58">
              <w:rPr>
                <w:rStyle w:val="Hipervnculo"/>
                <w:noProof/>
              </w:rPr>
              <w:t>Problemas técnicos</w:t>
            </w:r>
            <w:r>
              <w:rPr>
                <w:noProof/>
                <w:webHidden/>
              </w:rPr>
              <w:tab/>
            </w:r>
            <w:r>
              <w:rPr>
                <w:noProof/>
                <w:webHidden/>
              </w:rPr>
              <w:fldChar w:fldCharType="begin"/>
            </w:r>
            <w:r>
              <w:rPr>
                <w:noProof/>
                <w:webHidden/>
              </w:rPr>
              <w:instrText xml:space="preserve"> PAGEREF _Toc234242780 \h </w:instrText>
            </w:r>
            <w:r>
              <w:rPr>
                <w:noProof/>
                <w:webHidden/>
              </w:rPr>
            </w:r>
            <w:r>
              <w:rPr>
                <w:noProof/>
                <w:webHidden/>
              </w:rPr>
              <w:fldChar w:fldCharType="separate"/>
            </w:r>
            <w:r>
              <w:rPr>
                <w:noProof/>
                <w:webHidden/>
              </w:rPr>
              <w:t>36</w:t>
            </w:r>
            <w:r>
              <w:rPr>
                <w:noProof/>
                <w:webHidden/>
              </w:rPr>
              <w:fldChar w:fldCharType="end"/>
            </w:r>
          </w:hyperlink>
        </w:p>
        <w:p w14:paraId="1B62B8F0" w14:textId="64E23A7E"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781" w:history="1">
            <w:r w:rsidRPr="00177E58">
              <w:rPr>
                <w:rStyle w:val="Hipervnculo"/>
                <w:noProof/>
              </w:rPr>
              <w:t>Problemas por la priorización de la vivienda frente al agua y saneamiento básico</w:t>
            </w:r>
            <w:r>
              <w:rPr>
                <w:noProof/>
                <w:webHidden/>
              </w:rPr>
              <w:tab/>
            </w:r>
            <w:r>
              <w:rPr>
                <w:noProof/>
                <w:webHidden/>
              </w:rPr>
              <w:fldChar w:fldCharType="begin"/>
            </w:r>
            <w:r>
              <w:rPr>
                <w:noProof/>
                <w:webHidden/>
              </w:rPr>
              <w:instrText xml:space="preserve"> PAGEREF _Toc234242781 \h </w:instrText>
            </w:r>
            <w:r>
              <w:rPr>
                <w:noProof/>
                <w:webHidden/>
              </w:rPr>
            </w:r>
            <w:r>
              <w:rPr>
                <w:noProof/>
                <w:webHidden/>
              </w:rPr>
              <w:fldChar w:fldCharType="separate"/>
            </w:r>
            <w:r>
              <w:rPr>
                <w:noProof/>
                <w:webHidden/>
              </w:rPr>
              <w:t>36</w:t>
            </w:r>
            <w:r>
              <w:rPr>
                <w:noProof/>
                <w:webHidden/>
              </w:rPr>
              <w:fldChar w:fldCharType="end"/>
            </w:r>
          </w:hyperlink>
        </w:p>
        <w:p w14:paraId="355D9984" w14:textId="30905BA6" w:rsidR="00C37FFB" w:rsidRDefault="00C37FFB">
          <w:pPr>
            <w:pStyle w:val="TDC2"/>
            <w:tabs>
              <w:tab w:val="right" w:leader="dot" w:pos="8828"/>
            </w:tabs>
            <w:rPr>
              <w:rFonts w:eastAsiaTheme="minorEastAsia"/>
              <w:noProof/>
              <w:kern w:val="2"/>
              <w:sz w:val="24"/>
              <w:szCs w:val="24"/>
              <w:lang w:eastAsia="es-CO"/>
              <w14:ligatures w14:val="standardContextual"/>
            </w:rPr>
          </w:pPr>
          <w:hyperlink w:anchor="_Toc234242782" w:history="1">
            <w:r w:rsidRPr="00177E58">
              <w:rPr>
                <w:rStyle w:val="Hipervnculo"/>
                <w:noProof/>
              </w:rPr>
              <w:t>1.3. El conflicto armado y la relación entre lo urbano y lo rural</w:t>
            </w:r>
            <w:r>
              <w:rPr>
                <w:noProof/>
                <w:webHidden/>
              </w:rPr>
              <w:tab/>
            </w:r>
            <w:r>
              <w:rPr>
                <w:noProof/>
                <w:webHidden/>
              </w:rPr>
              <w:fldChar w:fldCharType="begin"/>
            </w:r>
            <w:r>
              <w:rPr>
                <w:noProof/>
                <w:webHidden/>
              </w:rPr>
              <w:instrText xml:space="preserve"> PAGEREF _Toc234242782 \h </w:instrText>
            </w:r>
            <w:r>
              <w:rPr>
                <w:noProof/>
                <w:webHidden/>
              </w:rPr>
            </w:r>
            <w:r>
              <w:rPr>
                <w:noProof/>
                <w:webHidden/>
              </w:rPr>
              <w:fldChar w:fldCharType="separate"/>
            </w:r>
            <w:r>
              <w:rPr>
                <w:noProof/>
                <w:webHidden/>
              </w:rPr>
              <w:t>38</w:t>
            </w:r>
            <w:r>
              <w:rPr>
                <w:noProof/>
                <w:webHidden/>
              </w:rPr>
              <w:fldChar w:fldCharType="end"/>
            </w:r>
          </w:hyperlink>
        </w:p>
        <w:p w14:paraId="62D73DFC" w14:textId="2B67DC6D" w:rsidR="00C37FFB" w:rsidRDefault="00C37FFB">
          <w:pPr>
            <w:pStyle w:val="TDC2"/>
            <w:tabs>
              <w:tab w:val="right" w:leader="dot" w:pos="8828"/>
            </w:tabs>
            <w:rPr>
              <w:rFonts w:eastAsiaTheme="minorEastAsia"/>
              <w:noProof/>
              <w:kern w:val="2"/>
              <w:sz w:val="24"/>
              <w:szCs w:val="24"/>
              <w:lang w:eastAsia="es-CO"/>
              <w14:ligatures w14:val="standardContextual"/>
            </w:rPr>
          </w:pPr>
          <w:hyperlink w:anchor="_Toc234242783" w:history="1">
            <w:r w:rsidRPr="00177E58">
              <w:rPr>
                <w:rStyle w:val="Hipervnculo"/>
                <w:noProof/>
              </w:rPr>
              <w:t>1.4. El modelo económico neoliberal y cómo operó en el sector vivienda y agua</w:t>
            </w:r>
            <w:r>
              <w:rPr>
                <w:noProof/>
                <w:webHidden/>
              </w:rPr>
              <w:tab/>
            </w:r>
            <w:r>
              <w:rPr>
                <w:noProof/>
                <w:webHidden/>
              </w:rPr>
              <w:fldChar w:fldCharType="begin"/>
            </w:r>
            <w:r>
              <w:rPr>
                <w:noProof/>
                <w:webHidden/>
              </w:rPr>
              <w:instrText xml:space="preserve"> PAGEREF _Toc234242783 \h </w:instrText>
            </w:r>
            <w:r>
              <w:rPr>
                <w:noProof/>
                <w:webHidden/>
              </w:rPr>
            </w:r>
            <w:r>
              <w:rPr>
                <w:noProof/>
                <w:webHidden/>
              </w:rPr>
              <w:fldChar w:fldCharType="separate"/>
            </w:r>
            <w:r>
              <w:rPr>
                <w:noProof/>
                <w:webHidden/>
              </w:rPr>
              <w:t>40</w:t>
            </w:r>
            <w:r>
              <w:rPr>
                <w:noProof/>
                <w:webHidden/>
              </w:rPr>
              <w:fldChar w:fldCharType="end"/>
            </w:r>
          </w:hyperlink>
        </w:p>
        <w:p w14:paraId="7671CF00" w14:textId="2B6ADA3F"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784" w:history="1">
            <w:r w:rsidRPr="00177E58">
              <w:rPr>
                <w:rStyle w:val="Hipervnculo"/>
                <w:noProof/>
              </w:rPr>
              <w:t>1.4.1. En vivienda</w:t>
            </w:r>
            <w:r>
              <w:rPr>
                <w:noProof/>
                <w:webHidden/>
              </w:rPr>
              <w:tab/>
            </w:r>
            <w:r>
              <w:rPr>
                <w:noProof/>
                <w:webHidden/>
              </w:rPr>
              <w:fldChar w:fldCharType="begin"/>
            </w:r>
            <w:r>
              <w:rPr>
                <w:noProof/>
                <w:webHidden/>
              </w:rPr>
              <w:instrText xml:space="preserve"> PAGEREF _Toc234242784 \h </w:instrText>
            </w:r>
            <w:r>
              <w:rPr>
                <w:noProof/>
                <w:webHidden/>
              </w:rPr>
            </w:r>
            <w:r>
              <w:rPr>
                <w:noProof/>
                <w:webHidden/>
              </w:rPr>
              <w:fldChar w:fldCharType="separate"/>
            </w:r>
            <w:r>
              <w:rPr>
                <w:noProof/>
                <w:webHidden/>
              </w:rPr>
              <w:t>40</w:t>
            </w:r>
            <w:r>
              <w:rPr>
                <w:noProof/>
                <w:webHidden/>
              </w:rPr>
              <w:fldChar w:fldCharType="end"/>
            </w:r>
          </w:hyperlink>
        </w:p>
        <w:p w14:paraId="071F26C5" w14:textId="5EBED824"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785" w:history="1">
            <w:r w:rsidRPr="00177E58">
              <w:rPr>
                <w:rStyle w:val="Hipervnculo"/>
                <w:noProof/>
              </w:rPr>
              <w:t>1.4.2. En agua</w:t>
            </w:r>
            <w:r>
              <w:rPr>
                <w:noProof/>
                <w:webHidden/>
              </w:rPr>
              <w:tab/>
            </w:r>
            <w:r>
              <w:rPr>
                <w:noProof/>
                <w:webHidden/>
              </w:rPr>
              <w:fldChar w:fldCharType="begin"/>
            </w:r>
            <w:r>
              <w:rPr>
                <w:noProof/>
                <w:webHidden/>
              </w:rPr>
              <w:instrText xml:space="preserve"> PAGEREF _Toc234242785 \h </w:instrText>
            </w:r>
            <w:r>
              <w:rPr>
                <w:noProof/>
                <w:webHidden/>
              </w:rPr>
            </w:r>
            <w:r>
              <w:rPr>
                <w:noProof/>
                <w:webHidden/>
              </w:rPr>
              <w:fldChar w:fldCharType="separate"/>
            </w:r>
            <w:r>
              <w:rPr>
                <w:noProof/>
                <w:webHidden/>
              </w:rPr>
              <w:t>40</w:t>
            </w:r>
            <w:r>
              <w:rPr>
                <w:noProof/>
                <w:webHidden/>
              </w:rPr>
              <w:fldChar w:fldCharType="end"/>
            </w:r>
          </w:hyperlink>
        </w:p>
        <w:p w14:paraId="511EF91B" w14:textId="193CD10F" w:rsidR="00C37FFB" w:rsidRDefault="00C37FFB">
          <w:pPr>
            <w:pStyle w:val="TDC2"/>
            <w:tabs>
              <w:tab w:val="right" w:leader="dot" w:pos="8828"/>
            </w:tabs>
            <w:rPr>
              <w:rFonts w:eastAsiaTheme="minorEastAsia"/>
              <w:noProof/>
              <w:kern w:val="2"/>
              <w:sz w:val="24"/>
              <w:szCs w:val="24"/>
              <w:lang w:eastAsia="es-CO"/>
              <w14:ligatures w14:val="standardContextual"/>
            </w:rPr>
          </w:pPr>
          <w:hyperlink w:anchor="_Toc234242786" w:history="1">
            <w:r w:rsidRPr="00177E58">
              <w:rPr>
                <w:rStyle w:val="Hipervnculo"/>
                <w:noProof/>
              </w:rPr>
              <w:t>1.5. Limitaciones del diseño institucional para el ordenamiento territorial</w:t>
            </w:r>
            <w:r>
              <w:rPr>
                <w:noProof/>
                <w:webHidden/>
              </w:rPr>
              <w:tab/>
            </w:r>
            <w:r>
              <w:rPr>
                <w:noProof/>
                <w:webHidden/>
              </w:rPr>
              <w:fldChar w:fldCharType="begin"/>
            </w:r>
            <w:r>
              <w:rPr>
                <w:noProof/>
                <w:webHidden/>
              </w:rPr>
              <w:instrText xml:space="preserve"> PAGEREF _Toc234242786 \h </w:instrText>
            </w:r>
            <w:r>
              <w:rPr>
                <w:noProof/>
                <w:webHidden/>
              </w:rPr>
            </w:r>
            <w:r>
              <w:rPr>
                <w:noProof/>
                <w:webHidden/>
              </w:rPr>
              <w:fldChar w:fldCharType="separate"/>
            </w:r>
            <w:r>
              <w:rPr>
                <w:noProof/>
                <w:webHidden/>
              </w:rPr>
              <w:t>41</w:t>
            </w:r>
            <w:r>
              <w:rPr>
                <w:noProof/>
                <w:webHidden/>
              </w:rPr>
              <w:fldChar w:fldCharType="end"/>
            </w:r>
          </w:hyperlink>
        </w:p>
        <w:p w14:paraId="2C475AB9" w14:textId="51C4A8A9" w:rsidR="00C37FFB" w:rsidRDefault="00C37FFB">
          <w:pPr>
            <w:pStyle w:val="TDC2"/>
            <w:tabs>
              <w:tab w:val="right" w:leader="dot" w:pos="8828"/>
            </w:tabs>
            <w:rPr>
              <w:rFonts w:eastAsiaTheme="minorEastAsia"/>
              <w:noProof/>
              <w:kern w:val="2"/>
              <w:sz w:val="24"/>
              <w:szCs w:val="24"/>
              <w:lang w:eastAsia="es-CO"/>
              <w14:ligatures w14:val="standardContextual"/>
            </w:rPr>
          </w:pPr>
          <w:hyperlink w:anchor="_Toc234242787" w:history="1">
            <w:r w:rsidRPr="00177E58">
              <w:rPr>
                <w:rStyle w:val="Hipervnculo"/>
                <w:noProof/>
              </w:rPr>
              <w:t>1.6. El concepto y enfoque viviendístico y homogeneizador</w:t>
            </w:r>
            <w:r>
              <w:rPr>
                <w:noProof/>
                <w:webHidden/>
              </w:rPr>
              <w:tab/>
            </w:r>
            <w:r>
              <w:rPr>
                <w:noProof/>
                <w:webHidden/>
              </w:rPr>
              <w:fldChar w:fldCharType="begin"/>
            </w:r>
            <w:r>
              <w:rPr>
                <w:noProof/>
                <w:webHidden/>
              </w:rPr>
              <w:instrText xml:space="preserve"> PAGEREF _Toc234242787 \h </w:instrText>
            </w:r>
            <w:r>
              <w:rPr>
                <w:noProof/>
                <w:webHidden/>
              </w:rPr>
            </w:r>
            <w:r>
              <w:rPr>
                <w:noProof/>
                <w:webHidden/>
              </w:rPr>
              <w:fldChar w:fldCharType="separate"/>
            </w:r>
            <w:r>
              <w:rPr>
                <w:noProof/>
                <w:webHidden/>
              </w:rPr>
              <w:t>45</w:t>
            </w:r>
            <w:r>
              <w:rPr>
                <w:noProof/>
                <w:webHidden/>
              </w:rPr>
              <w:fldChar w:fldCharType="end"/>
            </w:r>
          </w:hyperlink>
        </w:p>
        <w:p w14:paraId="487043D9" w14:textId="5E3A4EA8" w:rsidR="00C37FFB" w:rsidRDefault="00C37FFB">
          <w:pPr>
            <w:pStyle w:val="TDC2"/>
            <w:tabs>
              <w:tab w:val="right" w:leader="dot" w:pos="8828"/>
            </w:tabs>
            <w:rPr>
              <w:rFonts w:eastAsiaTheme="minorEastAsia"/>
              <w:noProof/>
              <w:kern w:val="2"/>
              <w:sz w:val="24"/>
              <w:szCs w:val="24"/>
              <w:lang w:eastAsia="es-CO"/>
              <w14:ligatures w14:val="standardContextual"/>
            </w:rPr>
          </w:pPr>
          <w:hyperlink w:anchor="_Toc234242788" w:history="1">
            <w:r w:rsidRPr="00177E58">
              <w:rPr>
                <w:rStyle w:val="Hipervnculo"/>
                <w:noProof/>
              </w:rPr>
              <w:t>1.7. La implicación de estos problemas en materia de vivienda y de agua y saneamiento básico</w:t>
            </w:r>
            <w:r>
              <w:rPr>
                <w:noProof/>
                <w:webHidden/>
              </w:rPr>
              <w:tab/>
            </w:r>
            <w:r>
              <w:rPr>
                <w:noProof/>
                <w:webHidden/>
              </w:rPr>
              <w:fldChar w:fldCharType="begin"/>
            </w:r>
            <w:r>
              <w:rPr>
                <w:noProof/>
                <w:webHidden/>
              </w:rPr>
              <w:instrText xml:space="preserve"> PAGEREF _Toc234242788 \h </w:instrText>
            </w:r>
            <w:r>
              <w:rPr>
                <w:noProof/>
                <w:webHidden/>
              </w:rPr>
            </w:r>
            <w:r>
              <w:rPr>
                <w:noProof/>
                <w:webHidden/>
              </w:rPr>
              <w:fldChar w:fldCharType="separate"/>
            </w:r>
            <w:r>
              <w:rPr>
                <w:noProof/>
                <w:webHidden/>
              </w:rPr>
              <w:t>46</w:t>
            </w:r>
            <w:r>
              <w:rPr>
                <w:noProof/>
                <w:webHidden/>
              </w:rPr>
              <w:fldChar w:fldCharType="end"/>
            </w:r>
          </w:hyperlink>
        </w:p>
        <w:p w14:paraId="15E7B11A" w14:textId="59089413" w:rsidR="00C37FFB" w:rsidRDefault="00C37FFB">
          <w:pPr>
            <w:pStyle w:val="TDC1"/>
            <w:tabs>
              <w:tab w:val="right" w:leader="dot" w:pos="8828"/>
            </w:tabs>
            <w:rPr>
              <w:rFonts w:eastAsiaTheme="minorEastAsia"/>
              <w:noProof/>
              <w:kern w:val="2"/>
              <w:sz w:val="24"/>
              <w:szCs w:val="24"/>
              <w:lang w:eastAsia="es-CO"/>
              <w14:ligatures w14:val="standardContextual"/>
            </w:rPr>
          </w:pPr>
          <w:hyperlink w:anchor="_Toc234242789" w:history="1">
            <w:r w:rsidRPr="00177E58">
              <w:rPr>
                <w:rStyle w:val="Hipervnculo"/>
                <w:noProof/>
              </w:rPr>
              <w:t>2. Decisiones estratégicas de política pública: los lineamientos de una nueva política sobre el hábitat biodiverso</w:t>
            </w:r>
            <w:r>
              <w:rPr>
                <w:noProof/>
                <w:webHidden/>
              </w:rPr>
              <w:tab/>
            </w:r>
            <w:r>
              <w:rPr>
                <w:noProof/>
                <w:webHidden/>
              </w:rPr>
              <w:fldChar w:fldCharType="begin"/>
            </w:r>
            <w:r>
              <w:rPr>
                <w:noProof/>
                <w:webHidden/>
              </w:rPr>
              <w:instrText xml:space="preserve"> PAGEREF _Toc234242789 \h </w:instrText>
            </w:r>
            <w:r>
              <w:rPr>
                <w:noProof/>
                <w:webHidden/>
              </w:rPr>
            </w:r>
            <w:r>
              <w:rPr>
                <w:noProof/>
                <w:webHidden/>
              </w:rPr>
              <w:fldChar w:fldCharType="separate"/>
            </w:r>
            <w:r>
              <w:rPr>
                <w:noProof/>
                <w:webHidden/>
              </w:rPr>
              <w:t>50</w:t>
            </w:r>
            <w:r>
              <w:rPr>
                <w:noProof/>
                <w:webHidden/>
              </w:rPr>
              <w:fldChar w:fldCharType="end"/>
            </w:r>
          </w:hyperlink>
        </w:p>
        <w:p w14:paraId="7482010B" w14:textId="6E181F62" w:rsidR="00C37FFB" w:rsidRDefault="00C37FFB">
          <w:pPr>
            <w:pStyle w:val="TDC2"/>
            <w:tabs>
              <w:tab w:val="right" w:leader="dot" w:pos="8828"/>
            </w:tabs>
            <w:rPr>
              <w:rFonts w:eastAsiaTheme="minorEastAsia"/>
              <w:noProof/>
              <w:kern w:val="2"/>
              <w:sz w:val="24"/>
              <w:szCs w:val="24"/>
              <w:lang w:eastAsia="es-CO"/>
              <w14:ligatures w14:val="standardContextual"/>
            </w:rPr>
          </w:pPr>
          <w:hyperlink w:anchor="_Toc234242790" w:history="1">
            <w:r w:rsidRPr="00177E58">
              <w:rPr>
                <w:rStyle w:val="Hipervnculo"/>
                <w:noProof/>
              </w:rPr>
              <w:t>2.1. Lineamientos de política sobre el hábitat biodiverso: fundamentos políticos, apuestas institucionales y datos que sustentan esta política</w:t>
            </w:r>
            <w:r>
              <w:rPr>
                <w:noProof/>
                <w:webHidden/>
              </w:rPr>
              <w:tab/>
            </w:r>
            <w:r>
              <w:rPr>
                <w:noProof/>
                <w:webHidden/>
              </w:rPr>
              <w:fldChar w:fldCharType="begin"/>
            </w:r>
            <w:r>
              <w:rPr>
                <w:noProof/>
                <w:webHidden/>
              </w:rPr>
              <w:instrText xml:space="preserve"> PAGEREF _Toc234242790 \h </w:instrText>
            </w:r>
            <w:r>
              <w:rPr>
                <w:noProof/>
                <w:webHidden/>
              </w:rPr>
            </w:r>
            <w:r>
              <w:rPr>
                <w:noProof/>
                <w:webHidden/>
              </w:rPr>
              <w:fldChar w:fldCharType="separate"/>
            </w:r>
            <w:r>
              <w:rPr>
                <w:noProof/>
                <w:webHidden/>
              </w:rPr>
              <w:t>50</w:t>
            </w:r>
            <w:r>
              <w:rPr>
                <w:noProof/>
                <w:webHidden/>
              </w:rPr>
              <w:fldChar w:fldCharType="end"/>
            </w:r>
          </w:hyperlink>
        </w:p>
        <w:p w14:paraId="3A6EF197" w14:textId="6CBD8BFC"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791" w:history="1">
            <w:r w:rsidRPr="00177E58">
              <w:rPr>
                <w:rStyle w:val="Hipervnculo"/>
                <w:noProof/>
              </w:rPr>
              <w:t>2.1.1. Los objetivos. Los fundamentos políticos. De lo mío a lo nuestro, un cambio profundo del sector desde el Hábitat Biodiverso</w:t>
            </w:r>
            <w:r>
              <w:rPr>
                <w:noProof/>
                <w:webHidden/>
              </w:rPr>
              <w:tab/>
            </w:r>
            <w:r>
              <w:rPr>
                <w:noProof/>
                <w:webHidden/>
              </w:rPr>
              <w:fldChar w:fldCharType="begin"/>
            </w:r>
            <w:r>
              <w:rPr>
                <w:noProof/>
                <w:webHidden/>
              </w:rPr>
              <w:instrText xml:space="preserve"> PAGEREF _Toc234242791 \h </w:instrText>
            </w:r>
            <w:r>
              <w:rPr>
                <w:noProof/>
                <w:webHidden/>
              </w:rPr>
            </w:r>
            <w:r>
              <w:rPr>
                <w:noProof/>
                <w:webHidden/>
              </w:rPr>
              <w:fldChar w:fldCharType="separate"/>
            </w:r>
            <w:r>
              <w:rPr>
                <w:noProof/>
                <w:webHidden/>
              </w:rPr>
              <w:t>51</w:t>
            </w:r>
            <w:r>
              <w:rPr>
                <w:noProof/>
                <w:webHidden/>
              </w:rPr>
              <w:fldChar w:fldCharType="end"/>
            </w:r>
          </w:hyperlink>
        </w:p>
        <w:p w14:paraId="4D370B97" w14:textId="066BA610"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792" w:history="1">
            <w:r w:rsidRPr="00177E58">
              <w:rPr>
                <w:rStyle w:val="Hipervnculo"/>
                <w:noProof/>
                <w:lang w:val="es-ES"/>
              </w:rPr>
              <w:t>Los objetivos</w:t>
            </w:r>
            <w:r>
              <w:rPr>
                <w:noProof/>
                <w:webHidden/>
              </w:rPr>
              <w:tab/>
            </w:r>
            <w:r>
              <w:rPr>
                <w:noProof/>
                <w:webHidden/>
              </w:rPr>
              <w:fldChar w:fldCharType="begin"/>
            </w:r>
            <w:r>
              <w:rPr>
                <w:noProof/>
                <w:webHidden/>
              </w:rPr>
              <w:instrText xml:space="preserve"> PAGEREF _Toc234242792 \h </w:instrText>
            </w:r>
            <w:r>
              <w:rPr>
                <w:noProof/>
                <w:webHidden/>
              </w:rPr>
            </w:r>
            <w:r>
              <w:rPr>
                <w:noProof/>
                <w:webHidden/>
              </w:rPr>
              <w:fldChar w:fldCharType="separate"/>
            </w:r>
            <w:r>
              <w:rPr>
                <w:noProof/>
                <w:webHidden/>
              </w:rPr>
              <w:t>51</w:t>
            </w:r>
            <w:r>
              <w:rPr>
                <w:noProof/>
                <w:webHidden/>
              </w:rPr>
              <w:fldChar w:fldCharType="end"/>
            </w:r>
          </w:hyperlink>
        </w:p>
        <w:p w14:paraId="53C4829C" w14:textId="09B106D4"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793" w:history="1">
            <w:r w:rsidRPr="00177E58">
              <w:rPr>
                <w:rStyle w:val="Hipervnculo"/>
                <w:noProof/>
                <w:lang w:val="es"/>
              </w:rPr>
              <w:t>De lo mío a lo nuestro: el cambio profundo del sector</w:t>
            </w:r>
            <w:r>
              <w:rPr>
                <w:noProof/>
                <w:webHidden/>
              </w:rPr>
              <w:tab/>
            </w:r>
            <w:r>
              <w:rPr>
                <w:noProof/>
                <w:webHidden/>
              </w:rPr>
              <w:fldChar w:fldCharType="begin"/>
            </w:r>
            <w:r>
              <w:rPr>
                <w:noProof/>
                <w:webHidden/>
              </w:rPr>
              <w:instrText xml:space="preserve"> PAGEREF _Toc234242793 \h </w:instrText>
            </w:r>
            <w:r>
              <w:rPr>
                <w:noProof/>
                <w:webHidden/>
              </w:rPr>
            </w:r>
            <w:r>
              <w:rPr>
                <w:noProof/>
                <w:webHidden/>
              </w:rPr>
              <w:fldChar w:fldCharType="separate"/>
            </w:r>
            <w:r>
              <w:rPr>
                <w:noProof/>
                <w:webHidden/>
              </w:rPr>
              <w:t>52</w:t>
            </w:r>
            <w:r>
              <w:rPr>
                <w:noProof/>
                <w:webHidden/>
              </w:rPr>
              <w:fldChar w:fldCharType="end"/>
            </w:r>
          </w:hyperlink>
        </w:p>
        <w:p w14:paraId="34D383F2" w14:textId="5B7D41B4"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794" w:history="1">
            <w:r w:rsidRPr="00177E58">
              <w:rPr>
                <w:rStyle w:val="Hipervnculo"/>
                <w:noProof/>
              </w:rPr>
              <w:t>Los cinco fundamentos políticos</w:t>
            </w:r>
            <w:r>
              <w:rPr>
                <w:noProof/>
                <w:webHidden/>
              </w:rPr>
              <w:tab/>
            </w:r>
            <w:r>
              <w:rPr>
                <w:noProof/>
                <w:webHidden/>
              </w:rPr>
              <w:fldChar w:fldCharType="begin"/>
            </w:r>
            <w:r>
              <w:rPr>
                <w:noProof/>
                <w:webHidden/>
              </w:rPr>
              <w:instrText xml:space="preserve"> PAGEREF _Toc234242794 \h </w:instrText>
            </w:r>
            <w:r>
              <w:rPr>
                <w:noProof/>
                <w:webHidden/>
              </w:rPr>
            </w:r>
            <w:r>
              <w:rPr>
                <w:noProof/>
                <w:webHidden/>
              </w:rPr>
              <w:fldChar w:fldCharType="separate"/>
            </w:r>
            <w:r>
              <w:rPr>
                <w:noProof/>
                <w:webHidden/>
              </w:rPr>
              <w:t>54</w:t>
            </w:r>
            <w:r>
              <w:rPr>
                <w:noProof/>
                <w:webHidden/>
              </w:rPr>
              <w:fldChar w:fldCharType="end"/>
            </w:r>
          </w:hyperlink>
        </w:p>
        <w:p w14:paraId="3179BC9F" w14:textId="305F4BA8"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795" w:history="1">
            <w:r w:rsidRPr="00177E58">
              <w:rPr>
                <w:rStyle w:val="Hipervnculo"/>
                <w:noProof/>
              </w:rPr>
              <w:t>A qué le apostamos</w:t>
            </w:r>
            <w:r>
              <w:rPr>
                <w:noProof/>
                <w:webHidden/>
              </w:rPr>
              <w:tab/>
            </w:r>
            <w:r>
              <w:rPr>
                <w:noProof/>
                <w:webHidden/>
              </w:rPr>
              <w:fldChar w:fldCharType="begin"/>
            </w:r>
            <w:r>
              <w:rPr>
                <w:noProof/>
                <w:webHidden/>
              </w:rPr>
              <w:instrText xml:space="preserve"> PAGEREF _Toc234242795 \h </w:instrText>
            </w:r>
            <w:r>
              <w:rPr>
                <w:noProof/>
                <w:webHidden/>
              </w:rPr>
            </w:r>
            <w:r>
              <w:rPr>
                <w:noProof/>
                <w:webHidden/>
              </w:rPr>
              <w:fldChar w:fldCharType="separate"/>
            </w:r>
            <w:r>
              <w:rPr>
                <w:noProof/>
                <w:webHidden/>
              </w:rPr>
              <w:t>55</w:t>
            </w:r>
            <w:r>
              <w:rPr>
                <w:noProof/>
                <w:webHidden/>
              </w:rPr>
              <w:fldChar w:fldCharType="end"/>
            </w:r>
          </w:hyperlink>
        </w:p>
        <w:p w14:paraId="2645F435" w14:textId="660AD994"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796" w:history="1">
            <w:r w:rsidRPr="00177E58">
              <w:rPr>
                <w:rStyle w:val="Hipervnculo"/>
                <w:noProof/>
              </w:rPr>
              <w:t>El relacionamiento directo con un nuevo actor</w:t>
            </w:r>
            <w:r>
              <w:rPr>
                <w:noProof/>
                <w:webHidden/>
              </w:rPr>
              <w:tab/>
            </w:r>
            <w:r>
              <w:rPr>
                <w:noProof/>
                <w:webHidden/>
              </w:rPr>
              <w:fldChar w:fldCharType="begin"/>
            </w:r>
            <w:r>
              <w:rPr>
                <w:noProof/>
                <w:webHidden/>
              </w:rPr>
              <w:instrText xml:space="preserve"> PAGEREF _Toc234242796 \h </w:instrText>
            </w:r>
            <w:r>
              <w:rPr>
                <w:noProof/>
                <w:webHidden/>
              </w:rPr>
            </w:r>
            <w:r>
              <w:rPr>
                <w:noProof/>
                <w:webHidden/>
              </w:rPr>
              <w:fldChar w:fldCharType="separate"/>
            </w:r>
            <w:r>
              <w:rPr>
                <w:noProof/>
                <w:webHidden/>
              </w:rPr>
              <w:t>56</w:t>
            </w:r>
            <w:r>
              <w:rPr>
                <w:noProof/>
                <w:webHidden/>
              </w:rPr>
              <w:fldChar w:fldCharType="end"/>
            </w:r>
          </w:hyperlink>
        </w:p>
        <w:p w14:paraId="64B663ED" w14:textId="36A2FE4D"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797" w:history="1">
            <w:r w:rsidRPr="00177E58">
              <w:rPr>
                <w:rStyle w:val="Hipervnculo"/>
                <w:noProof/>
              </w:rPr>
              <w:t>La ampliación de la cobertura territorial</w:t>
            </w:r>
            <w:r>
              <w:rPr>
                <w:noProof/>
                <w:webHidden/>
              </w:rPr>
              <w:tab/>
            </w:r>
            <w:r>
              <w:rPr>
                <w:noProof/>
                <w:webHidden/>
              </w:rPr>
              <w:fldChar w:fldCharType="begin"/>
            </w:r>
            <w:r>
              <w:rPr>
                <w:noProof/>
                <w:webHidden/>
              </w:rPr>
              <w:instrText xml:space="preserve"> PAGEREF _Toc234242797 \h </w:instrText>
            </w:r>
            <w:r>
              <w:rPr>
                <w:noProof/>
                <w:webHidden/>
              </w:rPr>
            </w:r>
            <w:r>
              <w:rPr>
                <w:noProof/>
                <w:webHidden/>
              </w:rPr>
              <w:fldChar w:fldCharType="separate"/>
            </w:r>
            <w:r>
              <w:rPr>
                <w:noProof/>
                <w:webHidden/>
              </w:rPr>
              <w:t>57</w:t>
            </w:r>
            <w:r>
              <w:rPr>
                <w:noProof/>
                <w:webHidden/>
              </w:rPr>
              <w:fldChar w:fldCharType="end"/>
            </w:r>
          </w:hyperlink>
        </w:p>
        <w:p w14:paraId="442470A9" w14:textId="4FAC5D10"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798" w:history="1">
            <w:r w:rsidRPr="00177E58">
              <w:rPr>
                <w:rStyle w:val="Hipervnculo"/>
                <w:noProof/>
              </w:rPr>
              <w:t>La ampliación de la cobertura poblacional</w:t>
            </w:r>
            <w:r>
              <w:rPr>
                <w:noProof/>
                <w:webHidden/>
              </w:rPr>
              <w:tab/>
            </w:r>
            <w:r>
              <w:rPr>
                <w:noProof/>
                <w:webHidden/>
              </w:rPr>
              <w:fldChar w:fldCharType="begin"/>
            </w:r>
            <w:r>
              <w:rPr>
                <w:noProof/>
                <w:webHidden/>
              </w:rPr>
              <w:instrText xml:space="preserve"> PAGEREF _Toc234242798 \h </w:instrText>
            </w:r>
            <w:r>
              <w:rPr>
                <w:noProof/>
                <w:webHidden/>
              </w:rPr>
            </w:r>
            <w:r>
              <w:rPr>
                <w:noProof/>
                <w:webHidden/>
              </w:rPr>
              <w:fldChar w:fldCharType="separate"/>
            </w:r>
            <w:r>
              <w:rPr>
                <w:noProof/>
                <w:webHidden/>
              </w:rPr>
              <w:t>57</w:t>
            </w:r>
            <w:r>
              <w:rPr>
                <w:noProof/>
                <w:webHidden/>
              </w:rPr>
              <w:fldChar w:fldCharType="end"/>
            </w:r>
          </w:hyperlink>
        </w:p>
        <w:p w14:paraId="4502DD02" w14:textId="634194C5"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799" w:history="1">
            <w:r w:rsidRPr="00177E58">
              <w:rPr>
                <w:rStyle w:val="Hipervnculo"/>
                <w:noProof/>
              </w:rPr>
              <w:t>La corresponsabilidad de las organizaciones territoriales</w:t>
            </w:r>
            <w:r>
              <w:rPr>
                <w:noProof/>
                <w:webHidden/>
              </w:rPr>
              <w:tab/>
            </w:r>
            <w:r>
              <w:rPr>
                <w:noProof/>
                <w:webHidden/>
              </w:rPr>
              <w:fldChar w:fldCharType="begin"/>
            </w:r>
            <w:r>
              <w:rPr>
                <w:noProof/>
                <w:webHidden/>
              </w:rPr>
              <w:instrText xml:space="preserve"> PAGEREF _Toc234242799 \h </w:instrText>
            </w:r>
            <w:r>
              <w:rPr>
                <w:noProof/>
                <w:webHidden/>
              </w:rPr>
            </w:r>
            <w:r>
              <w:rPr>
                <w:noProof/>
                <w:webHidden/>
              </w:rPr>
              <w:fldChar w:fldCharType="separate"/>
            </w:r>
            <w:r>
              <w:rPr>
                <w:noProof/>
                <w:webHidden/>
              </w:rPr>
              <w:t>57</w:t>
            </w:r>
            <w:r>
              <w:rPr>
                <w:noProof/>
                <w:webHidden/>
              </w:rPr>
              <w:fldChar w:fldCharType="end"/>
            </w:r>
          </w:hyperlink>
        </w:p>
        <w:p w14:paraId="19E578DC" w14:textId="0DE25ED4"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00" w:history="1">
            <w:r w:rsidRPr="00177E58">
              <w:rPr>
                <w:rStyle w:val="Hipervnculo"/>
                <w:noProof/>
              </w:rPr>
              <w:t>2.1.2. Los datos que sustentan la política «Nuestro Hábitat Biodiverso»</w:t>
            </w:r>
            <w:r>
              <w:rPr>
                <w:noProof/>
                <w:webHidden/>
              </w:rPr>
              <w:tab/>
            </w:r>
            <w:r>
              <w:rPr>
                <w:noProof/>
                <w:webHidden/>
              </w:rPr>
              <w:fldChar w:fldCharType="begin"/>
            </w:r>
            <w:r>
              <w:rPr>
                <w:noProof/>
                <w:webHidden/>
              </w:rPr>
              <w:instrText xml:space="preserve"> PAGEREF _Toc234242800 \h </w:instrText>
            </w:r>
            <w:r>
              <w:rPr>
                <w:noProof/>
                <w:webHidden/>
              </w:rPr>
            </w:r>
            <w:r>
              <w:rPr>
                <w:noProof/>
                <w:webHidden/>
              </w:rPr>
              <w:fldChar w:fldCharType="separate"/>
            </w:r>
            <w:r>
              <w:rPr>
                <w:noProof/>
                <w:webHidden/>
              </w:rPr>
              <w:t>59</w:t>
            </w:r>
            <w:r>
              <w:rPr>
                <w:noProof/>
                <w:webHidden/>
              </w:rPr>
              <w:fldChar w:fldCharType="end"/>
            </w:r>
          </w:hyperlink>
        </w:p>
        <w:p w14:paraId="135A4F50" w14:textId="3D025065"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01" w:history="1">
            <w:r w:rsidRPr="00177E58">
              <w:rPr>
                <w:rStyle w:val="Hipervnculo"/>
                <w:noProof/>
              </w:rPr>
              <w:t>Los datos sobre el déficit cualitativo y brecha rural de agua y saneamiento básico y vivienda</w:t>
            </w:r>
            <w:r>
              <w:rPr>
                <w:noProof/>
                <w:webHidden/>
              </w:rPr>
              <w:tab/>
            </w:r>
            <w:r>
              <w:rPr>
                <w:noProof/>
                <w:webHidden/>
              </w:rPr>
              <w:fldChar w:fldCharType="begin"/>
            </w:r>
            <w:r>
              <w:rPr>
                <w:noProof/>
                <w:webHidden/>
              </w:rPr>
              <w:instrText xml:space="preserve"> PAGEREF _Toc234242801 \h </w:instrText>
            </w:r>
            <w:r>
              <w:rPr>
                <w:noProof/>
                <w:webHidden/>
              </w:rPr>
            </w:r>
            <w:r>
              <w:rPr>
                <w:noProof/>
                <w:webHidden/>
              </w:rPr>
              <w:fldChar w:fldCharType="separate"/>
            </w:r>
            <w:r>
              <w:rPr>
                <w:noProof/>
                <w:webHidden/>
              </w:rPr>
              <w:t>60</w:t>
            </w:r>
            <w:r>
              <w:rPr>
                <w:noProof/>
                <w:webHidden/>
              </w:rPr>
              <w:fldChar w:fldCharType="end"/>
            </w:r>
          </w:hyperlink>
        </w:p>
        <w:p w14:paraId="0AA17D2B" w14:textId="6486B241"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02" w:history="1">
            <w:r w:rsidRPr="00177E58">
              <w:rPr>
                <w:rStyle w:val="Hipervnculo"/>
                <w:noProof/>
              </w:rPr>
              <w:t>En agua y saneamiento</w:t>
            </w:r>
            <w:r>
              <w:rPr>
                <w:noProof/>
                <w:webHidden/>
              </w:rPr>
              <w:tab/>
            </w:r>
            <w:r>
              <w:rPr>
                <w:noProof/>
                <w:webHidden/>
              </w:rPr>
              <w:fldChar w:fldCharType="begin"/>
            </w:r>
            <w:r>
              <w:rPr>
                <w:noProof/>
                <w:webHidden/>
              </w:rPr>
              <w:instrText xml:space="preserve"> PAGEREF _Toc234242802 \h </w:instrText>
            </w:r>
            <w:r>
              <w:rPr>
                <w:noProof/>
                <w:webHidden/>
              </w:rPr>
            </w:r>
            <w:r>
              <w:rPr>
                <w:noProof/>
                <w:webHidden/>
              </w:rPr>
              <w:fldChar w:fldCharType="separate"/>
            </w:r>
            <w:r>
              <w:rPr>
                <w:noProof/>
                <w:webHidden/>
              </w:rPr>
              <w:t>61</w:t>
            </w:r>
            <w:r>
              <w:rPr>
                <w:noProof/>
                <w:webHidden/>
              </w:rPr>
              <w:fldChar w:fldCharType="end"/>
            </w:r>
          </w:hyperlink>
        </w:p>
        <w:p w14:paraId="704B8A93" w14:textId="7B19831A"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03" w:history="1">
            <w:r w:rsidRPr="00177E58">
              <w:rPr>
                <w:rStyle w:val="Hipervnculo"/>
                <w:noProof/>
              </w:rPr>
              <w:t>En autogestión y autoconstrucción de viviendas</w:t>
            </w:r>
            <w:r>
              <w:rPr>
                <w:noProof/>
                <w:webHidden/>
              </w:rPr>
              <w:tab/>
            </w:r>
            <w:r>
              <w:rPr>
                <w:noProof/>
                <w:webHidden/>
              </w:rPr>
              <w:fldChar w:fldCharType="begin"/>
            </w:r>
            <w:r>
              <w:rPr>
                <w:noProof/>
                <w:webHidden/>
              </w:rPr>
              <w:instrText xml:space="preserve"> PAGEREF _Toc234242803 \h </w:instrText>
            </w:r>
            <w:r>
              <w:rPr>
                <w:noProof/>
                <w:webHidden/>
              </w:rPr>
            </w:r>
            <w:r>
              <w:rPr>
                <w:noProof/>
                <w:webHidden/>
              </w:rPr>
              <w:fldChar w:fldCharType="separate"/>
            </w:r>
            <w:r>
              <w:rPr>
                <w:noProof/>
                <w:webHidden/>
              </w:rPr>
              <w:t>62</w:t>
            </w:r>
            <w:r>
              <w:rPr>
                <w:noProof/>
                <w:webHidden/>
              </w:rPr>
              <w:fldChar w:fldCharType="end"/>
            </w:r>
          </w:hyperlink>
        </w:p>
        <w:p w14:paraId="1D100CD6" w14:textId="29BB5870" w:rsidR="00C37FFB" w:rsidRDefault="00C37FFB">
          <w:pPr>
            <w:pStyle w:val="TDC2"/>
            <w:tabs>
              <w:tab w:val="right" w:leader="dot" w:pos="8828"/>
            </w:tabs>
            <w:rPr>
              <w:rFonts w:eastAsiaTheme="minorEastAsia"/>
              <w:noProof/>
              <w:kern w:val="2"/>
              <w:sz w:val="24"/>
              <w:szCs w:val="24"/>
              <w:lang w:eastAsia="es-CO"/>
              <w14:ligatures w14:val="standardContextual"/>
            </w:rPr>
          </w:pPr>
          <w:hyperlink w:anchor="_Toc234242804" w:history="1">
            <w:r w:rsidRPr="00177E58">
              <w:rPr>
                <w:rStyle w:val="Hipervnculo"/>
                <w:noProof/>
              </w:rPr>
              <w:t>2.2. Marco conceptual del hábitat biodiverso</w:t>
            </w:r>
            <w:r>
              <w:rPr>
                <w:noProof/>
                <w:webHidden/>
              </w:rPr>
              <w:tab/>
            </w:r>
            <w:r>
              <w:rPr>
                <w:noProof/>
                <w:webHidden/>
              </w:rPr>
              <w:fldChar w:fldCharType="begin"/>
            </w:r>
            <w:r>
              <w:rPr>
                <w:noProof/>
                <w:webHidden/>
              </w:rPr>
              <w:instrText xml:space="preserve"> PAGEREF _Toc234242804 \h </w:instrText>
            </w:r>
            <w:r>
              <w:rPr>
                <w:noProof/>
                <w:webHidden/>
              </w:rPr>
            </w:r>
            <w:r>
              <w:rPr>
                <w:noProof/>
                <w:webHidden/>
              </w:rPr>
              <w:fldChar w:fldCharType="separate"/>
            </w:r>
            <w:r>
              <w:rPr>
                <w:noProof/>
                <w:webHidden/>
              </w:rPr>
              <w:t>62</w:t>
            </w:r>
            <w:r>
              <w:rPr>
                <w:noProof/>
                <w:webHidden/>
              </w:rPr>
              <w:fldChar w:fldCharType="end"/>
            </w:r>
          </w:hyperlink>
        </w:p>
        <w:p w14:paraId="0BC922B8" w14:textId="11BCDB5F"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05" w:history="1">
            <w:r w:rsidRPr="00177E58">
              <w:rPr>
                <w:rStyle w:val="Hipervnculo"/>
                <w:noProof/>
              </w:rPr>
              <w:t>2.2.1. ¿De qué hablamos cuando hablamos de hábitat biodiverso? La complejidad: infraestructura y seres humanos que viven en contextos específicos y culturalmente diferentes</w:t>
            </w:r>
            <w:r>
              <w:rPr>
                <w:noProof/>
                <w:webHidden/>
              </w:rPr>
              <w:tab/>
            </w:r>
            <w:r>
              <w:rPr>
                <w:noProof/>
                <w:webHidden/>
              </w:rPr>
              <w:fldChar w:fldCharType="begin"/>
            </w:r>
            <w:r>
              <w:rPr>
                <w:noProof/>
                <w:webHidden/>
              </w:rPr>
              <w:instrText xml:space="preserve"> PAGEREF _Toc234242805 \h </w:instrText>
            </w:r>
            <w:r>
              <w:rPr>
                <w:noProof/>
                <w:webHidden/>
              </w:rPr>
            </w:r>
            <w:r>
              <w:rPr>
                <w:noProof/>
                <w:webHidden/>
              </w:rPr>
              <w:fldChar w:fldCharType="separate"/>
            </w:r>
            <w:r>
              <w:rPr>
                <w:noProof/>
                <w:webHidden/>
              </w:rPr>
              <w:t>62</w:t>
            </w:r>
            <w:r>
              <w:rPr>
                <w:noProof/>
                <w:webHidden/>
              </w:rPr>
              <w:fldChar w:fldCharType="end"/>
            </w:r>
          </w:hyperlink>
        </w:p>
        <w:p w14:paraId="3E45B06E" w14:textId="358BC924"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06" w:history="1">
            <w:r w:rsidRPr="00177E58">
              <w:rPr>
                <w:rStyle w:val="Hipervnculo"/>
                <w:noProof/>
              </w:rPr>
              <w:t>2.2.2. Matriz conceptual: ideas fuerza de la política Nuestro Hábitat Biodiverso</w:t>
            </w:r>
            <w:r>
              <w:rPr>
                <w:noProof/>
                <w:webHidden/>
              </w:rPr>
              <w:tab/>
            </w:r>
            <w:r>
              <w:rPr>
                <w:noProof/>
                <w:webHidden/>
              </w:rPr>
              <w:fldChar w:fldCharType="begin"/>
            </w:r>
            <w:r>
              <w:rPr>
                <w:noProof/>
                <w:webHidden/>
              </w:rPr>
              <w:instrText xml:space="preserve"> PAGEREF _Toc234242806 \h </w:instrText>
            </w:r>
            <w:r>
              <w:rPr>
                <w:noProof/>
                <w:webHidden/>
              </w:rPr>
            </w:r>
            <w:r>
              <w:rPr>
                <w:noProof/>
                <w:webHidden/>
              </w:rPr>
              <w:fldChar w:fldCharType="separate"/>
            </w:r>
            <w:r>
              <w:rPr>
                <w:noProof/>
                <w:webHidden/>
              </w:rPr>
              <w:t>64</w:t>
            </w:r>
            <w:r>
              <w:rPr>
                <w:noProof/>
                <w:webHidden/>
              </w:rPr>
              <w:fldChar w:fldCharType="end"/>
            </w:r>
          </w:hyperlink>
        </w:p>
        <w:p w14:paraId="128E3FA9" w14:textId="595B94DD" w:rsidR="00C37FFB" w:rsidRDefault="00C37FFB">
          <w:pPr>
            <w:pStyle w:val="TDC2"/>
            <w:tabs>
              <w:tab w:val="right" w:leader="dot" w:pos="8828"/>
            </w:tabs>
            <w:rPr>
              <w:rFonts w:eastAsiaTheme="minorEastAsia"/>
              <w:noProof/>
              <w:kern w:val="2"/>
              <w:sz w:val="24"/>
              <w:szCs w:val="24"/>
              <w:lang w:eastAsia="es-CO"/>
              <w14:ligatures w14:val="standardContextual"/>
            </w:rPr>
          </w:pPr>
          <w:hyperlink w:anchor="_Toc234242807" w:history="1">
            <w:r w:rsidRPr="00177E58">
              <w:rPr>
                <w:rStyle w:val="Hipervnculo"/>
                <w:noProof/>
              </w:rPr>
              <w:t>2.3. El nuevo marco jurídico (decretos y normativas) y metodológico</w:t>
            </w:r>
            <w:r>
              <w:rPr>
                <w:noProof/>
                <w:webHidden/>
              </w:rPr>
              <w:tab/>
            </w:r>
            <w:r>
              <w:rPr>
                <w:noProof/>
                <w:webHidden/>
              </w:rPr>
              <w:fldChar w:fldCharType="begin"/>
            </w:r>
            <w:r>
              <w:rPr>
                <w:noProof/>
                <w:webHidden/>
              </w:rPr>
              <w:instrText xml:space="preserve"> PAGEREF _Toc234242807 \h </w:instrText>
            </w:r>
            <w:r>
              <w:rPr>
                <w:noProof/>
                <w:webHidden/>
              </w:rPr>
            </w:r>
            <w:r>
              <w:rPr>
                <w:noProof/>
                <w:webHidden/>
              </w:rPr>
              <w:fldChar w:fldCharType="separate"/>
            </w:r>
            <w:r>
              <w:rPr>
                <w:noProof/>
                <w:webHidden/>
              </w:rPr>
              <w:t>65</w:t>
            </w:r>
            <w:r>
              <w:rPr>
                <w:noProof/>
                <w:webHidden/>
              </w:rPr>
              <w:fldChar w:fldCharType="end"/>
            </w:r>
          </w:hyperlink>
        </w:p>
        <w:p w14:paraId="762CE5BF" w14:textId="0060B68C" w:rsidR="00C37FFB" w:rsidRDefault="00C37FFB">
          <w:pPr>
            <w:pStyle w:val="TDC2"/>
            <w:tabs>
              <w:tab w:val="right" w:leader="dot" w:pos="8828"/>
            </w:tabs>
            <w:rPr>
              <w:rFonts w:eastAsiaTheme="minorEastAsia"/>
              <w:noProof/>
              <w:kern w:val="2"/>
              <w:sz w:val="24"/>
              <w:szCs w:val="24"/>
              <w:lang w:eastAsia="es-CO"/>
              <w14:ligatures w14:val="standardContextual"/>
            </w:rPr>
          </w:pPr>
          <w:hyperlink w:anchor="_Toc234242808" w:history="1">
            <w:r w:rsidRPr="00177E58">
              <w:rPr>
                <w:rStyle w:val="Hipervnculo"/>
                <w:noProof/>
              </w:rPr>
              <w:t>2.4. Vivienda. El Decreto 1470: Barrios y Veredas de Paz y los planes de gestión del hábitat</w:t>
            </w:r>
            <w:r>
              <w:rPr>
                <w:noProof/>
                <w:webHidden/>
              </w:rPr>
              <w:tab/>
            </w:r>
            <w:r>
              <w:rPr>
                <w:noProof/>
                <w:webHidden/>
              </w:rPr>
              <w:fldChar w:fldCharType="begin"/>
            </w:r>
            <w:r>
              <w:rPr>
                <w:noProof/>
                <w:webHidden/>
              </w:rPr>
              <w:instrText xml:space="preserve"> PAGEREF _Toc234242808 \h </w:instrText>
            </w:r>
            <w:r>
              <w:rPr>
                <w:noProof/>
                <w:webHidden/>
              </w:rPr>
            </w:r>
            <w:r>
              <w:rPr>
                <w:noProof/>
                <w:webHidden/>
              </w:rPr>
              <w:fldChar w:fldCharType="separate"/>
            </w:r>
            <w:r>
              <w:rPr>
                <w:noProof/>
                <w:webHidden/>
              </w:rPr>
              <w:t>70</w:t>
            </w:r>
            <w:r>
              <w:rPr>
                <w:noProof/>
                <w:webHidden/>
              </w:rPr>
              <w:fldChar w:fldCharType="end"/>
            </w:r>
          </w:hyperlink>
        </w:p>
        <w:p w14:paraId="3376C8CC" w14:textId="74D555A0"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09" w:history="1">
            <w:r w:rsidRPr="00177E58">
              <w:rPr>
                <w:rStyle w:val="Hipervnculo"/>
                <w:noProof/>
              </w:rPr>
              <w:t>2.4.1. La autogestión: la autoconstrucción y la construcción delegada. El 585, un decreto progresista</w:t>
            </w:r>
            <w:r>
              <w:rPr>
                <w:noProof/>
                <w:webHidden/>
              </w:rPr>
              <w:tab/>
            </w:r>
            <w:r>
              <w:rPr>
                <w:noProof/>
                <w:webHidden/>
              </w:rPr>
              <w:fldChar w:fldCharType="begin"/>
            </w:r>
            <w:r>
              <w:rPr>
                <w:noProof/>
                <w:webHidden/>
              </w:rPr>
              <w:instrText xml:space="preserve"> PAGEREF _Toc234242809 \h </w:instrText>
            </w:r>
            <w:r>
              <w:rPr>
                <w:noProof/>
                <w:webHidden/>
              </w:rPr>
            </w:r>
            <w:r>
              <w:rPr>
                <w:noProof/>
                <w:webHidden/>
              </w:rPr>
              <w:fldChar w:fldCharType="separate"/>
            </w:r>
            <w:r>
              <w:rPr>
                <w:noProof/>
                <w:webHidden/>
              </w:rPr>
              <w:t>76</w:t>
            </w:r>
            <w:r>
              <w:rPr>
                <w:noProof/>
                <w:webHidden/>
              </w:rPr>
              <w:fldChar w:fldCharType="end"/>
            </w:r>
          </w:hyperlink>
        </w:p>
        <w:p w14:paraId="6F02100D" w14:textId="1926B35D"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10" w:history="1">
            <w:r w:rsidRPr="00177E58">
              <w:rPr>
                <w:rStyle w:val="Hipervnculo"/>
                <w:noProof/>
              </w:rPr>
              <w:t>La autoconstrucción como política pública del Gobierno del Cambio</w:t>
            </w:r>
            <w:r>
              <w:rPr>
                <w:noProof/>
                <w:webHidden/>
              </w:rPr>
              <w:tab/>
            </w:r>
            <w:r>
              <w:rPr>
                <w:noProof/>
                <w:webHidden/>
              </w:rPr>
              <w:fldChar w:fldCharType="begin"/>
            </w:r>
            <w:r>
              <w:rPr>
                <w:noProof/>
                <w:webHidden/>
              </w:rPr>
              <w:instrText xml:space="preserve"> PAGEREF _Toc234242810 \h </w:instrText>
            </w:r>
            <w:r>
              <w:rPr>
                <w:noProof/>
                <w:webHidden/>
              </w:rPr>
            </w:r>
            <w:r>
              <w:rPr>
                <w:noProof/>
                <w:webHidden/>
              </w:rPr>
              <w:fldChar w:fldCharType="separate"/>
            </w:r>
            <w:r>
              <w:rPr>
                <w:noProof/>
                <w:webHidden/>
              </w:rPr>
              <w:t>77</w:t>
            </w:r>
            <w:r>
              <w:rPr>
                <w:noProof/>
                <w:webHidden/>
              </w:rPr>
              <w:fldChar w:fldCharType="end"/>
            </w:r>
          </w:hyperlink>
        </w:p>
        <w:p w14:paraId="3D2EA9AD" w14:textId="45E18520"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11" w:history="1">
            <w:r w:rsidRPr="00177E58">
              <w:rPr>
                <w:rStyle w:val="Hipervnculo"/>
                <w:noProof/>
              </w:rPr>
              <w:t>Reconocimiento de los aportes de la autogestión colectiva como plataforma para producir nuevos espacios habitacionales y mejorar los existentes</w:t>
            </w:r>
            <w:r>
              <w:rPr>
                <w:noProof/>
                <w:webHidden/>
              </w:rPr>
              <w:tab/>
            </w:r>
            <w:r>
              <w:rPr>
                <w:noProof/>
                <w:webHidden/>
              </w:rPr>
              <w:fldChar w:fldCharType="begin"/>
            </w:r>
            <w:r>
              <w:rPr>
                <w:noProof/>
                <w:webHidden/>
              </w:rPr>
              <w:instrText xml:space="preserve"> PAGEREF _Toc234242811 \h </w:instrText>
            </w:r>
            <w:r>
              <w:rPr>
                <w:noProof/>
                <w:webHidden/>
              </w:rPr>
            </w:r>
            <w:r>
              <w:rPr>
                <w:noProof/>
                <w:webHidden/>
              </w:rPr>
              <w:fldChar w:fldCharType="separate"/>
            </w:r>
            <w:r>
              <w:rPr>
                <w:noProof/>
                <w:webHidden/>
              </w:rPr>
              <w:t>78</w:t>
            </w:r>
            <w:r>
              <w:rPr>
                <w:noProof/>
                <w:webHidden/>
              </w:rPr>
              <w:fldChar w:fldCharType="end"/>
            </w:r>
          </w:hyperlink>
        </w:p>
        <w:p w14:paraId="42301B81" w14:textId="26B28BA1"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12" w:history="1">
            <w:r w:rsidRPr="00177E58">
              <w:rPr>
                <w:rStyle w:val="Hipervnculo"/>
                <w:noProof/>
              </w:rPr>
              <w:t>Principios de la autoconstrucción: Asociatividad vs. Individualismo</w:t>
            </w:r>
            <w:r>
              <w:rPr>
                <w:noProof/>
                <w:webHidden/>
              </w:rPr>
              <w:tab/>
            </w:r>
            <w:r>
              <w:rPr>
                <w:noProof/>
                <w:webHidden/>
              </w:rPr>
              <w:fldChar w:fldCharType="begin"/>
            </w:r>
            <w:r>
              <w:rPr>
                <w:noProof/>
                <w:webHidden/>
              </w:rPr>
              <w:instrText xml:space="preserve"> PAGEREF _Toc234242812 \h </w:instrText>
            </w:r>
            <w:r>
              <w:rPr>
                <w:noProof/>
                <w:webHidden/>
              </w:rPr>
            </w:r>
            <w:r>
              <w:rPr>
                <w:noProof/>
                <w:webHidden/>
              </w:rPr>
              <w:fldChar w:fldCharType="separate"/>
            </w:r>
            <w:r>
              <w:rPr>
                <w:noProof/>
                <w:webHidden/>
              </w:rPr>
              <w:t>78</w:t>
            </w:r>
            <w:r>
              <w:rPr>
                <w:noProof/>
                <w:webHidden/>
              </w:rPr>
              <w:fldChar w:fldCharType="end"/>
            </w:r>
          </w:hyperlink>
        </w:p>
        <w:p w14:paraId="4A9BEC8B" w14:textId="5A05791F"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13" w:history="1">
            <w:r w:rsidRPr="00177E58">
              <w:rPr>
                <w:rStyle w:val="Hipervnculo"/>
                <w:noProof/>
              </w:rPr>
              <w:t>La autogestión como riqueza comunitaria</w:t>
            </w:r>
            <w:r>
              <w:rPr>
                <w:noProof/>
                <w:webHidden/>
              </w:rPr>
              <w:tab/>
            </w:r>
            <w:r>
              <w:rPr>
                <w:noProof/>
                <w:webHidden/>
              </w:rPr>
              <w:fldChar w:fldCharType="begin"/>
            </w:r>
            <w:r>
              <w:rPr>
                <w:noProof/>
                <w:webHidden/>
              </w:rPr>
              <w:instrText xml:space="preserve"> PAGEREF _Toc234242813 \h </w:instrText>
            </w:r>
            <w:r>
              <w:rPr>
                <w:noProof/>
                <w:webHidden/>
              </w:rPr>
            </w:r>
            <w:r>
              <w:rPr>
                <w:noProof/>
                <w:webHidden/>
              </w:rPr>
              <w:fldChar w:fldCharType="separate"/>
            </w:r>
            <w:r>
              <w:rPr>
                <w:noProof/>
                <w:webHidden/>
              </w:rPr>
              <w:t>79</w:t>
            </w:r>
            <w:r>
              <w:rPr>
                <w:noProof/>
                <w:webHidden/>
              </w:rPr>
              <w:fldChar w:fldCharType="end"/>
            </w:r>
          </w:hyperlink>
        </w:p>
        <w:p w14:paraId="5ACE71AD" w14:textId="0A008E72"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14" w:history="1">
            <w:r w:rsidRPr="00177E58">
              <w:rPr>
                <w:rStyle w:val="Hipervnculo"/>
                <w:noProof/>
              </w:rPr>
              <w:t>La autogestión: dos modalidades para hacer vivienda con protagonismo comunitario y acompañamiento técnico del Estado</w:t>
            </w:r>
            <w:r>
              <w:rPr>
                <w:noProof/>
                <w:webHidden/>
              </w:rPr>
              <w:tab/>
            </w:r>
            <w:r>
              <w:rPr>
                <w:noProof/>
                <w:webHidden/>
              </w:rPr>
              <w:fldChar w:fldCharType="begin"/>
            </w:r>
            <w:r>
              <w:rPr>
                <w:noProof/>
                <w:webHidden/>
              </w:rPr>
              <w:instrText xml:space="preserve"> PAGEREF _Toc234242814 \h </w:instrText>
            </w:r>
            <w:r>
              <w:rPr>
                <w:noProof/>
                <w:webHidden/>
              </w:rPr>
            </w:r>
            <w:r>
              <w:rPr>
                <w:noProof/>
                <w:webHidden/>
              </w:rPr>
              <w:fldChar w:fldCharType="separate"/>
            </w:r>
            <w:r>
              <w:rPr>
                <w:noProof/>
                <w:webHidden/>
              </w:rPr>
              <w:t>81</w:t>
            </w:r>
            <w:r>
              <w:rPr>
                <w:noProof/>
                <w:webHidden/>
              </w:rPr>
              <w:fldChar w:fldCharType="end"/>
            </w:r>
          </w:hyperlink>
        </w:p>
        <w:p w14:paraId="3CEBEA3E" w14:textId="189C83FB" w:rsidR="00C37FFB" w:rsidRDefault="00C37FFB">
          <w:pPr>
            <w:pStyle w:val="TDC3"/>
            <w:tabs>
              <w:tab w:val="left" w:pos="880"/>
              <w:tab w:val="right" w:leader="dot" w:pos="8828"/>
            </w:tabs>
            <w:rPr>
              <w:rFonts w:eastAsiaTheme="minorEastAsia"/>
              <w:noProof/>
              <w:kern w:val="2"/>
              <w:sz w:val="24"/>
              <w:szCs w:val="24"/>
              <w:lang w:eastAsia="es-CO"/>
              <w14:ligatures w14:val="standardContextual"/>
            </w:rPr>
          </w:pPr>
          <w:hyperlink w:anchor="_Toc234242815" w:history="1">
            <w:r w:rsidRPr="00177E58">
              <w:rPr>
                <w:rStyle w:val="Hipervnculo"/>
                <w:noProof/>
              </w:rPr>
              <w:t>a)</w:t>
            </w:r>
            <w:r>
              <w:rPr>
                <w:rFonts w:eastAsiaTheme="minorEastAsia"/>
                <w:noProof/>
                <w:kern w:val="2"/>
                <w:sz w:val="24"/>
                <w:szCs w:val="24"/>
                <w:lang w:eastAsia="es-CO"/>
                <w14:ligatures w14:val="standardContextual"/>
              </w:rPr>
              <w:tab/>
            </w:r>
            <w:r w:rsidRPr="00177E58">
              <w:rPr>
                <w:rStyle w:val="Hipervnculo"/>
                <w:noProof/>
              </w:rPr>
              <w:t>Autoconstrucción (ejecución directa)</w:t>
            </w:r>
            <w:r>
              <w:rPr>
                <w:noProof/>
                <w:webHidden/>
              </w:rPr>
              <w:tab/>
            </w:r>
            <w:r>
              <w:rPr>
                <w:noProof/>
                <w:webHidden/>
              </w:rPr>
              <w:fldChar w:fldCharType="begin"/>
            </w:r>
            <w:r>
              <w:rPr>
                <w:noProof/>
                <w:webHidden/>
              </w:rPr>
              <w:instrText xml:space="preserve"> PAGEREF _Toc234242815 \h </w:instrText>
            </w:r>
            <w:r>
              <w:rPr>
                <w:noProof/>
                <w:webHidden/>
              </w:rPr>
            </w:r>
            <w:r>
              <w:rPr>
                <w:noProof/>
                <w:webHidden/>
              </w:rPr>
              <w:fldChar w:fldCharType="separate"/>
            </w:r>
            <w:r>
              <w:rPr>
                <w:noProof/>
                <w:webHidden/>
              </w:rPr>
              <w:t>81</w:t>
            </w:r>
            <w:r>
              <w:rPr>
                <w:noProof/>
                <w:webHidden/>
              </w:rPr>
              <w:fldChar w:fldCharType="end"/>
            </w:r>
          </w:hyperlink>
        </w:p>
        <w:p w14:paraId="418611AF" w14:textId="149025E9" w:rsidR="00C37FFB" w:rsidRDefault="00C37FFB">
          <w:pPr>
            <w:pStyle w:val="TDC3"/>
            <w:tabs>
              <w:tab w:val="left" w:pos="880"/>
              <w:tab w:val="right" w:leader="dot" w:pos="8828"/>
            </w:tabs>
            <w:rPr>
              <w:rFonts w:eastAsiaTheme="minorEastAsia"/>
              <w:noProof/>
              <w:kern w:val="2"/>
              <w:sz w:val="24"/>
              <w:szCs w:val="24"/>
              <w:lang w:eastAsia="es-CO"/>
              <w14:ligatures w14:val="standardContextual"/>
            </w:rPr>
          </w:pPr>
          <w:hyperlink w:anchor="_Toc234242816" w:history="1">
            <w:r w:rsidRPr="00177E58">
              <w:rPr>
                <w:rStyle w:val="Hipervnculo"/>
                <w:noProof/>
              </w:rPr>
              <w:t>b)</w:t>
            </w:r>
            <w:r>
              <w:rPr>
                <w:rFonts w:eastAsiaTheme="minorEastAsia"/>
                <w:noProof/>
                <w:kern w:val="2"/>
                <w:sz w:val="24"/>
                <w:szCs w:val="24"/>
                <w:lang w:eastAsia="es-CO"/>
                <w14:ligatures w14:val="standardContextual"/>
              </w:rPr>
              <w:tab/>
            </w:r>
            <w:r w:rsidRPr="00177E58">
              <w:rPr>
                <w:rStyle w:val="Hipervnculo"/>
                <w:noProof/>
              </w:rPr>
              <w:t>Construcción delegada (apoyo de un tercero)</w:t>
            </w:r>
            <w:r>
              <w:rPr>
                <w:noProof/>
                <w:webHidden/>
              </w:rPr>
              <w:tab/>
            </w:r>
            <w:r>
              <w:rPr>
                <w:noProof/>
                <w:webHidden/>
              </w:rPr>
              <w:fldChar w:fldCharType="begin"/>
            </w:r>
            <w:r>
              <w:rPr>
                <w:noProof/>
                <w:webHidden/>
              </w:rPr>
              <w:instrText xml:space="preserve"> PAGEREF _Toc234242816 \h </w:instrText>
            </w:r>
            <w:r>
              <w:rPr>
                <w:noProof/>
                <w:webHidden/>
              </w:rPr>
            </w:r>
            <w:r>
              <w:rPr>
                <w:noProof/>
                <w:webHidden/>
              </w:rPr>
              <w:fldChar w:fldCharType="separate"/>
            </w:r>
            <w:r>
              <w:rPr>
                <w:noProof/>
                <w:webHidden/>
              </w:rPr>
              <w:t>82</w:t>
            </w:r>
            <w:r>
              <w:rPr>
                <w:noProof/>
                <w:webHidden/>
              </w:rPr>
              <w:fldChar w:fldCharType="end"/>
            </w:r>
          </w:hyperlink>
        </w:p>
        <w:p w14:paraId="4F613326" w14:textId="3821EC01"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17" w:history="1">
            <w:r w:rsidRPr="00177E58">
              <w:rPr>
                <w:rStyle w:val="Hipervnculo"/>
                <w:noProof/>
              </w:rPr>
              <w:t>Reconocimiento del suelo popular y la posesión: una puerta de entrada para muchas familias</w:t>
            </w:r>
            <w:r>
              <w:rPr>
                <w:noProof/>
                <w:webHidden/>
              </w:rPr>
              <w:tab/>
            </w:r>
            <w:r>
              <w:rPr>
                <w:noProof/>
                <w:webHidden/>
              </w:rPr>
              <w:fldChar w:fldCharType="begin"/>
            </w:r>
            <w:r>
              <w:rPr>
                <w:noProof/>
                <w:webHidden/>
              </w:rPr>
              <w:instrText xml:space="preserve"> PAGEREF _Toc234242817 \h </w:instrText>
            </w:r>
            <w:r>
              <w:rPr>
                <w:noProof/>
                <w:webHidden/>
              </w:rPr>
            </w:r>
            <w:r>
              <w:rPr>
                <w:noProof/>
                <w:webHidden/>
              </w:rPr>
              <w:fldChar w:fldCharType="separate"/>
            </w:r>
            <w:r>
              <w:rPr>
                <w:noProof/>
                <w:webHidden/>
              </w:rPr>
              <w:t>82</w:t>
            </w:r>
            <w:r>
              <w:rPr>
                <w:noProof/>
                <w:webHidden/>
              </w:rPr>
              <w:fldChar w:fldCharType="end"/>
            </w:r>
          </w:hyperlink>
        </w:p>
        <w:p w14:paraId="5EF42B12" w14:textId="0D027BB5"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18" w:history="1">
            <w:r w:rsidRPr="00177E58">
              <w:rPr>
                <w:rStyle w:val="Hipervnculo"/>
                <w:noProof/>
              </w:rPr>
              <w:t>Montos claros y equitativos: hasta 70 SMMLV más incrementos por transporte</w:t>
            </w:r>
            <w:r>
              <w:rPr>
                <w:noProof/>
                <w:webHidden/>
              </w:rPr>
              <w:tab/>
            </w:r>
            <w:r>
              <w:rPr>
                <w:noProof/>
                <w:webHidden/>
              </w:rPr>
              <w:fldChar w:fldCharType="begin"/>
            </w:r>
            <w:r>
              <w:rPr>
                <w:noProof/>
                <w:webHidden/>
              </w:rPr>
              <w:instrText xml:space="preserve"> PAGEREF _Toc234242818 \h </w:instrText>
            </w:r>
            <w:r>
              <w:rPr>
                <w:noProof/>
                <w:webHidden/>
              </w:rPr>
            </w:r>
            <w:r>
              <w:rPr>
                <w:noProof/>
                <w:webHidden/>
              </w:rPr>
              <w:fldChar w:fldCharType="separate"/>
            </w:r>
            <w:r>
              <w:rPr>
                <w:noProof/>
                <w:webHidden/>
              </w:rPr>
              <w:t>83</w:t>
            </w:r>
            <w:r>
              <w:rPr>
                <w:noProof/>
                <w:webHidden/>
              </w:rPr>
              <w:fldChar w:fldCharType="end"/>
            </w:r>
          </w:hyperlink>
        </w:p>
        <w:p w14:paraId="58252B74" w14:textId="31FA2A9C"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19" w:history="1">
            <w:r w:rsidRPr="00177E58">
              <w:rPr>
                <w:rStyle w:val="Hipervnculo"/>
                <w:noProof/>
              </w:rPr>
              <w:t>Simplificación de trámites: licencias no requeridas con certificación profesional</w:t>
            </w:r>
            <w:r>
              <w:rPr>
                <w:noProof/>
                <w:webHidden/>
              </w:rPr>
              <w:tab/>
            </w:r>
            <w:r>
              <w:rPr>
                <w:noProof/>
                <w:webHidden/>
              </w:rPr>
              <w:fldChar w:fldCharType="begin"/>
            </w:r>
            <w:r>
              <w:rPr>
                <w:noProof/>
                <w:webHidden/>
              </w:rPr>
              <w:instrText xml:space="preserve"> PAGEREF _Toc234242819 \h </w:instrText>
            </w:r>
            <w:r>
              <w:rPr>
                <w:noProof/>
                <w:webHidden/>
              </w:rPr>
            </w:r>
            <w:r>
              <w:rPr>
                <w:noProof/>
                <w:webHidden/>
              </w:rPr>
              <w:fldChar w:fldCharType="separate"/>
            </w:r>
            <w:r>
              <w:rPr>
                <w:noProof/>
                <w:webHidden/>
              </w:rPr>
              <w:t>83</w:t>
            </w:r>
            <w:r>
              <w:rPr>
                <w:noProof/>
                <w:webHidden/>
              </w:rPr>
              <w:fldChar w:fldCharType="end"/>
            </w:r>
          </w:hyperlink>
        </w:p>
        <w:p w14:paraId="2500D9C8" w14:textId="17D4B2FF"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20" w:history="1">
            <w:r w:rsidRPr="00177E58">
              <w:rPr>
                <w:rStyle w:val="Hipervnculo"/>
                <w:noProof/>
              </w:rPr>
              <w:t>Operatividad transparente y al servicio de la comunidad</w:t>
            </w:r>
            <w:r>
              <w:rPr>
                <w:noProof/>
                <w:webHidden/>
              </w:rPr>
              <w:tab/>
            </w:r>
            <w:r>
              <w:rPr>
                <w:noProof/>
                <w:webHidden/>
              </w:rPr>
              <w:fldChar w:fldCharType="begin"/>
            </w:r>
            <w:r>
              <w:rPr>
                <w:noProof/>
                <w:webHidden/>
              </w:rPr>
              <w:instrText xml:space="preserve"> PAGEREF _Toc234242820 \h </w:instrText>
            </w:r>
            <w:r>
              <w:rPr>
                <w:noProof/>
                <w:webHidden/>
              </w:rPr>
            </w:r>
            <w:r>
              <w:rPr>
                <w:noProof/>
                <w:webHidden/>
              </w:rPr>
              <w:fldChar w:fldCharType="separate"/>
            </w:r>
            <w:r>
              <w:rPr>
                <w:noProof/>
                <w:webHidden/>
              </w:rPr>
              <w:t>84</w:t>
            </w:r>
            <w:r>
              <w:rPr>
                <w:noProof/>
                <w:webHidden/>
              </w:rPr>
              <w:fldChar w:fldCharType="end"/>
            </w:r>
          </w:hyperlink>
        </w:p>
        <w:p w14:paraId="2CAFA2ED" w14:textId="1676B10E"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21" w:history="1">
            <w:r w:rsidRPr="00177E58">
              <w:rPr>
                <w:rStyle w:val="Hipervnculo"/>
                <w:noProof/>
              </w:rPr>
              <w:t>Recuperar la autogestión como ejercicio práctico y soberano</w:t>
            </w:r>
            <w:r>
              <w:rPr>
                <w:noProof/>
                <w:webHidden/>
              </w:rPr>
              <w:tab/>
            </w:r>
            <w:r>
              <w:rPr>
                <w:noProof/>
                <w:webHidden/>
              </w:rPr>
              <w:fldChar w:fldCharType="begin"/>
            </w:r>
            <w:r>
              <w:rPr>
                <w:noProof/>
                <w:webHidden/>
              </w:rPr>
              <w:instrText xml:space="preserve"> PAGEREF _Toc234242821 \h </w:instrText>
            </w:r>
            <w:r>
              <w:rPr>
                <w:noProof/>
                <w:webHidden/>
              </w:rPr>
            </w:r>
            <w:r>
              <w:rPr>
                <w:noProof/>
                <w:webHidden/>
              </w:rPr>
              <w:fldChar w:fldCharType="separate"/>
            </w:r>
            <w:r>
              <w:rPr>
                <w:noProof/>
                <w:webHidden/>
              </w:rPr>
              <w:t>84</w:t>
            </w:r>
            <w:r>
              <w:rPr>
                <w:noProof/>
                <w:webHidden/>
              </w:rPr>
              <w:fldChar w:fldCharType="end"/>
            </w:r>
          </w:hyperlink>
        </w:p>
        <w:p w14:paraId="690A2CB2" w14:textId="76ADE3B4"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22" w:history="1">
            <w:r w:rsidRPr="00177E58">
              <w:rPr>
                <w:rStyle w:val="Hipervnculo"/>
                <w:noProof/>
              </w:rPr>
              <w:t>2.4.2. Vivienda usada</w:t>
            </w:r>
            <w:r>
              <w:rPr>
                <w:noProof/>
                <w:webHidden/>
              </w:rPr>
              <w:tab/>
            </w:r>
            <w:r>
              <w:rPr>
                <w:noProof/>
                <w:webHidden/>
              </w:rPr>
              <w:fldChar w:fldCharType="begin"/>
            </w:r>
            <w:r>
              <w:rPr>
                <w:noProof/>
                <w:webHidden/>
              </w:rPr>
              <w:instrText xml:space="preserve"> PAGEREF _Toc234242822 \h </w:instrText>
            </w:r>
            <w:r>
              <w:rPr>
                <w:noProof/>
                <w:webHidden/>
              </w:rPr>
            </w:r>
            <w:r>
              <w:rPr>
                <w:noProof/>
                <w:webHidden/>
              </w:rPr>
              <w:fldChar w:fldCharType="separate"/>
            </w:r>
            <w:r>
              <w:rPr>
                <w:noProof/>
                <w:webHidden/>
              </w:rPr>
              <w:t>85</w:t>
            </w:r>
            <w:r>
              <w:rPr>
                <w:noProof/>
                <w:webHidden/>
              </w:rPr>
              <w:fldChar w:fldCharType="end"/>
            </w:r>
          </w:hyperlink>
        </w:p>
        <w:p w14:paraId="46619742" w14:textId="51BD9FFC"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23" w:history="1">
            <w:r w:rsidRPr="00177E58">
              <w:rPr>
                <w:rStyle w:val="Hipervnculo"/>
                <w:noProof/>
              </w:rPr>
              <w:t>2.4.3. El mejoramiento de vivienda, el énfasis en lo rural y los datos que sustentan el cambio de paradigma</w:t>
            </w:r>
            <w:r>
              <w:rPr>
                <w:noProof/>
                <w:webHidden/>
              </w:rPr>
              <w:tab/>
            </w:r>
            <w:r>
              <w:rPr>
                <w:noProof/>
                <w:webHidden/>
              </w:rPr>
              <w:fldChar w:fldCharType="begin"/>
            </w:r>
            <w:r>
              <w:rPr>
                <w:noProof/>
                <w:webHidden/>
              </w:rPr>
              <w:instrText xml:space="preserve"> PAGEREF _Toc234242823 \h </w:instrText>
            </w:r>
            <w:r>
              <w:rPr>
                <w:noProof/>
                <w:webHidden/>
              </w:rPr>
            </w:r>
            <w:r>
              <w:rPr>
                <w:noProof/>
                <w:webHidden/>
              </w:rPr>
              <w:fldChar w:fldCharType="separate"/>
            </w:r>
            <w:r>
              <w:rPr>
                <w:noProof/>
                <w:webHidden/>
              </w:rPr>
              <w:t>86</w:t>
            </w:r>
            <w:r>
              <w:rPr>
                <w:noProof/>
                <w:webHidden/>
              </w:rPr>
              <w:fldChar w:fldCharType="end"/>
            </w:r>
          </w:hyperlink>
        </w:p>
        <w:p w14:paraId="28F49CB7" w14:textId="4EBDD45E"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24" w:history="1">
            <w:r w:rsidRPr="00177E58">
              <w:rPr>
                <w:rStyle w:val="Hipervnculo"/>
                <w:noProof/>
              </w:rPr>
              <w:t>El énfasis en lo rural y los datos que sustentan el cambio de paradigma</w:t>
            </w:r>
            <w:r>
              <w:rPr>
                <w:noProof/>
                <w:webHidden/>
              </w:rPr>
              <w:tab/>
            </w:r>
            <w:r>
              <w:rPr>
                <w:noProof/>
                <w:webHidden/>
              </w:rPr>
              <w:fldChar w:fldCharType="begin"/>
            </w:r>
            <w:r>
              <w:rPr>
                <w:noProof/>
                <w:webHidden/>
              </w:rPr>
              <w:instrText xml:space="preserve"> PAGEREF _Toc234242824 \h </w:instrText>
            </w:r>
            <w:r>
              <w:rPr>
                <w:noProof/>
                <w:webHidden/>
              </w:rPr>
            </w:r>
            <w:r>
              <w:rPr>
                <w:noProof/>
                <w:webHidden/>
              </w:rPr>
              <w:fldChar w:fldCharType="separate"/>
            </w:r>
            <w:r>
              <w:rPr>
                <w:noProof/>
                <w:webHidden/>
              </w:rPr>
              <w:t>88</w:t>
            </w:r>
            <w:r>
              <w:rPr>
                <w:noProof/>
                <w:webHidden/>
              </w:rPr>
              <w:fldChar w:fldCharType="end"/>
            </w:r>
          </w:hyperlink>
        </w:p>
        <w:p w14:paraId="4B2CD4DF" w14:textId="17EE039F"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25" w:history="1">
            <w:r w:rsidRPr="00177E58">
              <w:rPr>
                <w:rStyle w:val="Hipervnculo"/>
                <w:noProof/>
              </w:rPr>
              <w:t>2.4.4. El Decreto 413 de 2025: mejoramiento de vivienda en Colombia</w:t>
            </w:r>
            <w:r>
              <w:rPr>
                <w:noProof/>
                <w:webHidden/>
              </w:rPr>
              <w:tab/>
            </w:r>
            <w:r>
              <w:rPr>
                <w:noProof/>
                <w:webHidden/>
              </w:rPr>
              <w:fldChar w:fldCharType="begin"/>
            </w:r>
            <w:r>
              <w:rPr>
                <w:noProof/>
                <w:webHidden/>
              </w:rPr>
              <w:instrText xml:space="preserve"> PAGEREF _Toc234242825 \h </w:instrText>
            </w:r>
            <w:r>
              <w:rPr>
                <w:noProof/>
                <w:webHidden/>
              </w:rPr>
            </w:r>
            <w:r>
              <w:rPr>
                <w:noProof/>
                <w:webHidden/>
              </w:rPr>
              <w:fldChar w:fldCharType="separate"/>
            </w:r>
            <w:r>
              <w:rPr>
                <w:noProof/>
                <w:webHidden/>
              </w:rPr>
              <w:t>89</w:t>
            </w:r>
            <w:r>
              <w:rPr>
                <w:noProof/>
                <w:webHidden/>
              </w:rPr>
              <w:fldChar w:fldCharType="end"/>
            </w:r>
          </w:hyperlink>
        </w:p>
        <w:p w14:paraId="11EF584A" w14:textId="219C25EC" w:rsidR="00C37FFB" w:rsidRDefault="00C37FFB">
          <w:pPr>
            <w:pStyle w:val="TDC2"/>
            <w:tabs>
              <w:tab w:val="right" w:leader="dot" w:pos="8828"/>
            </w:tabs>
            <w:rPr>
              <w:rFonts w:eastAsiaTheme="minorEastAsia"/>
              <w:noProof/>
              <w:kern w:val="2"/>
              <w:sz w:val="24"/>
              <w:szCs w:val="24"/>
              <w:lang w:eastAsia="es-CO"/>
              <w14:ligatures w14:val="standardContextual"/>
            </w:rPr>
          </w:pPr>
          <w:hyperlink w:anchor="_Toc234242826" w:history="1">
            <w:r w:rsidRPr="00177E58">
              <w:rPr>
                <w:rStyle w:val="Hipervnculo"/>
                <w:noProof/>
              </w:rPr>
              <w:t>2.5. Agua: el enfoque de políticas públicas desde lo comunitario y asociativo</w:t>
            </w:r>
            <w:r>
              <w:rPr>
                <w:noProof/>
                <w:webHidden/>
              </w:rPr>
              <w:tab/>
            </w:r>
            <w:r>
              <w:rPr>
                <w:noProof/>
                <w:webHidden/>
              </w:rPr>
              <w:fldChar w:fldCharType="begin"/>
            </w:r>
            <w:r>
              <w:rPr>
                <w:noProof/>
                <w:webHidden/>
              </w:rPr>
              <w:instrText xml:space="preserve"> PAGEREF _Toc234242826 \h </w:instrText>
            </w:r>
            <w:r>
              <w:rPr>
                <w:noProof/>
                <w:webHidden/>
              </w:rPr>
            </w:r>
            <w:r>
              <w:rPr>
                <w:noProof/>
                <w:webHidden/>
              </w:rPr>
              <w:fldChar w:fldCharType="separate"/>
            </w:r>
            <w:r>
              <w:rPr>
                <w:noProof/>
                <w:webHidden/>
              </w:rPr>
              <w:t>96</w:t>
            </w:r>
            <w:r>
              <w:rPr>
                <w:noProof/>
                <w:webHidden/>
              </w:rPr>
              <w:fldChar w:fldCharType="end"/>
            </w:r>
          </w:hyperlink>
        </w:p>
        <w:p w14:paraId="261ACA3A" w14:textId="66178AF9"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27" w:history="1">
            <w:r w:rsidRPr="00177E58">
              <w:rPr>
                <w:rStyle w:val="Hipervnculo"/>
                <w:noProof/>
              </w:rPr>
              <w:t>2.5.1. El Decreto 0960 de 2025: la gestión comunitaria del agua</w:t>
            </w:r>
            <w:r>
              <w:rPr>
                <w:noProof/>
                <w:webHidden/>
              </w:rPr>
              <w:tab/>
            </w:r>
            <w:r>
              <w:rPr>
                <w:noProof/>
                <w:webHidden/>
              </w:rPr>
              <w:fldChar w:fldCharType="begin"/>
            </w:r>
            <w:r>
              <w:rPr>
                <w:noProof/>
                <w:webHidden/>
              </w:rPr>
              <w:instrText xml:space="preserve"> PAGEREF _Toc234242827 \h </w:instrText>
            </w:r>
            <w:r>
              <w:rPr>
                <w:noProof/>
                <w:webHidden/>
              </w:rPr>
            </w:r>
            <w:r>
              <w:rPr>
                <w:noProof/>
                <w:webHidden/>
              </w:rPr>
              <w:fldChar w:fldCharType="separate"/>
            </w:r>
            <w:r>
              <w:rPr>
                <w:noProof/>
                <w:webHidden/>
              </w:rPr>
              <w:t>97</w:t>
            </w:r>
            <w:r>
              <w:rPr>
                <w:noProof/>
                <w:webHidden/>
              </w:rPr>
              <w:fldChar w:fldCharType="end"/>
            </w:r>
          </w:hyperlink>
        </w:p>
        <w:p w14:paraId="6CCCE783" w14:textId="727F9C83"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28" w:history="1">
            <w:r w:rsidRPr="00177E58">
              <w:rPr>
                <w:rStyle w:val="Hipervnculo"/>
                <w:noProof/>
              </w:rPr>
              <w:t>2.5.2. Ruta ComuniAgua</w:t>
            </w:r>
            <w:r>
              <w:rPr>
                <w:noProof/>
                <w:webHidden/>
              </w:rPr>
              <w:tab/>
            </w:r>
            <w:r>
              <w:rPr>
                <w:noProof/>
                <w:webHidden/>
              </w:rPr>
              <w:fldChar w:fldCharType="begin"/>
            </w:r>
            <w:r>
              <w:rPr>
                <w:noProof/>
                <w:webHidden/>
              </w:rPr>
              <w:instrText xml:space="preserve"> PAGEREF _Toc234242828 \h </w:instrText>
            </w:r>
            <w:r>
              <w:rPr>
                <w:noProof/>
                <w:webHidden/>
              </w:rPr>
            </w:r>
            <w:r>
              <w:rPr>
                <w:noProof/>
                <w:webHidden/>
              </w:rPr>
              <w:fldChar w:fldCharType="separate"/>
            </w:r>
            <w:r>
              <w:rPr>
                <w:noProof/>
                <w:webHidden/>
              </w:rPr>
              <w:t>98</w:t>
            </w:r>
            <w:r>
              <w:rPr>
                <w:noProof/>
                <w:webHidden/>
              </w:rPr>
              <w:fldChar w:fldCharType="end"/>
            </w:r>
          </w:hyperlink>
        </w:p>
        <w:p w14:paraId="0BDA81A2" w14:textId="4F34EBE3"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29" w:history="1">
            <w:r w:rsidRPr="00177E58">
              <w:rPr>
                <w:rStyle w:val="Hipervnculo"/>
                <w:noProof/>
              </w:rPr>
              <w:t>2.5.3. Plan Wüin Ülees: agua limpia. La Guajira como uno de los departamentos priorizados en este cuatrienio</w:t>
            </w:r>
            <w:r>
              <w:rPr>
                <w:noProof/>
                <w:webHidden/>
              </w:rPr>
              <w:tab/>
            </w:r>
            <w:r>
              <w:rPr>
                <w:noProof/>
                <w:webHidden/>
              </w:rPr>
              <w:fldChar w:fldCharType="begin"/>
            </w:r>
            <w:r>
              <w:rPr>
                <w:noProof/>
                <w:webHidden/>
              </w:rPr>
              <w:instrText xml:space="preserve"> PAGEREF _Toc234242829 \h </w:instrText>
            </w:r>
            <w:r>
              <w:rPr>
                <w:noProof/>
                <w:webHidden/>
              </w:rPr>
            </w:r>
            <w:r>
              <w:rPr>
                <w:noProof/>
                <w:webHidden/>
              </w:rPr>
              <w:fldChar w:fldCharType="separate"/>
            </w:r>
            <w:r>
              <w:rPr>
                <w:noProof/>
                <w:webHidden/>
              </w:rPr>
              <w:t>101</w:t>
            </w:r>
            <w:r>
              <w:rPr>
                <w:noProof/>
                <w:webHidden/>
              </w:rPr>
              <w:fldChar w:fldCharType="end"/>
            </w:r>
          </w:hyperlink>
        </w:p>
        <w:p w14:paraId="58ABCCD6" w14:textId="09327316"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30" w:history="1">
            <w:r w:rsidRPr="00177E58">
              <w:rPr>
                <w:rStyle w:val="Hipervnculo"/>
                <w:rFonts w:eastAsia="Segoe UI"/>
                <w:noProof/>
              </w:rPr>
              <w:t>2.5.4. El Decreto 670 de 2025: Basura Cero. La población recicladora de oficio</w:t>
            </w:r>
            <w:r>
              <w:rPr>
                <w:noProof/>
                <w:webHidden/>
              </w:rPr>
              <w:tab/>
            </w:r>
            <w:r>
              <w:rPr>
                <w:noProof/>
                <w:webHidden/>
              </w:rPr>
              <w:fldChar w:fldCharType="begin"/>
            </w:r>
            <w:r>
              <w:rPr>
                <w:noProof/>
                <w:webHidden/>
              </w:rPr>
              <w:instrText xml:space="preserve"> PAGEREF _Toc234242830 \h </w:instrText>
            </w:r>
            <w:r>
              <w:rPr>
                <w:noProof/>
                <w:webHidden/>
              </w:rPr>
            </w:r>
            <w:r>
              <w:rPr>
                <w:noProof/>
                <w:webHidden/>
              </w:rPr>
              <w:fldChar w:fldCharType="separate"/>
            </w:r>
            <w:r>
              <w:rPr>
                <w:noProof/>
                <w:webHidden/>
              </w:rPr>
              <w:t>107</w:t>
            </w:r>
            <w:r>
              <w:rPr>
                <w:noProof/>
                <w:webHidden/>
              </w:rPr>
              <w:fldChar w:fldCharType="end"/>
            </w:r>
          </w:hyperlink>
        </w:p>
        <w:p w14:paraId="51DE154B" w14:textId="14F553A3"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31" w:history="1">
            <w:r w:rsidRPr="00177E58">
              <w:rPr>
                <w:rStyle w:val="Hipervnculo"/>
                <w:rFonts w:eastAsia="Times New Roman"/>
                <w:noProof/>
              </w:rPr>
              <w:t>Cambio de enfoque: de la disposición final a la economía circular</w:t>
            </w:r>
            <w:r>
              <w:rPr>
                <w:noProof/>
                <w:webHidden/>
              </w:rPr>
              <w:tab/>
            </w:r>
            <w:r>
              <w:rPr>
                <w:noProof/>
                <w:webHidden/>
              </w:rPr>
              <w:fldChar w:fldCharType="begin"/>
            </w:r>
            <w:r>
              <w:rPr>
                <w:noProof/>
                <w:webHidden/>
              </w:rPr>
              <w:instrText xml:space="preserve"> PAGEREF _Toc234242831 \h </w:instrText>
            </w:r>
            <w:r>
              <w:rPr>
                <w:noProof/>
                <w:webHidden/>
              </w:rPr>
            </w:r>
            <w:r>
              <w:rPr>
                <w:noProof/>
                <w:webHidden/>
              </w:rPr>
              <w:fldChar w:fldCharType="separate"/>
            </w:r>
            <w:r>
              <w:rPr>
                <w:noProof/>
                <w:webHidden/>
              </w:rPr>
              <w:t>108</w:t>
            </w:r>
            <w:r>
              <w:rPr>
                <w:noProof/>
                <w:webHidden/>
              </w:rPr>
              <w:fldChar w:fldCharType="end"/>
            </w:r>
          </w:hyperlink>
        </w:p>
        <w:p w14:paraId="4FE3B922" w14:textId="7E0937C6"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32" w:history="1">
            <w:r w:rsidRPr="00177E58">
              <w:rPr>
                <w:rStyle w:val="Hipervnculo"/>
                <w:rFonts w:eastAsia="Times New Roman"/>
                <w:noProof/>
              </w:rPr>
              <w:t>Rol estratégico de los recicladores de oficio y las organizaciones comunitarias</w:t>
            </w:r>
            <w:r>
              <w:rPr>
                <w:noProof/>
                <w:webHidden/>
              </w:rPr>
              <w:tab/>
            </w:r>
            <w:r>
              <w:rPr>
                <w:noProof/>
                <w:webHidden/>
              </w:rPr>
              <w:fldChar w:fldCharType="begin"/>
            </w:r>
            <w:r>
              <w:rPr>
                <w:noProof/>
                <w:webHidden/>
              </w:rPr>
              <w:instrText xml:space="preserve"> PAGEREF _Toc234242832 \h </w:instrText>
            </w:r>
            <w:r>
              <w:rPr>
                <w:noProof/>
                <w:webHidden/>
              </w:rPr>
            </w:r>
            <w:r>
              <w:rPr>
                <w:noProof/>
                <w:webHidden/>
              </w:rPr>
              <w:fldChar w:fldCharType="separate"/>
            </w:r>
            <w:r>
              <w:rPr>
                <w:noProof/>
                <w:webHidden/>
              </w:rPr>
              <w:t>108</w:t>
            </w:r>
            <w:r>
              <w:rPr>
                <w:noProof/>
                <w:webHidden/>
              </w:rPr>
              <w:fldChar w:fldCharType="end"/>
            </w:r>
          </w:hyperlink>
        </w:p>
        <w:p w14:paraId="6E4233DA" w14:textId="1B928DDC"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33" w:history="1">
            <w:r w:rsidRPr="00177E58">
              <w:rPr>
                <w:rStyle w:val="Hipervnculo"/>
                <w:rFonts w:eastAsia="Segoe UI"/>
                <w:noProof/>
              </w:rPr>
              <w:t xml:space="preserve">2.5.5. </w:t>
            </w:r>
            <w:r w:rsidRPr="00177E58">
              <w:rPr>
                <w:rStyle w:val="Hipervnculo"/>
                <w:noProof/>
              </w:rPr>
              <w:t>El Grupo de Proyectos Diferenciales y Comunitarios: un cambio institucional estratégico</w:t>
            </w:r>
            <w:r>
              <w:rPr>
                <w:noProof/>
                <w:webHidden/>
              </w:rPr>
              <w:tab/>
            </w:r>
            <w:r>
              <w:rPr>
                <w:noProof/>
                <w:webHidden/>
              </w:rPr>
              <w:fldChar w:fldCharType="begin"/>
            </w:r>
            <w:r>
              <w:rPr>
                <w:noProof/>
                <w:webHidden/>
              </w:rPr>
              <w:instrText xml:space="preserve"> PAGEREF _Toc234242833 \h </w:instrText>
            </w:r>
            <w:r>
              <w:rPr>
                <w:noProof/>
                <w:webHidden/>
              </w:rPr>
            </w:r>
            <w:r>
              <w:rPr>
                <w:noProof/>
                <w:webHidden/>
              </w:rPr>
              <w:fldChar w:fldCharType="separate"/>
            </w:r>
            <w:r>
              <w:rPr>
                <w:noProof/>
                <w:webHidden/>
              </w:rPr>
              <w:t>109</w:t>
            </w:r>
            <w:r>
              <w:rPr>
                <w:noProof/>
                <w:webHidden/>
              </w:rPr>
              <w:fldChar w:fldCharType="end"/>
            </w:r>
          </w:hyperlink>
        </w:p>
        <w:p w14:paraId="7CCC1E9D" w14:textId="4E220482"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34" w:history="1">
            <w:r w:rsidRPr="00177E58">
              <w:rPr>
                <w:rStyle w:val="Hipervnculo"/>
                <w:noProof/>
              </w:rPr>
              <w:t>Un nuevo enfoque: del modelo convencional a la gestión comunitaria</w:t>
            </w:r>
            <w:r>
              <w:rPr>
                <w:noProof/>
                <w:webHidden/>
              </w:rPr>
              <w:tab/>
            </w:r>
            <w:r>
              <w:rPr>
                <w:noProof/>
                <w:webHidden/>
              </w:rPr>
              <w:fldChar w:fldCharType="begin"/>
            </w:r>
            <w:r>
              <w:rPr>
                <w:noProof/>
                <w:webHidden/>
              </w:rPr>
              <w:instrText xml:space="preserve"> PAGEREF _Toc234242834 \h </w:instrText>
            </w:r>
            <w:r>
              <w:rPr>
                <w:noProof/>
                <w:webHidden/>
              </w:rPr>
            </w:r>
            <w:r>
              <w:rPr>
                <w:noProof/>
                <w:webHidden/>
              </w:rPr>
              <w:fldChar w:fldCharType="separate"/>
            </w:r>
            <w:r>
              <w:rPr>
                <w:noProof/>
                <w:webHidden/>
              </w:rPr>
              <w:t>109</w:t>
            </w:r>
            <w:r>
              <w:rPr>
                <w:noProof/>
                <w:webHidden/>
              </w:rPr>
              <w:fldChar w:fldCharType="end"/>
            </w:r>
          </w:hyperlink>
        </w:p>
        <w:p w14:paraId="3DBF66F2" w14:textId="36F8219D"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35" w:history="1">
            <w:r w:rsidRPr="00177E58">
              <w:rPr>
                <w:rStyle w:val="Hipervnculo"/>
                <w:noProof/>
              </w:rPr>
              <w:t>Capacidades territoriales y soluciones no convencionales</w:t>
            </w:r>
            <w:r>
              <w:rPr>
                <w:noProof/>
                <w:webHidden/>
              </w:rPr>
              <w:tab/>
            </w:r>
            <w:r>
              <w:rPr>
                <w:noProof/>
                <w:webHidden/>
              </w:rPr>
              <w:fldChar w:fldCharType="begin"/>
            </w:r>
            <w:r>
              <w:rPr>
                <w:noProof/>
                <w:webHidden/>
              </w:rPr>
              <w:instrText xml:space="preserve"> PAGEREF _Toc234242835 \h </w:instrText>
            </w:r>
            <w:r>
              <w:rPr>
                <w:noProof/>
                <w:webHidden/>
              </w:rPr>
            </w:r>
            <w:r>
              <w:rPr>
                <w:noProof/>
                <w:webHidden/>
              </w:rPr>
              <w:fldChar w:fldCharType="separate"/>
            </w:r>
            <w:r>
              <w:rPr>
                <w:noProof/>
                <w:webHidden/>
              </w:rPr>
              <w:t>110</w:t>
            </w:r>
            <w:r>
              <w:rPr>
                <w:noProof/>
                <w:webHidden/>
              </w:rPr>
              <w:fldChar w:fldCharType="end"/>
            </w:r>
          </w:hyperlink>
        </w:p>
        <w:p w14:paraId="72DD19C4" w14:textId="5244F50B" w:rsidR="00C37FFB" w:rsidRDefault="00C37FFB">
          <w:pPr>
            <w:pStyle w:val="TDC2"/>
            <w:tabs>
              <w:tab w:val="right" w:leader="dot" w:pos="8828"/>
            </w:tabs>
            <w:rPr>
              <w:rFonts w:eastAsiaTheme="minorEastAsia"/>
              <w:noProof/>
              <w:kern w:val="2"/>
              <w:sz w:val="24"/>
              <w:szCs w:val="24"/>
              <w:lang w:eastAsia="es-CO"/>
              <w14:ligatures w14:val="standardContextual"/>
            </w:rPr>
          </w:pPr>
          <w:hyperlink w:anchor="_Toc234242836" w:history="1">
            <w:r w:rsidRPr="00177E58">
              <w:rPr>
                <w:rStyle w:val="Hipervnculo"/>
                <w:noProof/>
              </w:rPr>
              <w:t xml:space="preserve">2.6. </w:t>
            </w:r>
            <w:r w:rsidRPr="00177E58">
              <w:rPr>
                <w:rStyle w:val="Hipervnculo"/>
                <w:noProof/>
                <w:lang w:val="es-ES_tradnl"/>
              </w:rPr>
              <w:t>Lineamiento sobre el Ordenamiento Territorial Alrededor del Agua (OTAA)</w:t>
            </w:r>
            <w:r>
              <w:rPr>
                <w:noProof/>
                <w:webHidden/>
              </w:rPr>
              <w:tab/>
            </w:r>
            <w:r>
              <w:rPr>
                <w:noProof/>
                <w:webHidden/>
              </w:rPr>
              <w:fldChar w:fldCharType="begin"/>
            </w:r>
            <w:r>
              <w:rPr>
                <w:noProof/>
                <w:webHidden/>
              </w:rPr>
              <w:instrText xml:space="preserve"> PAGEREF _Toc234242836 \h </w:instrText>
            </w:r>
            <w:r>
              <w:rPr>
                <w:noProof/>
                <w:webHidden/>
              </w:rPr>
            </w:r>
            <w:r>
              <w:rPr>
                <w:noProof/>
                <w:webHidden/>
              </w:rPr>
              <w:fldChar w:fldCharType="separate"/>
            </w:r>
            <w:r>
              <w:rPr>
                <w:noProof/>
                <w:webHidden/>
              </w:rPr>
              <w:t>112</w:t>
            </w:r>
            <w:r>
              <w:rPr>
                <w:noProof/>
                <w:webHidden/>
              </w:rPr>
              <w:fldChar w:fldCharType="end"/>
            </w:r>
          </w:hyperlink>
        </w:p>
        <w:p w14:paraId="27327BD3" w14:textId="628CC0B2" w:rsidR="00C37FFB" w:rsidRDefault="00C37FFB">
          <w:pPr>
            <w:pStyle w:val="TDC2"/>
            <w:tabs>
              <w:tab w:val="right" w:leader="dot" w:pos="8828"/>
            </w:tabs>
            <w:rPr>
              <w:rFonts w:eastAsiaTheme="minorEastAsia"/>
              <w:noProof/>
              <w:kern w:val="2"/>
              <w:sz w:val="24"/>
              <w:szCs w:val="24"/>
              <w:lang w:eastAsia="es-CO"/>
              <w14:ligatures w14:val="standardContextual"/>
            </w:rPr>
          </w:pPr>
          <w:hyperlink w:anchor="_Toc234242837" w:history="1">
            <w:r w:rsidRPr="00177E58">
              <w:rPr>
                <w:rStyle w:val="Hipervnculo"/>
                <w:noProof/>
              </w:rPr>
              <w:t>2.7. La importancia de generar confianza: las experiencias territoriales</w:t>
            </w:r>
            <w:r>
              <w:rPr>
                <w:noProof/>
                <w:webHidden/>
              </w:rPr>
              <w:tab/>
            </w:r>
            <w:r>
              <w:rPr>
                <w:noProof/>
                <w:webHidden/>
              </w:rPr>
              <w:fldChar w:fldCharType="begin"/>
            </w:r>
            <w:r>
              <w:rPr>
                <w:noProof/>
                <w:webHidden/>
              </w:rPr>
              <w:instrText xml:space="preserve"> PAGEREF _Toc234242837 \h </w:instrText>
            </w:r>
            <w:r>
              <w:rPr>
                <w:noProof/>
                <w:webHidden/>
              </w:rPr>
            </w:r>
            <w:r>
              <w:rPr>
                <w:noProof/>
                <w:webHidden/>
              </w:rPr>
              <w:fldChar w:fldCharType="separate"/>
            </w:r>
            <w:r>
              <w:rPr>
                <w:noProof/>
                <w:webHidden/>
              </w:rPr>
              <w:t>114</w:t>
            </w:r>
            <w:r>
              <w:rPr>
                <w:noProof/>
                <w:webHidden/>
              </w:rPr>
              <w:fldChar w:fldCharType="end"/>
            </w:r>
          </w:hyperlink>
        </w:p>
        <w:p w14:paraId="56C51ECC" w14:textId="64D88409"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38" w:history="1">
            <w:r w:rsidRPr="00177E58">
              <w:rPr>
                <w:rStyle w:val="Hipervnculo"/>
                <w:noProof/>
              </w:rPr>
              <w:t>2.7.1. Chocó, uno de los departamentos priorizados en este cuatrienio en la política de vivienda</w:t>
            </w:r>
            <w:r>
              <w:rPr>
                <w:noProof/>
                <w:webHidden/>
              </w:rPr>
              <w:tab/>
            </w:r>
            <w:r>
              <w:rPr>
                <w:noProof/>
                <w:webHidden/>
              </w:rPr>
              <w:fldChar w:fldCharType="begin"/>
            </w:r>
            <w:r>
              <w:rPr>
                <w:noProof/>
                <w:webHidden/>
              </w:rPr>
              <w:instrText xml:space="preserve"> PAGEREF _Toc234242838 \h </w:instrText>
            </w:r>
            <w:r>
              <w:rPr>
                <w:noProof/>
                <w:webHidden/>
              </w:rPr>
            </w:r>
            <w:r>
              <w:rPr>
                <w:noProof/>
                <w:webHidden/>
              </w:rPr>
              <w:fldChar w:fldCharType="separate"/>
            </w:r>
            <w:r>
              <w:rPr>
                <w:noProof/>
                <w:webHidden/>
              </w:rPr>
              <w:t>117</w:t>
            </w:r>
            <w:r>
              <w:rPr>
                <w:noProof/>
                <w:webHidden/>
              </w:rPr>
              <w:fldChar w:fldCharType="end"/>
            </w:r>
          </w:hyperlink>
        </w:p>
        <w:p w14:paraId="633B6D72" w14:textId="124CE029"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39" w:history="1">
            <w:r w:rsidRPr="00177E58">
              <w:rPr>
                <w:rStyle w:val="Hipervnculo"/>
                <w:noProof/>
              </w:rPr>
              <w:t>2.7.2. Buenaventura, desde la conceptualización de un barrio de paz</w:t>
            </w:r>
            <w:r>
              <w:rPr>
                <w:noProof/>
                <w:webHidden/>
              </w:rPr>
              <w:tab/>
            </w:r>
            <w:r>
              <w:rPr>
                <w:noProof/>
                <w:webHidden/>
              </w:rPr>
              <w:fldChar w:fldCharType="begin"/>
            </w:r>
            <w:r>
              <w:rPr>
                <w:noProof/>
                <w:webHidden/>
              </w:rPr>
              <w:instrText xml:space="preserve"> PAGEREF _Toc234242839 \h </w:instrText>
            </w:r>
            <w:r>
              <w:rPr>
                <w:noProof/>
                <w:webHidden/>
              </w:rPr>
            </w:r>
            <w:r>
              <w:rPr>
                <w:noProof/>
                <w:webHidden/>
              </w:rPr>
              <w:fldChar w:fldCharType="separate"/>
            </w:r>
            <w:r>
              <w:rPr>
                <w:noProof/>
                <w:webHidden/>
              </w:rPr>
              <w:t>124</w:t>
            </w:r>
            <w:r>
              <w:rPr>
                <w:noProof/>
                <w:webHidden/>
              </w:rPr>
              <w:fldChar w:fldCharType="end"/>
            </w:r>
          </w:hyperlink>
        </w:p>
        <w:p w14:paraId="79E2997C" w14:textId="7DF2F858"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40" w:history="1">
            <w:r w:rsidRPr="00177E58">
              <w:rPr>
                <w:rStyle w:val="Hipervnculo"/>
                <w:noProof/>
              </w:rPr>
              <w:t>Retos</w:t>
            </w:r>
            <w:r>
              <w:rPr>
                <w:noProof/>
                <w:webHidden/>
              </w:rPr>
              <w:tab/>
            </w:r>
            <w:r>
              <w:rPr>
                <w:noProof/>
                <w:webHidden/>
              </w:rPr>
              <w:fldChar w:fldCharType="begin"/>
            </w:r>
            <w:r>
              <w:rPr>
                <w:noProof/>
                <w:webHidden/>
              </w:rPr>
              <w:instrText xml:space="preserve"> PAGEREF _Toc234242840 \h </w:instrText>
            </w:r>
            <w:r>
              <w:rPr>
                <w:noProof/>
                <w:webHidden/>
              </w:rPr>
            </w:r>
            <w:r>
              <w:rPr>
                <w:noProof/>
                <w:webHidden/>
              </w:rPr>
              <w:fldChar w:fldCharType="separate"/>
            </w:r>
            <w:r>
              <w:rPr>
                <w:noProof/>
                <w:webHidden/>
              </w:rPr>
              <w:t>131</w:t>
            </w:r>
            <w:r>
              <w:rPr>
                <w:noProof/>
                <w:webHidden/>
              </w:rPr>
              <w:fldChar w:fldCharType="end"/>
            </w:r>
          </w:hyperlink>
        </w:p>
        <w:p w14:paraId="0527198B" w14:textId="20AB1327"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41" w:history="1">
            <w:r w:rsidRPr="00177E58">
              <w:rPr>
                <w:rStyle w:val="Hipervnculo"/>
                <w:noProof/>
              </w:rPr>
              <w:t>2.7.2. Timbiquí como autogestión</w:t>
            </w:r>
            <w:r>
              <w:rPr>
                <w:noProof/>
                <w:webHidden/>
              </w:rPr>
              <w:tab/>
            </w:r>
            <w:r>
              <w:rPr>
                <w:noProof/>
                <w:webHidden/>
              </w:rPr>
              <w:fldChar w:fldCharType="begin"/>
            </w:r>
            <w:r>
              <w:rPr>
                <w:noProof/>
                <w:webHidden/>
              </w:rPr>
              <w:instrText xml:space="preserve"> PAGEREF _Toc234242841 \h </w:instrText>
            </w:r>
            <w:r>
              <w:rPr>
                <w:noProof/>
                <w:webHidden/>
              </w:rPr>
            </w:r>
            <w:r>
              <w:rPr>
                <w:noProof/>
                <w:webHidden/>
              </w:rPr>
              <w:fldChar w:fldCharType="separate"/>
            </w:r>
            <w:r>
              <w:rPr>
                <w:noProof/>
                <w:webHidden/>
              </w:rPr>
              <w:t>131</w:t>
            </w:r>
            <w:r>
              <w:rPr>
                <w:noProof/>
                <w:webHidden/>
              </w:rPr>
              <w:fldChar w:fldCharType="end"/>
            </w:r>
          </w:hyperlink>
        </w:p>
        <w:p w14:paraId="480BA7C3" w14:textId="5688BFD0"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42" w:history="1">
            <w:r w:rsidRPr="00177E58">
              <w:rPr>
                <w:rStyle w:val="Hipervnculo"/>
                <w:rFonts w:eastAsia="Segoe UI"/>
                <w:noProof/>
              </w:rPr>
              <w:t>Retos</w:t>
            </w:r>
            <w:r>
              <w:rPr>
                <w:noProof/>
                <w:webHidden/>
              </w:rPr>
              <w:tab/>
            </w:r>
            <w:r>
              <w:rPr>
                <w:noProof/>
                <w:webHidden/>
              </w:rPr>
              <w:fldChar w:fldCharType="begin"/>
            </w:r>
            <w:r>
              <w:rPr>
                <w:noProof/>
                <w:webHidden/>
              </w:rPr>
              <w:instrText xml:space="preserve"> PAGEREF _Toc234242842 \h </w:instrText>
            </w:r>
            <w:r>
              <w:rPr>
                <w:noProof/>
                <w:webHidden/>
              </w:rPr>
            </w:r>
            <w:r>
              <w:rPr>
                <w:noProof/>
                <w:webHidden/>
              </w:rPr>
              <w:fldChar w:fldCharType="separate"/>
            </w:r>
            <w:r>
              <w:rPr>
                <w:noProof/>
                <w:webHidden/>
              </w:rPr>
              <w:t>135</w:t>
            </w:r>
            <w:r>
              <w:rPr>
                <w:noProof/>
                <w:webHidden/>
              </w:rPr>
              <w:fldChar w:fldCharType="end"/>
            </w:r>
          </w:hyperlink>
        </w:p>
        <w:p w14:paraId="022FBB83" w14:textId="6BF3B52C"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43" w:history="1">
            <w:r w:rsidRPr="00177E58">
              <w:rPr>
                <w:rStyle w:val="Hipervnculo"/>
                <w:noProof/>
              </w:rPr>
              <w:t>2.7.3. La Guajira y la experiencia del MVCT sobre el agua</w:t>
            </w:r>
            <w:r>
              <w:rPr>
                <w:noProof/>
                <w:webHidden/>
              </w:rPr>
              <w:tab/>
            </w:r>
            <w:r>
              <w:rPr>
                <w:noProof/>
                <w:webHidden/>
              </w:rPr>
              <w:fldChar w:fldCharType="begin"/>
            </w:r>
            <w:r>
              <w:rPr>
                <w:noProof/>
                <w:webHidden/>
              </w:rPr>
              <w:instrText xml:space="preserve"> PAGEREF _Toc234242843 \h </w:instrText>
            </w:r>
            <w:r>
              <w:rPr>
                <w:noProof/>
                <w:webHidden/>
              </w:rPr>
            </w:r>
            <w:r>
              <w:rPr>
                <w:noProof/>
                <w:webHidden/>
              </w:rPr>
              <w:fldChar w:fldCharType="separate"/>
            </w:r>
            <w:r>
              <w:rPr>
                <w:noProof/>
                <w:webHidden/>
              </w:rPr>
              <w:t>136</w:t>
            </w:r>
            <w:r>
              <w:rPr>
                <w:noProof/>
                <w:webHidden/>
              </w:rPr>
              <w:fldChar w:fldCharType="end"/>
            </w:r>
          </w:hyperlink>
        </w:p>
        <w:p w14:paraId="7C3931A1" w14:textId="108BFCEB" w:rsidR="00C37FFB" w:rsidRDefault="00C37FFB">
          <w:pPr>
            <w:pStyle w:val="TDC2"/>
            <w:tabs>
              <w:tab w:val="right" w:leader="dot" w:pos="8828"/>
            </w:tabs>
            <w:rPr>
              <w:rFonts w:eastAsiaTheme="minorEastAsia"/>
              <w:noProof/>
              <w:kern w:val="2"/>
              <w:sz w:val="24"/>
              <w:szCs w:val="24"/>
              <w:lang w:eastAsia="es-CO"/>
              <w14:ligatures w14:val="standardContextual"/>
            </w:rPr>
          </w:pPr>
          <w:hyperlink w:anchor="_Toc234242844" w:history="1">
            <w:r w:rsidRPr="00177E58">
              <w:rPr>
                <w:rStyle w:val="Hipervnculo"/>
                <w:noProof/>
              </w:rPr>
              <w:t>2.8. El lineamiento de política sobre los enfoques diferenciales</w:t>
            </w:r>
            <w:r>
              <w:rPr>
                <w:noProof/>
                <w:webHidden/>
              </w:rPr>
              <w:tab/>
            </w:r>
            <w:r>
              <w:rPr>
                <w:noProof/>
                <w:webHidden/>
              </w:rPr>
              <w:fldChar w:fldCharType="begin"/>
            </w:r>
            <w:r>
              <w:rPr>
                <w:noProof/>
                <w:webHidden/>
              </w:rPr>
              <w:instrText xml:space="preserve"> PAGEREF _Toc234242844 \h </w:instrText>
            </w:r>
            <w:r>
              <w:rPr>
                <w:noProof/>
                <w:webHidden/>
              </w:rPr>
            </w:r>
            <w:r>
              <w:rPr>
                <w:noProof/>
                <w:webHidden/>
              </w:rPr>
              <w:fldChar w:fldCharType="separate"/>
            </w:r>
            <w:r>
              <w:rPr>
                <w:noProof/>
                <w:webHidden/>
              </w:rPr>
              <w:t>143</w:t>
            </w:r>
            <w:r>
              <w:rPr>
                <w:noProof/>
                <w:webHidden/>
              </w:rPr>
              <w:fldChar w:fldCharType="end"/>
            </w:r>
          </w:hyperlink>
        </w:p>
        <w:p w14:paraId="3931F1AA" w14:textId="716EC9B6"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45" w:history="1">
            <w:r w:rsidRPr="00177E58">
              <w:rPr>
                <w:rStyle w:val="Hipervnculo"/>
                <w:noProof/>
              </w:rPr>
              <w:t>2.8.1. ¿Qué es el enfoque diferencial?</w:t>
            </w:r>
            <w:r>
              <w:rPr>
                <w:noProof/>
                <w:webHidden/>
              </w:rPr>
              <w:tab/>
            </w:r>
            <w:r>
              <w:rPr>
                <w:noProof/>
                <w:webHidden/>
              </w:rPr>
              <w:fldChar w:fldCharType="begin"/>
            </w:r>
            <w:r>
              <w:rPr>
                <w:noProof/>
                <w:webHidden/>
              </w:rPr>
              <w:instrText xml:space="preserve"> PAGEREF _Toc234242845 \h </w:instrText>
            </w:r>
            <w:r>
              <w:rPr>
                <w:noProof/>
                <w:webHidden/>
              </w:rPr>
            </w:r>
            <w:r>
              <w:rPr>
                <w:noProof/>
                <w:webHidden/>
              </w:rPr>
              <w:fldChar w:fldCharType="separate"/>
            </w:r>
            <w:r>
              <w:rPr>
                <w:noProof/>
                <w:webHidden/>
              </w:rPr>
              <w:t>144</w:t>
            </w:r>
            <w:r>
              <w:rPr>
                <w:noProof/>
                <w:webHidden/>
              </w:rPr>
              <w:fldChar w:fldCharType="end"/>
            </w:r>
          </w:hyperlink>
        </w:p>
        <w:p w14:paraId="4C10E132" w14:textId="423AB4A9"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46" w:history="1">
            <w:r w:rsidRPr="00177E58">
              <w:rPr>
                <w:rStyle w:val="Hipervnculo"/>
                <w:noProof/>
              </w:rPr>
              <w:t>2.8.2. Relevancia del enfoque diferencial</w:t>
            </w:r>
            <w:r>
              <w:rPr>
                <w:noProof/>
                <w:webHidden/>
              </w:rPr>
              <w:tab/>
            </w:r>
            <w:r>
              <w:rPr>
                <w:noProof/>
                <w:webHidden/>
              </w:rPr>
              <w:fldChar w:fldCharType="begin"/>
            </w:r>
            <w:r>
              <w:rPr>
                <w:noProof/>
                <w:webHidden/>
              </w:rPr>
              <w:instrText xml:space="preserve"> PAGEREF _Toc234242846 \h </w:instrText>
            </w:r>
            <w:r>
              <w:rPr>
                <w:noProof/>
                <w:webHidden/>
              </w:rPr>
            </w:r>
            <w:r>
              <w:rPr>
                <w:noProof/>
                <w:webHidden/>
              </w:rPr>
              <w:fldChar w:fldCharType="separate"/>
            </w:r>
            <w:r>
              <w:rPr>
                <w:noProof/>
                <w:webHidden/>
              </w:rPr>
              <w:t>145</w:t>
            </w:r>
            <w:r>
              <w:rPr>
                <w:noProof/>
                <w:webHidden/>
              </w:rPr>
              <w:fldChar w:fldCharType="end"/>
            </w:r>
          </w:hyperlink>
        </w:p>
        <w:p w14:paraId="3E9C1E38" w14:textId="44DCE522"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47" w:history="1">
            <w:r w:rsidRPr="00177E58">
              <w:rPr>
                <w:rStyle w:val="Hipervnculo"/>
                <w:noProof/>
              </w:rPr>
              <w:t>2.8.3. El enfoque diferencial en el marco normativo del MVCT</w:t>
            </w:r>
            <w:r>
              <w:rPr>
                <w:noProof/>
                <w:webHidden/>
              </w:rPr>
              <w:tab/>
            </w:r>
            <w:r>
              <w:rPr>
                <w:noProof/>
                <w:webHidden/>
              </w:rPr>
              <w:fldChar w:fldCharType="begin"/>
            </w:r>
            <w:r>
              <w:rPr>
                <w:noProof/>
                <w:webHidden/>
              </w:rPr>
              <w:instrText xml:space="preserve"> PAGEREF _Toc234242847 \h </w:instrText>
            </w:r>
            <w:r>
              <w:rPr>
                <w:noProof/>
                <w:webHidden/>
              </w:rPr>
            </w:r>
            <w:r>
              <w:rPr>
                <w:noProof/>
                <w:webHidden/>
              </w:rPr>
              <w:fldChar w:fldCharType="separate"/>
            </w:r>
            <w:r>
              <w:rPr>
                <w:noProof/>
                <w:webHidden/>
              </w:rPr>
              <w:t>146</w:t>
            </w:r>
            <w:r>
              <w:rPr>
                <w:noProof/>
                <w:webHidden/>
              </w:rPr>
              <w:fldChar w:fldCharType="end"/>
            </w:r>
          </w:hyperlink>
        </w:p>
        <w:p w14:paraId="06402922" w14:textId="1D16F430"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48" w:history="1">
            <w:r w:rsidRPr="00177E58">
              <w:rPr>
                <w:rStyle w:val="Hipervnculo"/>
                <w:noProof/>
              </w:rPr>
              <w:t>2.8.4. Retos</w:t>
            </w:r>
            <w:r>
              <w:rPr>
                <w:noProof/>
                <w:webHidden/>
              </w:rPr>
              <w:tab/>
            </w:r>
            <w:r>
              <w:rPr>
                <w:noProof/>
                <w:webHidden/>
              </w:rPr>
              <w:fldChar w:fldCharType="begin"/>
            </w:r>
            <w:r>
              <w:rPr>
                <w:noProof/>
                <w:webHidden/>
              </w:rPr>
              <w:instrText xml:space="preserve"> PAGEREF _Toc234242848 \h </w:instrText>
            </w:r>
            <w:r>
              <w:rPr>
                <w:noProof/>
                <w:webHidden/>
              </w:rPr>
            </w:r>
            <w:r>
              <w:rPr>
                <w:noProof/>
                <w:webHidden/>
              </w:rPr>
              <w:fldChar w:fldCharType="separate"/>
            </w:r>
            <w:r>
              <w:rPr>
                <w:noProof/>
                <w:webHidden/>
              </w:rPr>
              <w:t>149</w:t>
            </w:r>
            <w:r>
              <w:rPr>
                <w:noProof/>
                <w:webHidden/>
              </w:rPr>
              <w:fldChar w:fldCharType="end"/>
            </w:r>
          </w:hyperlink>
        </w:p>
        <w:p w14:paraId="6676A835" w14:textId="3EEBF6D2"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49" w:history="1">
            <w:r w:rsidRPr="00177E58">
              <w:rPr>
                <w:rStyle w:val="Hipervnculo"/>
                <w:noProof/>
              </w:rPr>
              <w:t>2.8.5. Matriz de recomendaciones para la incorporación de los enfoques diferenciales</w:t>
            </w:r>
            <w:r>
              <w:rPr>
                <w:noProof/>
                <w:webHidden/>
              </w:rPr>
              <w:tab/>
            </w:r>
            <w:r>
              <w:rPr>
                <w:noProof/>
                <w:webHidden/>
              </w:rPr>
              <w:fldChar w:fldCharType="begin"/>
            </w:r>
            <w:r>
              <w:rPr>
                <w:noProof/>
                <w:webHidden/>
              </w:rPr>
              <w:instrText xml:space="preserve"> PAGEREF _Toc234242849 \h </w:instrText>
            </w:r>
            <w:r>
              <w:rPr>
                <w:noProof/>
                <w:webHidden/>
              </w:rPr>
            </w:r>
            <w:r>
              <w:rPr>
                <w:noProof/>
                <w:webHidden/>
              </w:rPr>
              <w:fldChar w:fldCharType="separate"/>
            </w:r>
            <w:r>
              <w:rPr>
                <w:noProof/>
                <w:webHidden/>
              </w:rPr>
              <w:t>151</w:t>
            </w:r>
            <w:r>
              <w:rPr>
                <w:noProof/>
                <w:webHidden/>
              </w:rPr>
              <w:fldChar w:fldCharType="end"/>
            </w:r>
          </w:hyperlink>
        </w:p>
        <w:p w14:paraId="711FF58F" w14:textId="33B8597B"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50" w:history="1">
            <w:r w:rsidRPr="00177E58">
              <w:rPr>
                <w:rStyle w:val="Hipervnculo"/>
                <w:noProof/>
              </w:rPr>
              <w:t>2.8.6. El enfoque territorial</w:t>
            </w:r>
            <w:r>
              <w:rPr>
                <w:noProof/>
                <w:webHidden/>
              </w:rPr>
              <w:tab/>
            </w:r>
            <w:r>
              <w:rPr>
                <w:noProof/>
                <w:webHidden/>
              </w:rPr>
              <w:fldChar w:fldCharType="begin"/>
            </w:r>
            <w:r>
              <w:rPr>
                <w:noProof/>
                <w:webHidden/>
              </w:rPr>
              <w:instrText xml:space="preserve"> PAGEREF _Toc234242850 \h </w:instrText>
            </w:r>
            <w:r>
              <w:rPr>
                <w:noProof/>
                <w:webHidden/>
              </w:rPr>
            </w:r>
            <w:r>
              <w:rPr>
                <w:noProof/>
                <w:webHidden/>
              </w:rPr>
              <w:fldChar w:fldCharType="separate"/>
            </w:r>
            <w:r>
              <w:rPr>
                <w:noProof/>
                <w:webHidden/>
              </w:rPr>
              <w:t>152</w:t>
            </w:r>
            <w:r>
              <w:rPr>
                <w:noProof/>
                <w:webHidden/>
              </w:rPr>
              <w:fldChar w:fldCharType="end"/>
            </w:r>
          </w:hyperlink>
        </w:p>
        <w:p w14:paraId="721C55E6" w14:textId="359E3AFE"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51" w:history="1">
            <w:r w:rsidRPr="00177E58">
              <w:rPr>
                <w:rStyle w:val="Hipervnculo"/>
                <w:noProof/>
              </w:rPr>
              <w:t>Qué es el enfoque territorial</w:t>
            </w:r>
            <w:r>
              <w:rPr>
                <w:noProof/>
                <w:webHidden/>
              </w:rPr>
              <w:tab/>
            </w:r>
            <w:r>
              <w:rPr>
                <w:noProof/>
                <w:webHidden/>
              </w:rPr>
              <w:fldChar w:fldCharType="begin"/>
            </w:r>
            <w:r>
              <w:rPr>
                <w:noProof/>
                <w:webHidden/>
              </w:rPr>
              <w:instrText xml:space="preserve"> PAGEREF _Toc234242851 \h </w:instrText>
            </w:r>
            <w:r>
              <w:rPr>
                <w:noProof/>
                <w:webHidden/>
              </w:rPr>
            </w:r>
            <w:r>
              <w:rPr>
                <w:noProof/>
                <w:webHidden/>
              </w:rPr>
              <w:fldChar w:fldCharType="separate"/>
            </w:r>
            <w:r>
              <w:rPr>
                <w:noProof/>
                <w:webHidden/>
              </w:rPr>
              <w:t>152</w:t>
            </w:r>
            <w:r>
              <w:rPr>
                <w:noProof/>
                <w:webHidden/>
              </w:rPr>
              <w:fldChar w:fldCharType="end"/>
            </w:r>
          </w:hyperlink>
        </w:p>
        <w:p w14:paraId="44184893" w14:textId="395FCCF8"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52" w:history="1">
            <w:r w:rsidRPr="00177E58">
              <w:rPr>
                <w:rStyle w:val="Hipervnculo"/>
                <w:noProof/>
              </w:rPr>
              <w:t>Cómo se desarrolla el Enfoque Territorial</w:t>
            </w:r>
            <w:r>
              <w:rPr>
                <w:noProof/>
                <w:webHidden/>
              </w:rPr>
              <w:tab/>
            </w:r>
            <w:r>
              <w:rPr>
                <w:noProof/>
                <w:webHidden/>
              </w:rPr>
              <w:fldChar w:fldCharType="begin"/>
            </w:r>
            <w:r>
              <w:rPr>
                <w:noProof/>
                <w:webHidden/>
              </w:rPr>
              <w:instrText xml:space="preserve"> PAGEREF _Toc234242852 \h </w:instrText>
            </w:r>
            <w:r>
              <w:rPr>
                <w:noProof/>
                <w:webHidden/>
              </w:rPr>
            </w:r>
            <w:r>
              <w:rPr>
                <w:noProof/>
                <w:webHidden/>
              </w:rPr>
              <w:fldChar w:fldCharType="separate"/>
            </w:r>
            <w:r>
              <w:rPr>
                <w:noProof/>
                <w:webHidden/>
              </w:rPr>
              <w:t>153</w:t>
            </w:r>
            <w:r>
              <w:rPr>
                <w:noProof/>
                <w:webHidden/>
              </w:rPr>
              <w:fldChar w:fldCharType="end"/>
            </w:r>
          </w:hyperlink>
        </w:p>
        <w:p w14:paraId="72A4F828" w14:textId="6205AC7A"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53" w:history="1">
            <w:r w:rsidRPr="00177E58">
              <w:rPr>
                <w:rStyle w:val="Hipervnculo"/>
                <w:noProof/>
              </w:rPr>
              <w:t>Cuál fue el problema y por qué se decidió definir y establecer el Enfoque Territorial</w:t>
            </w:r>
            <w:r>
              <w:rPr>
                <w:noProof/>
                <w:webHidden/>
              </w:rPr>
              <w:tab/>
            </w:r>
            <w:r>
              <w:rPr>
                <w:noProof/>
                <w:webHidden/>
              </w:rPr>
              <w:fldChar w:fldCharType="begin"/>
            </w:r>
            <w:r>
              <w:rPr>
                <w:noProof/>
                <w:webHidden/>
              </w:rPr>
              <w:instrText xml:space="preserve"> PAGEREF _Toc234242853 \h </w:instrText>
            </w:r>
            <w:r>
              <w:rPr>
                <w:noProof/>
                <w:webHidden/>
              </w:rPr>
            </w:r>
            <w:r>
              <w:rPr>
                <w:noProof/>
                <w:webHidden/>
              </w:rPr>
              <w:fldChar w:fldCharType="separate"/>
            </w:r>
            <w:r>
              <w:rPr>
                <w:noProof/>
                <w:webHidden/>
              </w:rPr>
              <w:t>155</w:t>
            </w:r>
            <w:r>
              <w:rPr>
                <w:noProof/>
                <w:webHidden/>
              </w:rPr>
              <w:fldChar w:fldCharType="end"/>
            </w:r>
          </w:hyperlink>
        </w:p>
        <w:p w14:paraId="3DD0FEAF" w14:textId="1367A852"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54" w:history="1">
            <w:r w:rsidRPr="00177E58">
              <w:rPr>
                <w:rStyle w:val="Hipervnculo"/>
                <w:noProof/>
              </w:rPr>
              <w:t>Aciertos</w:t>
            </w:r>
            <w:r>
              <w:rPr>
                <w:noProof/>
                <w:webHidden/>
              </w:rPr>
              <w:tab/>
            </w:r>
            <w:r>
              <w:rPr>
                <w:noProof/>
                <w:webHidden/>
              </w:rPr>
              <w:fldChar w:fldCharType="begin"/>
            </w:r>
            <w:r>
              <w:rPr>
                <w:noProof/>
                <w:webHidden/>
              </w:rPr>
              <w:instrText xml:space="preserve"> PAGEREF _Toc234242854 \h </w:instrText>
            </w:r>
            <w:r>
              <w:rPr>
                <w:noProof/>
                <w:webHidden/>
              </w:rPr>
            </w:r>
            <w:r>
              <w:rPr>
                <w:noProof/>
                <w:webHidden/>
              </w:rPr>
              <w:fldChar w:fldCharType="separate"/>
            </w:r>
            <w:r>
              <w:rPr>
                <w:noProof/>
                <w:webHidden/>
              </w:rPr>
              <w:t>155</w:t>
            </w:r>
            <w:r>
              <w:rPr>
                <w:noProof/>
                <w:webHidden/>
              </w:rPr>
              <w:fldChar w:fldCharType="end"/>
            </w:r>
          </w:hyperlink>
        </w:p>
        <w:p w14:paraId="15C745A3" w14:textId="4787EC52"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55" w:history="1">
            <w:r w:rsidRPr="00177E58">
              <w:rPr>
                <w:rStyle w:val="Hipervnculo"/>
                <w:noProof/>
              </w:rPr>
              <w:t>Retos</w:t>
            </w:r>
            <w:r>
              <w:rPr>
                <w:noProof/>
                <w:webHidden/>
              </w:rPr>
              <w:tab/>
            </w:r>
            <w:r>
              <w:rPr>
                <w:noProof/>
                <w:webHidden/>
              </w:rPr>
              <w:fldChar w:fldCharType="begin"/>
            </w:r>
            <w:r>
              <w:rPr>
                <w:noProof/>
                <w:webHidden/>
              </w:rPr>
              <w:instrText xml:space="preserve"> PAGEREF _Toc234242855 \h </w:instrText>
            </w:r>
            <w:r>
              <w:rPr>
                <w:noProof/>
                <w:webHidden/>
              </w:rPr>
            </w:r>
            <w:r>
              <w:rPr>
                <w:noProof/>
                <w:webHidden/>
              </w:rPr>
              <w:fldChar w:fldCharType="separate"/>
            </w:r>
            <w:r>
              <w:rPr>
                <w:noProof/>
                <w:webHidden/>
              </w:rPr>
              <w:t>157</w:t>
            </w:r>
            <w:r>
              <w:rPr>
                <w:noProof/>
                <w:webHidden/>
              </w:rPr>
              <w:fldChar w:fldCharType="end"/>
            </w:r>
          </w:hyperlink>
        </w:p>
        <w:p w14:paraId="18C72B53" w14:textId="42D2132A"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56" w:history="1">
            <w:r w:rsidRPr="00177E58">
              <w:rPr>
                <w:rStyle w:val="Hipervnculo"/>
                <w:noProof/>
              </w:rPr>
              <w:t>2.8.7. Enfoque hacia la paz</w:t>
            </w:r>
            <w:r>
              <w:rPr>
                <w:noProof/>
                <w:webHidden/>
              </w:rPr>
              <w:tab/>
            </w:r>
            <w:r>
              <w:rPr>
                <w:noProof/>
                <w:webHidden/>
              </w:rPr>
              <w:fldChar w:fldCharType="begin"/>
            </w:r>
            <w:r>
              <w:rPr>
                <w:noProof/>
                <w:webHidden/>
              </w:rPr>
              <w:instrText xml:space="preserve"> PAGEREF _Toc234242856 \h </w:instrText>
            </w:r>
            <w:r>
              <w:rPr>
                <w:noProof/>
                <w:webHidden/>
              </w:rPr>
            </w:r>
            <w:r>
              <w:rPr>
                <w:noProof/>
                <w:webHidden/>
              </w:rPr>
              <w:fldChar w:fldCharType="separate"/>
            </w:r>
            <w:r>
              <w:rPr>
                <w:noProof/>
                <w:webHidden/>
              </w:rPr>
              <w:t>158</w:t>
            </w:r>
            <w:r>
              <w:rPr>
                <w:noProof/>
                <w:webHidden/>
              </w:rPr>
              <w:fldChar w:fldCharType="end"/>
            </w:r>
          </w:hyperlink>
        </w:p>
        <w:p w14:paraId="2BD5CFF8" w14:textId="03F6B2B5"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57" w:history="1">
            <w:r w:rsidRPr="00177E58">
              <w:rPr>
                <w:rStyle w:val="Hipervnculo"/>
                <w:noProof/>
              </w:rPr>
              <w:t>¿En qué consiste?</w:t>
            </w:r>
            <w:r>
              <w:rPr>
                <w:noProof/>
                <w:webHidden/>
              </w:rPr>
              <w:tab/>
            </w:r>
            <w:r>
              <w:rPr>
                <w:noProof/>
                <w:webHidden/>
              </w:rPr>
              <w:fldChar w:fldCharType="begin"/>
            </w:r>
            <w:r>
              <w:rPr>
                <w:noProof/>
                <w:webHidden/>
              </w:rPr>
              <w:instrText xml:space="preserve"> PAGEREF _Toc234242857 \h </w:instrText>
            </w:r>
            <w:r>
              <w:rPr>
                <w:noProof/>
                <w:webHidden/>
              </w:rPr>
            </w:r>
            <w:r>
              <w:rPr>
                <w:noProof/>
                <w:webHidden/>
              </w:rPr>
              <w:fldChar w:fldCharType="separate"/>
            </w:r>
            <w:r>
              <w:rPr>
                <w:noProof/>
                <w:webHidden/>
              </w:rPr>
              <w:t>158</w:t>
            </w:r>
            <w:r>
              <w:rPr>
                <w:noProof/>
                <w:webHidden/>
              </w:rPr>
              <w:fldChar w:fldCharType="end"/>
            </w:r>
          </w:hyperlink>
        </w:p>
        <w:p w14:paraId="44981524" w14:textId="6D9396C2"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58" w:history="1">
            <w:r w:rsidRPr="00177E58">
              <w:rPr>
                <w:rStyle w:val="Hipervnculo"/>
                <w:noProof/>
              </w:rPr>
              <w:t>El MVCT en la construcción de la paz</w:t>
            </w:r>
            <w:r>
              <w:rPr>
                <w:noProof/>
                <w:webHidden/>
              </w:rPr>
              <w:tab/>
            </w:r>
            <w:r>
              <w:rPr>
                <w:noProof/>
                <w:webHidden/>
              </w:rPr>
              <w:fldChar w:fldCharType="begin"/>
            </w:r>
            <w:r>
              <w:rPr>
                <w:noProof/>
                <w:webHidden/>
              </w:rPr>
              <w:instrText xml:space="preserve"> PAGEREF _Toc234242858 \h </w:instrText>
            </w:r>
            <w:r>
              <w:rPr>
                <w:noProof/>
                <w:webHidden/>
              </w:rPr>
            </w:r>
            <w:r>
              <w:rPr>
                <w:noProof/>
                <w:webHidden/>
              </w:rPr>
              <w:fldChar w:fldCharType="separate"/>
            </w:r>
            <w:r>
              <w:rPr>
                <w:noProof/>
                <w:webHidden/>
              </w:rPr>
              <w:t>159</w:t>
            </w:r>
            <w:r>
              <w:rPr>
                <w:noProof/>
                <w:webHidden/>
              </w:rPr>
              <w:fldChar w:fldCharType="end"/>
            </w:r>
          </w:hyperlink>
        </w:p>
        <w:p w14:paraId="196FDAD3" w14:textId="1FE57E88"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59" w:history="1">
            <w:r w:rsidRPr="00177E58">
              <w:rPr>
                <w:rStyle w:val="Hipervnculo"/>
                <w:noProof/>
              </w:rPr>
              <w:t>Lineamientos para la construcción de paz desde el Hábitat Biodiverso</w:t>
            </w:r>
            <w:r>
              <w:rPr>
                <w:noProof/>
                <w:webHidden/>
              </w:rPr>
              <w:tab/>
            </w:r>
            <w:r>
              <w:rPr>
                <w:noProof/>
                <w:webHidden/>
              </w:rPr>
              <w:fldChar w:fldCharType="begin"/>
            </w:r>
            <w:r>
              <w:rPr>
                <w:noProof/>
                <w:webHidden/>
              </w:rPr>
              <w:instrText xml:space="preserve"> PAGEREF _Toc234242859 \h </w:instrText>
            </w:r>
            <w:r>
              <w:rPr>
                <w:noProof/>
                <w:webHidden/>
              </w:rPr>
            </w:r>
            <w:r>
              <w:rPr>
                <w:noProof/>
                <w:webHidden/>
              </w:rPr>
              <w:fldChar w:fldCharType="separate"/>
            </w:r>
            <w:r>
              <w:rPr>
                <w:noProof/>
                <w:webHidden/>
              </w:rPr>
              <w:t>160</w:t>
            </w:r>
            <w:r>
              <w:rPr>
                <w:noProof/>
                <w:webHidden/>
              </w:rPr>
              <w:fldChar w:fldCharType="end"/>
            </w:r>
          </w:hyperlink>
        </w:p>
        <w:p w14:paraId="732A94D6" w14:textId="5B1039E2" w:rsidR="00C37FFB" w:rsidRDefault="00C37FFB">
          <w:pPr>
            <w:pStyle w:val="TDC3"/>
            <w:tabs>
              <w:tab w:val="left" w:pos="880"/>
              <w:tab w:val="right" w:leader="dot" w:pos="8828"/>
            </w:tabs>
            <w:rPr>
              <w:rFonts w:eastAsiaTheme="minorEastAsia"/>
              <w:noProof/>
              <w:kern w:val="2"/>
              <w:sz w:val="24"/>
              <w:szCs w:val="24"/>
              <w:lang w:eastAsia="es-CO"/>
              <w14:ligatures w14:val="standardContextual"/>
            </w:rPr>
          </w:pPr>
          <w:hyperlink w:anchor="_Toc234242860" w:history="1">
            <w:r w:rsidRPr="00177E58">
              <w:rPr>
                <w:rStyle w:val="Hipervnculo"/>
                <w:noProof/>
              </w:rPr>
              <w:t>a)</w:t>
            </w:r>
            <w:r>
              <w:rPr>
                <w:rFonts w:eastAsiaTheme="minorEastAsia"/>
                <w:noProof/>
                <w:kern w:val="2"/>
                <w:sz w:val="24"/>
                <w:szCs w:val="24"/>
                <w:lang w:eastAsia="es-CO"/>
                <w14:ligatures w14:val="standardContextual"/>
              </w:rPr>
              <w:tab/>
            </w:r>
            <w:r w:rsidRPr="00177E58">
              <w:rPr>
                <w:rStyle w:val="Hipervnculo"/>
                <w:noProof/>
              </w:rPr>
              <w:t>El enfoque hacia la paz: marco político y rol del MVCT</w:t>
            </w:r>
            <w:r>
              <w:rPr>
                <w:noProof/>
                <w:webHidden/>
              </w:rPr>
              <w:tab/>
            </w:r>
            <w:r>
              <w:rPr>
                <w:noProof/>
                <w:webHidden/>
              </w:rPr>
              <w:fldChar w:fldCharType="begin"/>
            </w:r>
            <w:r>
              <w:rPr>
                <w:noProof/>
                <w:webHidden/>
              </w:rPr>
              <w:instrText xml:space="preserve"> PAGEREF _Toc234242860 \h </w:instrText>
            </w:r>
            <w:r>
              <w:rPr>
                <w:noProof/>
                <w:webHidden/>
              </w:rPr>
            </w:r>
            <w:r>
              <w:rPr>
                <w:noProof/>
                <w:webHidden/>
              </w:rPr>
              <w:fldChar w:fldCharType="separate"/>
            </w:r>
            <w:r>
              <w:rPr>
                <w:noProof/>
                <w:webHidden/>
              </w:rPr>
              <w:t>160</w:t>
            </w:r>
            <w:r>
              <w:rPr>
                <w:noProof/>
                <w:webHidden/>
              </w:rPr>
              <w:fldChar w:fldCharType="end"/>
            </w:r>
          </w:hyperlink>
        </w:p>
        <w:p w14:paraId="439CBAD2" w14:textId="6DA62E61" w:rsidR="00C37FFB" w:rsidRDefault="00C37FFB">
          <w:pPr>
            <w:pStyle w:val="TDC3"/>
            <w:tabs>
              <w:tab w:val="left" w:pos="880"/>
              <w:tab w:val="right" w:leader="dot" w:pos="8828"/>
            </w:tabs>
            <w:rPr>
              <w:rFonts w:eastAsiaTheme="minorEastAsia"/>
              <w:noProof/>
              <w:kern w:val="2"/>
              <w:sz w:val="24"/>
              <w:szCs w:val="24"/>
              <w:lang w:eastAsia="es-CO"/>
              <w14:ligatures w14:val="standardContextual"/>
            </w:rPr>
          </w:pPr>
          <w:hyperlink w:anchor="_Toc234242861" w:history="1">
            <w:r w:rsidRPr="00177E58">
              <w:rPr>
                <w:rStyle w:val="Hipervnculo"/>
                <w:noProof/>
              </w:rPr>
              <w:t>b)</w:t>
            </w:r>
            <w:r>
              <w:rPr>
                <w:rFonts w:eastAsiaTheme="minorEastAsia"/>
                <w:noProof/>
                <w:kern w:val="2"/>
                <w:sz w:val="24"/>
                <w:szCs w:val="24"/>
                <w:lang w:eastAsia="es-CO"/>
                <w14:ligatures w14:val="standardContextual"/>
              </w:rPr>
              <w:tab/>
            </w:r>
            <w:r w:rsidRPr="00177E58">
              <w:rPr>
                <w:rStyle w:val="Hipervnculo"/>
                <w:noProof/>
              </w:rPr>
              <w:t>Balance del sector: coyuntura del conflicto e implementación del acuerdo</w:t>
            </w:r>
            <w:r>
              <w:rPr>
                <w:noProof/>
                <w:webHidden/>
              </w:rPr>
              <w:tab/>
            </w:r>
            <w:r>
              <w:rPr>
                <w:noProof/>
                <w:webHidden/>
              </w:rPr>
              <w:fldChar w:fldCharType="begin"/>
            </w:r>
            <w:r>
              <w:rPr>
                <w:noProof/>
                <w:webHidden/>
              </w:rPr>
              <w:instrText xml:space="preserve"> PAGEREF _Toc234242861 \h </w:instrText>
            </w:r>
            <w:r>
              <w:rPr>
                <w:noProof/>
                <w:webHidden/>
              </w:rPr>
            </w:r>
            <w:r>
              <w:rPr>
                <w:noProof/>
                <w:webHidden/>
              </w:rPr>
              <w:fldChar w:fldCharType="separate"/>
            </w:r>
            <w:r>
              <w:rPr>
                <w:noProof/>
                <w:webHidden/>
              </w:rPr>
              <w:t>161</w:t>
            </w:r>
            <w:r>
              <w:rPr>
                <w:noProof/>
                <w:webHidden/>
              </w:rPr>
              <w:fldChar w:fldCharType="end"/>
            </w:r>
          </w:hyperlink>
        </w:p>
        <w:p w14:paraId="6EB7E579" w14:textId="24158187" w:rsidR="00C37FFB" w:rsidRDefault="00C37FFB">
          <w:pPr>
            <w:pStyle w:val="TDC3"/>
            <w:tabs>
              <w:tab w:val="left" w:pos="880"/>
              <w:tab w:val="right" w:leader="dot" w:pos="8828"/>
            </w:tabs>
            <w:rPr>
              <w:rFonts w:eastAsiaTheme="minorEastAsia"/>
              <w:noProof/>
              <w:kern w:val="2"/>
              <w:sz w:val="24"/>
              <w:szCs w:val="24"/>
              <w:lang w:eastAsia="es-CO"/>
              <w14:ligatures w14:val="standardContextual"/>
            </w:rPr>
          </w:pPr>
          <w:hyperlink w:anchor="_Toc234242862" w:history="1">
            <w:r w:rsidRPr="00177E58">
              <w:rPr>
                <w:rStyle w:val="Hipervnculo"/>
                <w:noProof/>
              </w:rPr>
              <w:t>c)</w:t>
            </w:r>
            <w:r>
              <w:rPr>
                <w:rFonts w:eastAsiaTheme="minorEastAsia"/>
                <w:noProof/>
                <w:kern w:val="2"/>
                <w:sz w:val="24"/>
                <w:szCs w:val="24"/>
                <w:lang w:eastAsia="es-CO"/>
                <w14:ligatures w14:val="standardContextual"/>
              </w:rPr>
              <w:tab/>
            </w:r>
            <w:r w:rsidRPr="00177E58">
              <w:rPr>
                <w:rStyle w:val="Hipervnculo"/>
                <w:noProof/>
              </w:rPr>
              <w:t>Infraestructura normativa y programática para la paz</w:t>
            </w:r>
            <w:r>
              <w:rPr>
                <w:noProof/>
                <w:webHidden/>
              </w:rPr>
              <w:tab/>
            </w:r>
            <w:r>
              <w:rPr>
                <w:noProof/>
                <w:webHidden/>
              </w:rPr>
              <w:fldChar w:fldCharType="begin"/>
            </w:r>
            <w:r>
              <w:rPr>
                <w:noProof/>
                <w:webHidden/>
              </w:rPr>
              <w:instrText xml:space="preserve"> PAGEREF _Toc234242862 \h </w:instrText>
            </w:r>
            <w:r>
              <w:rPr>
                <w:noProof/>
                <w:webHidden/>
              </w:rPr>
            </w:r>
            <w:r>
              <w:rPr>
                <w:noProof/>
                <w:webHidden/>
              </w:rPr>
              <w:fldChar w:fldCharType="separate"/>
            </w:r>
            <w:r>
              <w:rPr>
                <w:noProof/>
                <w:webHidden/>
              </w:rPr>
              <w:t>162</w:t>
            </w:r>
            <w:r>
              <w:rPr>
                <w:noProof/>
                <w:webHidden/>
              </w:rPr>
              <w:fldChar w:fldCharType="end"/>
            </w:r>
          </w:hyperlink>
        </w:p>
        <w:p w14:paraId="1FEB5556" w14:textId="4E791441"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63" w:history="1">
            <w:r w:rsidRPr="00177E58">
              <w:rPr>
                <w:rStyle w:val="Hipervnculo"/>
                <w:noProof/>
              </w:rPr>
              <w:t>d) Lineamientos estratégicos y operativos</w:t>
            </w:r>
            <w:r>
              <w:rPr>
                <w:noProof/>
                <w:webHidden/>
              </w:rPr>
              <w:tab/>
            </w:r>
            <w:r>
              <w:rPr>
                <w:noProof/>
                <w:webHidden/>
              </w:rPr>
              <w:fldChar w:fldCharType="begin"/>
            </w:r>
            <w:r>
              <w:rPr>
                <w:noProof/>
                <w:webHidden/>
              </w:rPr>
              <w:instrText xml:space="preserve"> PAGEREF _Toc234242863 \h </w:instrText>
            </w:r>
            <w:r>
              <w:rPr>
                <w:noProof/>
                <w:webHidden/>
              </w:rPr>
            </w:r>
            <w:r>
              <w:rPr>
                <w:noProof/>
                <w:webHidden/>
              </w:rPr>
              <w:fldChar w:fldCharType="separate"/>
            </w:r>
            <w:r>
              <w:rPr>
                <w:noProof/>
                <w:webHidden/>
              </w:rPr>
              <w:t>164</w:t>
            </w:r>
            <w:r>
              <w:rPr>
                <w:noProof/>
                <w:webHidden/>
              </w:rPr>
              <w:fldChar w:fldCharType="end"/>
            </w:r>
          </w:hyperlink>
        </w:p>
        <w:p w14:paraId="223579D1" w14:textId="39FC1E07"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64" w:history="1">
            <w:r w:rsidRPr="00177E58">
              <w:rPr>
                <w:rStyle w:val="Hipervnculo"/>
                <w:noProof/>
              </w:rPr>
              <w:t>Superar la asimetría de la inversión con intervenciones de respuesta rápida</w:t>
            </w:r>
            <w:r>
              <w:rPr>
                <w:noProof/>
                <w:webHidden/>
              </w:rPr>
              <w:tab/>
            </w:r>
            <w:r>
              <w:rPr>
                <w:noProof/>
                <w:webHidden/>
              </w:rPr>
              <w:fldChar w:fldCharType="begin"/>
            </w:r>
            <w:r>
              <w:rPr>
                <w:noProof/>
                <w:webHidden/>
              </w:rPr>
              <w:instrText xml:space="preserve"> PAGEREF _Toc234242864 \h </w:instrText>
            </w:r>
            <w:r>
              <w:rPr>
                <w:noProof/>
                <w:webHidden/>
              </w:rPr>
            </w:r>
            <w:r>
              <w:rPr>
                <w:noProof/>
                <w:webHidden/>
              </w:rPr>
              <w:fldChar w:fldCharType="separate"/>
            </w:r>
            <w:r>
              <w:rPr>
                <w:noProof/>
                <w:webHidden/>
              </w:rPr>
              <w:t>164</w:t>
            </w:r>
            <w:r>
              <w:rPr>
                <w:noProof/>
                <w:webHidden/>
              </w:rPr>
              <w:fldChar w:fldCharType="end"/>
            </w:r>
          </w:hyperlink>
        </w:p>
        <w:p w14:paraId="788F1BE4" w14:textId="0A79BC5F"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65" w:history="1">
            <w:r w:rsidRPr="00177E58">
              <w:rPr>
                <w:rStyle w:val="Hipervnculo"/>
                <w:noProof/>
              </w:rPr>
              <w:t>Aportar a la gobernanza territorial y la justicia ambiental</w:t>
            </w:r>
            <w:r>
              <w:rPr>
                <w:noProof/>
                <w:webHidden/>
              </w:rPr>
              <w:tab/>
            </w:r>
            <w:r>
              <w:rPr>
                <w:noProof/>
                <w:webHidden/>
              </w:rPr>
              <w:fldChar w:fldCharType="begin"/>
            </w:r>
            <w:r>
              <w:rPr>
                <w:noProof/>
                <w:webHidden/>
              </w:rPr>
              <w:instrText xml:space="preserve"> PAGEREF _Toc234242865 \h </w:instrText>
            </w:r>
            <w:r>
              <w:rPr>
                <w:noProof/>
                <w:webHidden/>
              </w:rPr>
            </w:r>
            <w:r>
              <w:rPr>
                <w:noProof/>
                <w:webHidden/>
              </w:rPr>
              <w:fldChar w:fldCharType="separate"/>
            </w:r>
            <w:r>
              <w:rPr>
                <w:noProof/>
                <w:webHidden/>
              </w:rPr>
              <w:t>165</w:t>
            </w:r>
            <w:r>
              <w:rPr>
                <w:noProof/>
                <w:webHidden/>
              </w:rPr>
              <w:fldChar w:fldCharType="end"/>
            </w:r>
          </w:hyperlink>
        </w:p>
        <w:p w14:paraId="252DF948" w14:textId="5231FAEF"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66" w:history="1">
            <w:r w:rsidRPr="00177E58">
              <w:rPr>
                <w:rStyle w:val="Hipervnculo"/>
                <w:noProof/>
              </w:rPr>
              <w:t>Barrios y veredas de paz como laboratorios de producción social del hábitat</w:t>
            </w:r>
            <w:r>
              <w:rPr>
                <w:noProof/>
                <w:webHidden/>
              </w:rPr>
              <w:tab/>
            </w:r>
            <w:r>
              <w:rPr>
                <w:noProof/>
                <w:webHidden/>
              </w:rPr>
              <w:fldChar w:fldCharType="begin"/>
            </w:r>
            <w:r>
              <w:rPr>
                <w:noProof/>
                <w:webHidden/>
              </w:rPr>
              <w:instrText xml:space="preserve"> PAGEREF _Toc234242866 \h </w:instrText>
            </w:r>
            <w:r>
              <w:rPr>
                <w:noProof/>
                <w:webHidden/>
              </w:rPr>
            </w:r>
            <w:r>
              <w:rPr>
                <w:noProof/>
                <w:webHidden/>
              </w:rPr>
              <w:fldChar w:fldCharType="separate"/>
            </w:r>
            <w:r>
              <w:rPr>
                <w:noProof/>
                <w:webHidden/>
              </w:rPr>
              <w:t>165</w:t>
            </w:r>
            <w:r>
              <w:rPr>
                <w:noProof/>
                <w:webHidden/>
              </w:rPr>
              <w:fldChar w:fldCharType="end"/>
            </w:r>
          </w:hyperlink>
        </w:p>
        <w:p w14:paraId="6FC117F2" w14:textId="29D3D7F3"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67" w:history="1">
            <w:r w:rsidRPr="00177E58">
              <w:rPr>
                <w:rStyle w:val="Hipervnculo"/>
                <w:noProof/>
              </w:rPr>
              <w:t>Flexibilización normativa y aceleración de la implementación</w:t>
            </w:r>
            <w:r>
              <w:rPr>
                <w:noProof/>
                <w:webHidden/>
              </w:rPr>
              <w:tab/>
            </w:r>
            <w:r>
              <w:rPr>
                <w:noProof/>
                <w:webHidden/>
              </w:rPr>
              <w:fldChar w:fldCharType="begin"/>
            </w:r>
            <w:r>
              <w:rPr>
                <w:noProof/>
                <w:webHidden/>
              </w:rPr>
              <w:instrText xml:space="preserve"> PAGEREF _Toc234242867 \h </w:instrText>
            </w:r>
            <w:r>
              <w:rPr>
                <w:noProof/>
                <w:webHidden/>
              </w:rPr>
            </w:r>
            <w:r>
              <w:rPr>
                <w:noProof/>
                <w:webHidden/>
              </w:rPr>
              <w:fldChar w:fldCharType="separate"/>
            </w:r>
            <w:r>
              <w:rPr>
                <w:noProof/>
                <w:webHidden/>
              </w:rPr>
              <w:t>165</w:t>
            </w:r>
            <w:r>
              <w:rPr>
                <w:noProof/>
                <w:webHidden/>
              </w:rPr>
              <w:fldChar w:fldCharType="end"/>
            </w:r>
          </w:hyperlink>
        </w:p>
        <w:p w14:paraId="5DC0821E" w14:textId="6EC53A1B"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68" w:history="1">
            <w:r w:rsidRPr="00177E58">
              <w:rPr>
                <w:rStyle w:val="Hipervnculo"/>
                <w:noProof/>
              </w:rPr>
              <w:t>La paz como condición material del hábitat biodiverso</w:t>
            </w:r>
            <w:r>
              <w:rPr>
                <w:noProof/>
                <w:webHidden/>
              </w:rPr>
              <w:tab/>
            </w:r>
            <w:r>
              <w:rPr>
                <w:noProof/>
                <w:webHidden/>
              </w:rPr>
              <w:fldChar w:fldCharType="begin"/>
            </w:r>
            <w:r>
              <w:rPr>
                <w:noProof/>
                <w:webHidden/>
              </w:rPr>
              <w:instrText xml:space="preserve"> PAGEREF _Toc234242868 \h </w:instrText>
            </w:r>
            <w:r>
              <w:rPr>
                <w:noProof/>
                <w:webHidden/>
              </w:rPr>
            </w:r>
            <w:r>
              <w:rPr>
                <w:noProof/>
                <w:webHidden/>
              </w:rPr>
              <w:fldChar w:fldCharType="separate"/>
            </w:r>
            <w:r>
              <w:rPr>
                <w:noProof/>
                <w:webHidden/>
              </w:rPr>
              <w:t>165</w:t>
            </w:r>
            <w:r>
              <w:rPr>
                <w:noProof/>
                <w:webHidden/>
              </w:rPr>
              <w:fldChar w:fldCharType="end"/>
            </w:r>
          </w:hyperlink>
        </w:p>
        <w:p w14:paraId="3D4CA59F" w14:textId="52B32AD6"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69" w:history="1">
            <w:r w:rsidRPr="00177E58">
              <w:rPr>
                <w:rStyle w:val="Hipervnculo"/>
                <w:noProof/>
              </w:rPr>
              <w:t>Retos</w:t>
            </w:r>
            <w:r>
              <w:rPr>
                <w:noProof/>
                <w:webHidden/>
              </w:rPr>
              <w:tab/>
            </w:r>
            <w:r>
              <w:rPr>
                <w:noProof/>
                <w:webHidden/>
              </w:rPr>
              <w:fldChar w:fldCharType="begin"/>
            </w:r>
            <w:r>
              <w:rPr>
                <w:noProof/>
                <w:webHidden/>
              </w:rPr>
              <w:instrText xml:space="preserve"> PAGEREF _Toc234242869 \h </w:instrText>
            </w:r>
            <w:r>
              <w:rPr>
                <w:noProof/>
                <w:webHidden/>
              </w:rPr>
            </w:r>
            <w:r>
              <w:rPr>
                <w:noProof/>
                <w:webHidden/>
              </w:rPr>
              <w:fldChar w:fldCharType="separate"/>
            </w:r>
            <w:r>
              <w:rPr>
                <w:noProof/>
                <w:webHidden/>
              </w:rPr>
              <w:t>16</w:t>
            </w:r>
            <w:r>
              <w:rPr>
                <w:noProof/>
                <w:webHidden/>
              </w:rPr>
              <w:t>6</w:t>
            </w:r>
            <w:r>
              <w:rPr>
                <w:noProof/>
                <w:webHidden/>
              </w:rPr>
              <w:fldChar w:fldCharType="end"/>
            </w:r>
          </w:hyperlink>
        </w:p>
        <w:p w14:paraId="407A8DBE" w14:textId="30FE938D"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70" w:history="1">
            <w:r w:rsidRPr="00177E58">
              <w:rPr>
                <w:rStyle w:val="Hipervnculo"/>
                <w:noProof/>
              </w:rPr>
              <w:t>2.8.8. Enfoque de víctimas</w:t>
            </w:r>
            <w:r>
              <w:rPr>
                <w:noProof/>
                <w:webHidden/>
              </w:rPr>
              <w:tab/>
            </w:r>
            <w:r>
              <w:rPr>
                <w:noProof/>
                <w:webHidden/>
              </w:rPr>
              <w:fldChar w:fldCharType="begin"/>
            </w:r>
            <w:r>
              <w:rPr>
                <w:noProof/>
                <w:webHidden/>
              </w:rPr>
              <w:instrText xml:space="preserve"> PAGEREF _Toc234242870 \h </w:instrText>
            </w:r>
            <w:r>
              <w:rPr>
                <w:noProof/>
                <w:webHidden/>
              </w:rPr>
            </w:r>
            <w:r>
              <w:rPr>
                <w:noProof/>
                <w:webHidden/>
              </w:rPr>
              <w:fldChar w:fldCharType="separate"/>
            </w:r>
            <w:r>
              <w:rPr>
                <w:noProof/>
                <w:webHidden/>
              </w:rPr>
              <w:t>168</w:t>
            </w:r>
            <w:r>
              <w:rPr>
                <w:noProof/>
                <w:webHidden/>
              </w:rPr>
              <w:fldChar w:fldCharType="end"/>
            </w:r>
          </w:hyperlink>
        </w:p>
        <w:p w14:paraId="389C88B7" w14:textId="1703C927"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71" w:history="1">
            <w:r w:rsidRPr="00177E58">
              <w:rPr>
                <w:rStyle w:val="Hipervnculo"/>
                <w:noProof/>
              </w:rPr>
              <w:t>Retos</w:t>
            </w:r>
            <w:r>
              <w:rPr>
                <w:noProof/>
                <w:webHidden/>
              </w:rPr>
              <w:tab/>
            </w:r>
            <w:r>
              <w:rPr>
                <w:noProof/>
                <w:webHidden/>
              </w:rPr>
              <w:fldChar w:fldCharType="begin"/>
            </w:r>
            <w:r>
              <w:rPr>
                <w:noProof/>
                <w:webHidden/>
              </w:rPr>
              <w:instrText xml:space="preserve"> PAGEREF _Toc234242871 \h </w:instrText>
            </w:r>
            <w:r>
              <w:rPr>
                <w:noProof/>
                <w:webHidden/>
              </w:rPr>
            </w:r>
            <w:r>
              <w:rPr>
                <w:noProof/>
                <w:webHidden/>
              </w:rPr>
              <w:fldChar w:fldCharType="separate"/>
            </w:r>
            <w:r>
              <w:rPr>
                <w:noProof/>
                <w:webHidden/>
              </w:rPr>
              <w:t>171</w:t>
            </w:r>
            <w:r>
              <w:rPr>
                <w:noProof/>
                <w:webHidden/>
              </w:rPr>
              <w:fldChar w:fldCharType="end"/>
            </w:r>
          </w:hyperlink>
        </w:p>
        <w:p w14:paraId="6835B463" w14:textId="099950CF"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72" w:history="1">
            <w:r w:rsidRPr="00177E58">
              <w:rPr>
                <w:rStyle w:val="Hipervnculo"/>
                <w:noProof/>
              </w:rPr>
              <w:t>2.8.9. El enfoque ambiental</w:t>
            </w:r>
            <w:r>
              <w:rPr>
                <w:noProof/>
                <w:webHidden/>
              </w:rPr>
              <w:tab/>
            </w:r>
            <w:r>
              <w:rPr>
                <w:noProof/>
                <w:webHidden/>
              </w:rPr>
              <w:fldChar w:fldCharType="begin"/>
            </w:r>
            <w:r>
              <w:rPr>
                <w:noProof/>
                <w:webHidden/>
              </w:rPr>
              <w:instrText xml:space="preserve"> PAGEREF _Toc234242872 \h </w:instrText>
            </w:r>
            <w:r>
              <w:rPr>
                <w:noProof/>
                <w:webHidden/>
              </w:rPr>
            </w:r>
            <w:r>
              <w:rPr>
                <w:noProof/>
                <w:webHidden/>
              </w:rPr>
              <w:fldChar w:fldCharType="separate"/>
            </w:r>
            <w:r>
              <w:rPr>
                <w:noProof/>
                <w:webHidden/>
              </w:rPr>
              <w:t>172</w:t>
            </w:r>
            <w:r>
              <w:rPr>
                <w:noProof/>
                <w:webHidden/>
              </w:rPr>
              <w:fldChar w:fldCharType="end"/>
            </w:r>
          </w:hyperlink>
        </w:p>
        <w:p w14:paraId="6F5626FC" w14:textId="6343A9F0"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73" w:history="1">
            <w:r w:rsidRPr="00177E58">
              <w:rPr>
                <w:rStyle w:val="Hipervnculo"/>
                <w:rFonts w:eastAsia="Times New Roman"/>
                <w:noProof/>
                <w:lang w:val="es-ES" w:eastAsia="es-ES_tradnl"/>
              </w:rPr>
              <w:t>En qué consiste el enfoque ambiental del MVCT</w:t>
            </w:r>
            <w:r>
              <w:rPr>
                <w:noProof/>
                <w:webHidden/>
              </w:rPr>
              <w:tab/>
            </w:r>
            <w:r>
              <w:rPr>
                <w:noProof/>
                <w:webHidden/>
              </w:rPr>
              <w:fldChar w:fldCharType="begin"/>
            </w:r>
            <w:r>
              <w:rPr>
                <w:noProof/>
                <w:webHidden/>
              </w:rPr>
              <w:instrText xml:space="preserve"> PAGEREF _Toc234242873 \h </w:instrText>
            </w:r>
            <w:r>
              <w:rPr>
                <w:noProof/>
                <w:webHidden/>
              </w:rPr>
            </w:r>
            <w:r>
              <w:rPr>
                <w:noProof/>
                <w:webHidden/>
              </w:rPr>
              <w:fldChar w:fldCharType="separate"/>
            </w:r>
            <w:r>
              <w:rPr>
                <w:noProof/>
                <w:webHidden/>
              </w:rPr>
              <w:t>172</w:t>
            </w:r>
            <w:r>
              <w:rPr>
                <w:noProof/>
                <w:webHidden/>
              </w:rPr>
              <w:fldChar w:fldCharType="end"/>
            </w:r>
          </w:hyperlink>
        </w:p>
        <w:p w14:paraId="57227666" w14:textId="37218BCB"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74" w:history="1">
            <w:r w:rsidRPr="00177E58">
              <w:rPr>
                <w:rStyle w:val="Hipervnculo"/>
                <w:rFonts w:eastAsia="Times New Roman"/>
                <w:noProof/>
                <w:lang w:val="es-ES" w:eastAsia="es-ES_tradnl"/>
              </w:rPr>
              <w:t>El ordenamiento territorial alrededor del agua y la gestión integral del hábitat</w:t>
            </w:r>
            <w:r>
              <w:rPr>
                <w:noProof/>
                <w:webHidden/>
              </w:rPr>
              <w:tab/>
            </w:r>
            <w:r>
              <w:rPr>
                <w:noProof/>
                <w:webHidden/>
              </w:rPr>
              <w:fldChar w:fldCharType="begin"/>
            </w:r>
            <w:r>
              <w:rPr>
                <w:noProof/>
                <w:webHidden/>
              </w:rPr>
              <w:instrText xml:space="preserve"> PAGEREF _Toc234242874 \h </w:instrText>
            </w:r>
            <w:r>
              <w:rPr>
                <w:noProof/>
                <w:webHidden/>
              </w:rPr>
            </w:r>
            <w:r>
              <w:rPr>
                <w:noProof/>
                <w:webHidden/>
              </w:rPr>
              <w:fldChar w:fldCharType="separate"/>
            </w:r>
            <w:r>
              <w:rPr>
                <w:noProof/>
                <w:webHidden/>
              </w:rPr>
              <w:t>172</w:t>
            </w:r>
            <w:r>
              <w:rPr>
                <w:noProof/>
                <w:webHidden/>
              </w:rPr>
              <w:fldChar w:fldCharType="end"/>
            </w:r>
          </w:hyperlink>
        </w:p>
        <w:p w14:paraId="602513C6" w14:textId="244B8B7D"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75" w:history="1">
            <w:r w:rsidRPr="00177E58">
              <w:rPr>
                <w:rStyle w:val="Hipervnculo"/>
                <w:noProof/>
              </w:rPr>
              <w:t>La gestión del cambio climático y la construcción sostenible</w:t>
            </w:r>
            <w:r>
              <w:rPr>
                <w:noProof/>
                <w:webHidden/>
              </w:rPr>
              <w:tab/>
            </w:r>
            <w:r>
              <w:rPr>
                <w:noProof/>
                <w:webHidden/>
              </w:rPr>
              <w:fldChar w:fldCharType="begin"/>
            </w:r>
            <w:r>
              <w:rPr>
                <w:noProof/>
                <w:webHidden/>
              </w:rPr>
              <w:instrText xml:space="preserve"> PAGEREF _Toc234242875 \h </w:instrText>
            </w:r>
            <w:r>
              <w:rPr>
                <w:noProof/>
                <w:webHidden/>
              </w:rPr>
            </w:r>
            <w:r>
              <w:rPr>
                <w:noProof/>
                <w:webHidden/>
              </w:rPr>
              <w:fldChar w:fldCharType="separate"/>
            </w:r>
            <w:r>
              <w:rPr>
                <w:noProof/>
                <w:webHidden/>
              </w:rPr>
              <w:t>1</w:t>
            </w:r>
            <w:r>
              <w:rPr>
                <w:noProof/>
                <w:webHidden/>
              </w:rPr>
              <w:t>7</w:t>
            </w:r>
            <w:r>
              <w:rPr>
                <w:noProof/>
                <w:webHidden/>
              </w:rPr>
              <w:t>4</w:t>
            </w:r>
            <w:r>
              <w:rPr>
                <w:noProof/>
                <w:webHidden/>
              </w:rPr>
              <w:fldChar w:fldCharType="end"/>
            </w:r>
          </w:hyperlink>
        </w:p>
        <w:p w14:paraId="09748247" w14:textId="1F774E9B"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76" w:history="1">
            <w:r w:rsidRPr="00177E58">
              <w:rPr>
                <w:rStyle w:val="Hipervnculo"/>
                <w:rFonts w:eastAsia="Times New Roman"/>
                <w:noProof/>
                <w:lang w:val="es-ES" w:eastAsia="es-ES_tradnl"/>
              </w:rPr>
              <w:t>La economía circular y la gestión integral de recursos</w:t>
            </w:r>
            <w:r>
              <w:rPr>
                <w:noProof/>
                <w:webHidden/>
              </w:rPr>
              <w:tab/>
            </w:r>
            <w:r>
              <w:rPr>
                <w:noProof/>
                <w:webHidden/>
              </w:rPr>
              <w:fldChar w:fldCharType="begin"/>
            </w:r>
            <w:r>
              <w:rPr>
                <w:noProof/>
                <w:webHidden/>
              </w:rPr>
              <w:instrText xml:space="preserve"> PAGEREF _Toc234242876 \h </w:instrText>
            </w:r>
            <w:r>
              <w:rPr>
                <w:noProof/>
                <w:webHidden/>
              </w:rPr>
            </w:r>
            <w:r>
              <w:rPr>
                <w:noProof/>
                <w:webHidden/>
              </w:rPr>
              <w:fldChar w:fldCharType="separate"/>
            </w:r>
            <w:r>
              <w:rPr>
                <w:noProof/>
                <w:webHidden/>
              </w:rPr>
              <w:t>177</w:t>
            </w:r>
            <w:r>
              <w:rPr>
                <w:noProof/>
                <w:webHidden/>
              </w:rPr>
              <w:fldChar w:fldCharType="end"/>
            </w:r>
          </w:hyperlink>
        </w:p>
        <w:p w14:paraId="55B68E1F" w14:textId="49DE99B7"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77" w:history="1">
            <w:r w:rsidRPr="00177E58">
              <w:rPr>
                <w:rStyle w:val="Hipervnculo"/>
                <w:rFonts w:eastAsia="Times New Roman"/>
                <w:noProof/>
                <w:lang w:val="es-ES" w:eastAsia="es-ES_tradnl"/>
              </w:rPr>
              <w:t>El cambio de paradigma desde la experiencia ambiental</w:t>
            </w:r>
            <w:r>
              <w:rPr>
                <w:noProof/>
                <w:webHidden/>
              </w:rPr>
              <w:tab/>
            </w:r>
            <w:r>
              <w:rPr>
                <w:noProof/>
                <w:webHidden/>
              </w:rPr>
              <w:fldChar w:fldCharType="begin"/>
            </w:r>
            <w:r>
              <w:rPr>
                <w:noProof/>
                <w:webHidden/>
              </w:rPr>
              <w:instrText xml:space="preserve"> PAGEREF _Toc234242877 \h </w:instrText>
            </w:r>
            <w:r>
              <w:rPr>
                <w:noProof/>
                <w:webHidden/>
              </w:rPr>
            </w:r>
            <w:r>
              <w:rPr>
                <w:noProof/>
                <w:webHidden/>
              </w:rPr>
              <w:fldChar w:fldCharType="separate"/>
            </w:r>
            <w:r>
              <w:rPr>
                <w:noProof/>
                <w:webHidden/>
              </w:rPr>
              <w:t>179</w:t>
            </w:r>
            <w:r>
              <w:rPr>
                <w:noProof/>
                <w:webHidden/>
              </w:rPr>
              <w:fldChar w:fldCharType="end"/>
            </w:r>
          </w:hyperlink>
        </w:p>
        <w:p w14:paraId="57771B2B" w14:textId="720D3C9F"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78" w:history="1">
            <w:r w:rsidRPr="00177E58">
              <w:rPr>
                <w:rStyle w:val="Hipervnculo"/>
                <w:rFonts w:eastAsia="Times New Roman"/>
                <w:noProof/>
                <w:lang w:val="es-ES" w:eastAsia="es-ES_tradnl"/>
              </w:rPr>
              <w:t>El enfoque ambiental en los nuevos programas y esquema normativo del MVCT</w:t>
            </w:r>
            <w:r>
              <w:rPr>
                <w:noProof/>
                <w:webHidden/>
              </w:rPr>
              <w:tab/>
            </w:r>
            <w:r>
              <w:rPr>
                <w:noProof/>
                <w:webHidden/>
              </w:rPr>
              <w:fldChar w:fldCharType="begin"/>
            </w:r>
            <w:r>
              <w:rPr>
                <w:noProof/>
                <w:webHidden/>
              </w:rPr>
              <w:instrText xml:space="preserve"> PAGEREF _Toc234242878 \h </w:instrText>
            </w:r>
            <w:r>
              <w:rPr>
                <w:noProof/>
                <w:webHidden/>
              </w:rPr>
            </w:r>
            <w:r>
              <w:rPr>
                <w:noProof/>
                <w:webHidden/>
              </w:rPr>
              <w:fldChar w:fldCharType="separate"/>
            </w:r>
            <w:r>
              <w:rPr>
                <w:noProof/>
                <w:webHidden/>
              </w:rPr>
              <w:t>181</w:t>
            </w:r>
            <w:r>
              <w:rPr>
                <w:noProof/>
                <w:webHidden/>
              </w:rPr>
              <w:fldChar w:fldCharType="end"/>
            </w:r>
          </w:hyperlink>
        </w:p>
        <w:p w14:paraId="0F5A2DA5" w14:textId="01AEF9D9"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79" w:history="1">
            <w:r w:rsidRPr="00177E58">
              <w:rPr>
                <w:rStyle w:val="Hipervnculo"/>
                <w:rFonts w:eastAsia="Times New Roman"/>
                <w:noProof/>
                <w:lang w:val="es-ES" w:eastAsia="es-ES_tradnl"/>
              </w:rPr>
              <w:t>Estrategias para avanzar en resolver los problemas identificados</w:t>
            </w:r>
            <w:r>
              <w:rPr>
                <w:noProof/>
                <w:webHidden/>
              </w:rPr>
              <w:tab/>
            </w:r>
            <w:r>
              <w:rPr>
                <w:noProof/>
                <w:webHidden/>
              </w:rPr>
              <w:fldChar w:fldCharType="begin"/>
            </w:r>
            <w:r>
              <w:rPr>
                <w:noProof/>
                <w:webHidden/>
              </w:rPr>
              <w:instrText xml:space="preserve"> PAGEREF _Toc234242879 \h </w:instrText>
            </w:r>
            <w:r>
              <w:rPr>
                <w:noProof/>
                <w:webHidden/>
              </w:rPr>
            </w:r>
            <w:r>
              <w:rPr>
                <w:noProof/>
                <w:webHidden/>
              </w:rPr>
              <w:fldChar w:fldCharType="separate"/>
            </w:r>
            <w:r>
              <w:rPr>
                <w:noProof/>
                <w:webHidden/>
              </w:rPr>
              <w:t>185</w:t>
            </w:r>
            <w:r>
              <w:rPr>
                <w:noProof/>
                <w:webHidden/>
              </w:rPr>
              <w:fldChar w:fldCharType="end"/>
            </w:r>
          </w:hyperlink>
        </w:p>
        <w:p w14:paraId="1195D16F" w14:textId="7762F47F"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80" w:history="1">
            <w:r w:rsidRPr="00177E58">
              <w:rPr>
                <w:rStyle w:val="Hipervnculo"/>
                <w:rFonts w:eastAsia="Times New Roman"/>
                <w:noProof/>
                <w:lang w:val="es-ES" w:eastAsia="es-ES_tradnl"/>
              </w:rPr>
              <w:t>Ruta para el abordaje del enfoque</w:t>
            </w:r>
            <w:r>
              <w:rPr>
                <w:noProof/>
                <w:webHidden/>
              </w:rPr>
              <w:tab/>
            </w:r>
            <w:r>
              <w:rPr>
                <w:noProof/>
                <w:webHidden/>
              </w:rPr>
              <w:fldChar w:fldCharType="begin"/>
            </w:r>
            <w:r>
              <w:rPr>
                <w:noProof/>
                <w:webHidden/>
              </w:rPr>
              <w:instrText xml:space="preserve"> PAGEREF _Toc234242880 \h </w:instrText>
            </w:r>
            <w:r>
              <w:rPr>
                <w:noProof/>
                <w:webHidden/>
              </w:rPr>
            </w:r>
            <w:r>
              <w:rPr>
                <w:noProof/>
                <w:webHidden/>
              </w:rPr>
              <w:fldChar w:fldCharType="separate"/>
            </w:r>
            <w:r>
              <w:rPr>
                <w:noProof/>
                <w:webHidden/>
              </w:rPr>
              <w:t>186</w:t>
            </w:r>
            <w:r>
              <w:rPr>
                <w:noProof/>
                <w:webHidden/>
              </w:rPr>
              <w:fldChar w:fldCharType="end"/>
            </w:r>
          </w:hyperlink>
        </w:p>
        <w:p w14:paraId="3B905588" w14:textId="0E61E037"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81" w:history="1">
            <w:r w:rsidRPr="00177E58">
              <w:rPr>
                <w:rStyle w:val="Hipervnculo"/>
                <w:rFonts w:eastAsia="Times New Roman"/>
                <w:noProof/>
                <w:lang w:val="es-ES" w:eastAsia="es-ES_tradnl"/>
              </w:rPr>
              <w:t>Mecanismos de incidencia vinculantes para mantener el enfoque ambiental</w:t>
            </w:r>
            <w:r>
              <w:rPr>
                <w:noProof/>
                <w:webHidden/>
              </w:rPr>
              <w:tab/>
            </w:r>
            <w:r>
              <w:rPr>
                <w:noProof/>
                <w:webHidden/>
              </w:rPr>
              <w:fldChar w:fldCharType="begin"/>
            </w:r>
            <w:r>
              <w:rPr>
                <w:noProof/>
                <w:webHidden/>
              </w:rPr>
              <w:instrText xml:space="preserve"> PAGEREF _Toc234242881 \h </w:instrText>
            </w:r>
            <w:r>
              <w:rPr>
                <w:noProof/>
                <w:webHidden/>
              </w:rPr>
            </w:r>
            <w:r>
              <w:rPr>
                <w:noProof/>
                <w:webHidden/>
              </w:rPr>
              <w:fldChar w:fldCharType="separate"/>
            </w:r>
            <w:r>
              <w:rPr>
                <w:noProof/>
                <w:webHidden/>
              </w:rPr>
              <w:t>188</w:t>
            </w:r>
            <w:r>
              <w:rPr>
                <w:noProof/>
                <w:webHidden/>
              </w:rPr>
              <w:fldChar w:fldCharType="end"/>
            </w:r>
          </w:hyperlink>
        </w:p>
        <w:p w14:paraId="2B2E23D1" w14:textId="3C709364"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82" w:history="1">
            <w:r w:rsidRPr="00177E58">
              <w:rPr>
                <w:rStyle w:val="Hipervnculo"/>
                <w:noProof/>
              </w:rPr>
              <w:t>2.8.10. El enfoque del cuidado</w:t>
            </w:r>
            <w:r>
              <w:rPr>
                <w:noProof/>
                <w:webHidden/>
              </w:rPr>
              <w:tab/>
            </w:r>
            <w:r>
              <w:rPr>
                <w:noProof/>
                <w:webHidden/>
              </w:rPr>
              <w:fldChar w:fldCharType="begin"/>
            </w:r>
            <w:r>
              <w:rPr>
                <w:noProof/>
                <w:webHidden/>
              </w:rPr>
              <w:instrText xml:space="preserve"> PAGEREF _Toc234242882 \h </w:instrText>
            </w:r>
            <w:r>
              <w:rPr>
                <w:noProof/>
                <w:webHidden/>
              </w:rPr>
            </w:r>
            <w:r>
              <w:rPr>
                <w:noProof/>
                <w:webHidden/>
              </w:rPr>
              <w:fldChar w:fldCharType="separate"/>
            </w:r>
            <w:r>
              <w:rPr>
                <w:noProof/>
                <w:webHidden/>
              </w:rPr>
              <w:t>188</w:t>
            </w:r>
            <w:r>
              <w:rPr>
                <w:noProof/>
                <w:webHidden/>
              </w:rPr>
              <w:fldChar w:fldCharType="end"/>
            </w:r>
          </w:hyperlink>
        </w:p>
        <w:p w14:paraId="2420C180" w14:textId="514C29E8"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83" w:history="1">
            <w:r w:rsidRPr="00177E58">
              <w:rPr>
                <w:rStyle w:val="Hipervnculo"/>
                <w:noProof/>
                <w:shd w:val="clear" w:color="auto" w:fill="FFFFFF"/>
                <w:lang w:eastAsia="es-CO"/>
              </w:rPr>
              <w:t>Retos</w:t>
            </w:r>
            <w:r>
              <w:rPr>
                <w:noProof/>
                <w:webHidden/>
              </w:rPr>
              <w:tab/>
            </w:r>
            <w:r>
              <w:rPr>
                <w:noProof/>
                <w:webHidden/>
              </w:rPr>
              <w:fldChar w:fldCharType="begin"/>
            </w:r>
            <w:r>
              <w:rPr>
                <w:noProof/>
                <w:webHidden/>
              </w:rPr>
              <w:instrText xml:space="preserve"> PAGEREF _Toc234242883 \h </w:instrText>
            </w:r>
            <w:r>
              <w:rPr>
                <w:noProof/>
                <w:webHidden/>
              </w:rPr>
            </w:r>
            <w:r>
              <w:rPr>
                <w:noProof/>
                <w:webHidden/>
              </w:rPr>
              <w:fldChar w:fldCharType="separate"/>
            </w:r>
            <w:r>
              <w:rPr>
                <w:noProof/>
                <w:webHidden/>
              </w:rPr>
              <w:t>196</w:t>
            </w:r>
            <w:r>
              <w:rPr>
                <w:noProof/>
                <w:webHidden/>
              </w:rPr>
              <w:fldChar w:fldCharType="end"/>
            </w:r>
          </w:hyperlink>
        </w:p>
        <w:p w14:paraId="17AC044C" w14:textId="36444702"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84" w:history="1">
            <w:r w:rsidRPr="00177E58">
              <w:rPr>
                <w:rStyle w:val="Hipervnculo"/>
                <w:noProof/>
              </w:rPr>
              <w:t>2.8.11. Retos de los enfoques</w:t>
            </w:r>
            <w:r>
              <w:rPr>
                <w:noProof/>
                <w:webHidden/>
              </w:rPr>
              <w:tab/>
            </w:r>
            <w:r>
              <w:rPr>
                <w:noProof/>
                <w:webHidden/>
              </w:rPr>
              <w:fldChar w:fldCharType="begin"/>
            </w:r>
            <w:r>
              <w:rPr>
                <w:noProof/>
                <w:webHidden/>
              </w:rPr>
              <w:instrText xml:space="preserve"> PAGEREF _Toc234242884 \h </w:instrText>
            </w:r>
            <w:r>
              <w:rPr>
                <w:noProof/>
                <w:webHidden/>
              </w:rPr>
            </w:r>
            <w:r>
              <w:rPr>
                <w:noProof/>
                <w:webHidden/>
              </w:rPr>
              <w:fldChar w:fldCharType="separate"/>
            </w:r>
            <w:r>
              <w:rPr>
                <w:noProof/>
                <w:webHidden/>
              </w:rPr>
              <w:t>197</w:t>
            </w:r>
            <w:r>
              <w:rPr>
                <w:noProof/>
                <w:webHidden/>
              </w:rPr>
              <w:fldChar w:fldCharType="end"/>
            </w:r>
          </w:hyperlink>
        </w:p>
        <w:p w14:paraId="3D2DA54F" w14:textId="5D9A301C" w:rsidR="00C37FFB" w:rsidRDefault="00C37FFB">
          <w:pPr>
            <w:pStyle w:val="TDC2"/>
            <w:tabs>
              <w:tab w:val="right" w:leader="dot" w:pos="8828"/>
            </w:tabs>
            <w:rPr>
              <w:rFonts w:eastAsiaTheme="minorEastAsia"/>
              <w:noProof/>
              <w:kern w:val="2"/>
              <w:sz w:val="24"/>
              <w:szCs w:val="24"/>
              <w:lang w:eastAsia="es-CO"/>
              <w14:ligatures w14:val="standardContextual"/>
            </w:rPr>
          </w:pPr>
          <w:hyperlink w:anchor="_Toc234242885" w:history="1">
            <w:r w:rsidRPr="00177E58">
              <w:rPr>
                <w:rStyle w:val="Hipervnculo"/>
                <w:noProof/>
              </w:rPr>
              <w:t>2.9. La gobernanza de los datos. El Observatorio de Hábitat Biodiverso</w:t>
            </w:r>
            <w:r>
              <w:rPr>
                <w:noProof/>
                <w:webHidden/>
              </w:rPr>
              <w:tab/>
            </w:r>
            <w:r>
              <w:rPr>
                <w:noProof/>
                <w:webHidden/>
              </w:rPr>
              <w:fldChar w:fldCharType="begin"/>
            </w:r>
            <w:r>
              <w:rPr>
                <w:noProof/>
                <w:webHidden/>
              </w:rPr>
              <w:instrText xml:space="preserve"> PAGEREF _Toc234242885 \h </w:instrText>
            </w:r>
            <w:r>
              <w:rPr>
                <w:noProof/>
                <w:webHidden/>
              </w:rPr>
            </w:r>
            <w:r>
              <w:rPr>
                <w:noProof/>
                <w:webHidden/>
              </w:rPr>
              <w:fldChar w:fldCharType="separate"/>
            </w:r>
            <w:r>
              <w:rPr>
                <w:noProof/>
                <w:webHidden/>
              </w:rPr>
              <w:t>202</w:t>
            </w:r>
            <w:r>
              <w:rPr>
                <w:noProof/>
                <w:webHidden/>
              </w:rPr>
              <w:fldChar w:fldCharType="end"/>
            </w:r>
          </w:hyperlink>
        </w:p>
        <w:p w14:paraId="1B2BAF67" w14:textId="1AF0D77D"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86" w:history="1">
            <w:r w:rsidRPr="00177E58">
              <w:rPr>
                <w:rStyle w:val="Hipervnculo"/>
                <w:rFonts w:eastAsia="Segoe UI"/>
                <w:noProof/>
              </w:rPr>
              <w:t>Reto</w:t>
            </w:r>
            <w:r>
              <w:rPr>
                <w:noProof/>
                <w:webHidden/>
              </w:rPr>
              <w:tab/>
            </w:r>
            <w:r>
              <w:rPr>
                <w:noProof/>
                <w:webHidden/>
              </w:rPr>
              <w:fldChar w:fldCharType="begin"/>
            </w:r>
            <w:r>
              <w:rPr>
                <w:noProof/>
                <w:webHidden/>
              </w:rPr>
              <w:instrText xml:space="preserve"> PAGEREF _Toc234242886 \h </w:instrText>
            </w:r>
            <w:r>
              <w:rPr>
                <w:noProof/>
                <w:webHidden/>
              </w:rPr>
            </w:r>
            <w:r>
              <w:rPr>
                <w:noProof/>
                <w:webHidden/>
              </w:rPr>
              <w:fldChar w:fldCharType="separate"/>
            </w:r>
            <w:r>
              <w:rPr>
                <w:noProof/>
                <w:webHidden/>
              </w:rPr>
              <w:t>203</w:t>
            </w:r>
            <w:r>
              <w:rPr>
                <w:noProof/>
                <w:webHidden/>
              </w:rPr>
              <w:fldChar w:fldCharType="end"/>
            </w:r>
          </w:hyperlink>
        </w:p>
        <w:p w14:paraId="75F4C4E0" w14:textId="021474DC" w:rsidR="00C37FFB" w:rsidRDefault="00C37FFB">
          <w:pPr>
            <w:pStyle w:val="TDC1"/>
            <w:tabs>
              <w:tab w:val="right" w:leader="dot" w:pos="8828"/>
            </w:tabs>
            <w:rPr>
              <w:rFonts w:eastAsiaTheme="minorEastAsia"/>
              <w:noProof/>
              <w:kern w:val="2"/>
              <w:sz w:val="24"/>
              <w:szCs w:val="24"/>
              <w:lang w:eastAsia="es-CO"/>
              <w14:ligatures w14:val="standardContextual"/>
            </w:rPr>
          </w:pPr>
          <w:hyperlink w:anchor="_Toc234242887" w:history="1">
            <w:r w:rsidRPr="00177E58">
              <w:rPr>
                <w:rStyle w:val="Hipervnculo"/>
                <w:noProof/>
              </w:rPr>
              <w:t>3. Ruta para la continuidad. Lo que queda por delante: desafíos y complejidades</w:t>
            </w:r>
            <w:r>
              <w:rPr>
                <w:noProof/>
                <w:webHidden/>
              </w:rPr>
              <w:tab/>
            </w:r>
            <w:r>
              <w:rPr>
                <w:noProof/>
                <w:webHidden/>
              </w:rPr>
              <w:fldChar w:fldCharType="begin"/>
            </w:r>
            <w:r>
              <w:rPr>
                <w:noProof/>
                <w:webHidden/>
              </w:rPr>
              <w:instrText xml:space="preserve"> PAGEREF _Toc234242887 \h </w:instrText>
            </w:r>
            <w:r>
              <w:rPr>
                <w:noProof/>
                <w:webHidden/>
              </w:rPr>
            </w:r>
            <w:r>
              <w:rPr>
                <w:noProof/>
                <w:webHidden/>
              </w:rPr>
              <w:fldChar w:fldCharType="separate"/>
            </w:r>
            <w:r>
              <w:rPr>
                <w:noProof/>
                <w:webHidden/>
              </w:rPr>
              <w:t>205</w:t>
            </w:r>
            <w:r>
              <w:rPr>
                <w:noProof/>
                <w:webHidden/>
              </w:rPr>
              <w:fldChar w:fldCharType="end"/>
            </w:r>
          </w:hyperlink>
        </w:p>
        <w:p w14:paraId="4A31C9FF" w14:textId="0AE2010F"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88" w:history="1">
            <w:r w:rsidRPr="00177E58">
              <w:rPr>
                <w:rStyle w:val="Hipervnculo"/>
                <w:noProof/>
              </w:rPr>
              <w:t>Implementación de los cambios normativos</w:t>
            </w:r>
            <w:r>
              <w:rPr>
                <w:noProof/>
                <w:webHidden/>
              </w:rPr>
              <w:tab/>
            </w:r>
            <w:r>
              <w:rPr>
                <w:noProof/>
                <w:webHidden/>
              </w:rPr>
              <w:fldChar w:fldCharType="begin"/>
            </w:r>
            <w:r>
              <w:rPr>
                <w:noProof/>
                <w:webHidden/>
              </w:rPr>
              <w:instrText xml:space="preserve"> PAGEREF _Toc234242888 \h </w:instrText>
            </w:r>
            <w:r>
              <w:rPr>
                <w:noProof/>
                <w:webHidden/>
              </w:rPr>
            </w:r>
            <w:r>
              <w:rPr>
                <w:noProof/>
                <w:webHidden/>
              </w:rPr>
              <w:fldChar w:fldCharType="separate"/>
            </w:r>
            <w:r>
              <w:rPr>
                <w:noProof/>
                <w:webHidden/>
              </w:rPr>
              <w:t>205</w:t>
            </w:r>
            <w:r>
              <w:rPr>
                <w:noProof/>
                <w:webHidden/>
              </w:rPr>
              <w:fldChar w:fldCharType="end"/>
            </w:r>
          </w:hyperlink>
        </w:p>
        <w:p w14:paraId="731F28F4" w14:textId="4D1324C3"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89" w:history="1">
            <w:r w:rsidRPr="00177E58">
              <w:rPr>
                <w:rStyle w:val="Hipervnculo"/>
                <w:noProof/>
              </w:rPr>
              <w:t>Cambios normativos en proceso de adopción</w:t>
            </w:r>
            <w:r>
              <w:rPr>
                <w:noProof/>
                <w:webHidden/>
              </w:rPr>
              <w:tab/>
            </w:r>
            <w:r>
              <w:rPr>
                <w:noProof/>
                <w:webHidden/>
              </w:rPr>
              <w:fldChar w:fldCharType="begin"/>
            </w:r>
            <w:r>
              <w:rPr>
                <w:noProof/>
                <w:webHidden/>
              </w:rPr>
              <w:instrText xml:space="preserve"> PAGEREF _Toc234242889 \h </w:instrText>
            </w:r>
            <w:r>
              <w:rPr>
                <w:noProof/>
                <w:webHidden/>
              </w:rPr>
            </w:r>
            <w:r>
              <w:rPr>
                <w:noProof/>
                <w:webHidden/>
              </w:rPr>
              <w:fldChar w:fldCharType="separate"/>
            </w:r>
            <w:r>
              <w:rPr>
                <w:noProof/>
                <w:webHidden/>
              </w:rPr>
              <w:t>206</w:t>
            </w:r>
            <w:r>
              <w:rPr>
                <w:noProof/>
                <w:webHidden/>
              </w:rPr>
              <w:fldChar w:fldCharType="end"/>
            </w:r>
          </w:hyperlink>
        </w:p>
        <w:p w14:paraId="0D73195F" w14:textId="37BFA984"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90" w:history="1">
            <w:r w:rsidRPr="00177E58">
              <w:rPr>
                <w:rStyle w:val="Hipervnculo"/>
                <w:noProof/>
              </w:rPr>
              <w:t>La magnitud del problema en cifras</w:t>
            </w:r>
            <w:r>
              <w:rPr>
                <w:noProof/>
                <w:webHidden/>
              </w:rPr>
              <w:tab/>
            </w:r>
            <w:r>
              <w:rPr>
                <w:noProof/>
                <w:webHidden/>
              </w:rPr>
              <w:fldChar w:fldCharType="begin"/>
            </w:r>
            <w:r>
              <w:rPr>
                <w:noProof/>
                <w:webHidden/>
              </w:rPr>
              <w:instrText xml:space="preserve"> PAGEREF _Toc234242890 \h </w:instrText>
            </w:r>
            <w:r>
              <w:rPr>
                <w:noProof/>
                <w:webHidden/>
              </w:rPr>
            </w:r>
            <w:r>
              <w:rPr>
                <w:noProof/>
                <w:webHidden/>
              </w:rPr>
              <w:fldChar w:fldCharType="separate"/>
            </w:r>
            <w:r>
              <w:rPr>
                <w:noProof/>
                <w:webHidden/>
              </w:rPr>
              <w:t>210</w:t>
            </w:r>
            <w:r>
              <w:rPr>
                <w:noProof/>
                <w:webHidden/>
              </w:rPr>
              <w:fldChar w:fldCharType="end"/>
            </w:r>
          </w:hyperlink>
        </w:p>
        <w:p w14:paraId="13A10763" w14:textId="28F5F963"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91" w:history="1">
            <w:r w:rsidRPr="00177E58">
              <w:rPr>
                <w:rStyle w:val="Hipervnculo"/>
                <w:noProof/>
              </w:rPr>
              <w:t>La escala de la intervención y las barreras en la financiación en los programas de la oferta institucional</w:t>
            </w:r>
            <w:r>
              <w:rPr>
                <w:noProof/>
                <w:webHidden/>
              </w:rPr>
              <w:tab/>
            </w:r>
            <w:r>
              <w:rPr>
                <w:noProof/>
                <w:webHidden/>
              </w:rPr>
              <w:fldChar w:fldCharType="begin"/>
            </w:r>
            <w:r>
              <w:rPr>
                <w:noProof/>
                <w:webHidden/>
              </w:rPr>
              <w:instrText xml:space="preserve"> PAGEREF _Toc234242891 \h </w:instrText>
            </w:r>
            <w:r>
              <w:rPr>
                <w:noProof/>
                <w:webHidden/>
              </w:rPr>
            </w:r>
            <w:r>
              <w:rPr>
                <w:noProof/>
                <w:webHidden/>
              </w:rPr>
              <w:fldChar w:fldCharType="separate"/>
            </w:r>
            <w:r>
              <w:rPr>
                <w:noProof/>
                <w:webHidden/>
              </w:rPr>
              <w:t>211</w:t>
            </w:r>
            <w:r>
              <w:rPr>
                <w:noProof/>
                <w:webHidden/>
              </w:rPr>
              <w:fldChar w:fldCharType="end"/>
            </w:r>
          </w:hyperlink>
        </w:p>
        <w:p w14:paraId="23A52B72" w14:textId="16CE1FAB"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92" w:history="1">
            <w:r w:rsidRPr="00177E58">
              <w:rPr>
                <w:rStyle w:val="Hipervnculo"/>
                <w:noProof/>
              </w:rPr>
              <w:t>La capacidad técnica y administrativa de las organizaciones comunitarias</w:t>
            </w:r>
            <w:r>
              <w:rPr>
                <w:noProof/>
                <w:webHidden/>
              </w:rPr>
              <w:tab/>
            </w:r>
            <w:r>
              <w:rPr>
                <w:noProof/>
                <w:webHidden/>
              </w:rPr>
              <w:fldChar w:fldCharType="begin"/>
            </w:r>
            <w:r>
              <w:rPr>
                <w:noProof/>
                <w:webHidden/>
              </w:rPr>
              <w:instrText xml:space="preserve"> PAGEREF _Toc234242892 \h </w:instrText>
            </w:r>
            <w:r>
              <w:rPr>
                <w:noProof/>
                <w:webHidden/>
              </w:rPr>
            </w:r>
            <w:r>
              <w:rPr>
                <w:noProof/>
                <w:webHidden/>
              </w:rPr>
              <w:fldChar w:fldCharType="separate"/>
            </w:r>
            <w:r>
              <w:rPr>
                <w:noProof/>
                <w:webHidden/>
              </w:rPr>
              <w:t>212</w:t>
            </w:r>
            <w:r>
              <w:rPr>
                <w:noProof/>
                <w:webHidden/>
              </w:rPr>
              <w:fldChar w:fldCharType="end"/>
            </w:r>
          </w:hyperlink>
        </w:p>
        <w:p w14:paraId="12807D06" w14:textId="6140190A"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93" w:history="1">
            <w:r w:rsidRPr="00177E58">
              <w:rPr>
                <w:rStyle w:val="Hipervnculo"/>
                <w:noProof/>
              </w:rPr>
              <w:t>Fortalecer el rol de la supervisión</w:t>
            </w:r>
            <w:r>
              <w:rPr>
                <w:noProof/>
                <w:webHidden/>
              </w:rPr>
              <w:tab/>
            </w:r>
            <w:r>
              <w:rPr>
                <w:noProof/>
                <w:webHidden/>
              </w:rPr>
              <w:fldChar w:fldCharType="begin"/>
            </w:r>
            <w:r>
              <w:rPr>
                <w:noProof/>
                <w:webHidden/>
              </w:rPr>
              <w:instrText xml:space="preserve"> PAGEREF _Toc234242893 \h </w:instrText>
            </w:r>
            <w:r>
              <w:rPr>
                <w:noProof/>
                <w:webHidden/>
              </w:rPr>
            </w:r>
            <w:r>
              <w:rPr>
                <w:noProof/>
                <w:webHidden/>
              </w:rPr>
              <w:fldChar w:fldCharType="separate"/>
            </w:r>
            <w:r>
              <w:rPr>
                <w:noProof/>
                <w:webHidden/>
              </w:rPr>
              <w:t>213</w:t>
            </w:r>
            <w:r>
              <w:rPr>
                <w:noProof/>
                <w:webHidden/>
              </w:rPr>
              <w:fldChar w:fldCharType="end"/>
            </w:r>
          </w:hyperlink>
        </w:p>
        <w:p w14:paraId="66490307" w14:textId="6A952D1A"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94" w:history="1">
            <w:r w:rsidRPr="00177E58">
              <w:rPr>
                <w:rStyle w:val="Hipervnculo"/>
                <w:noProof/>
              </w:rPr>
              <w:t>La articulación con terceros</w:t>
            </w:r>
            <w:r>
              <w:rPr>
                <w:noProof/>
                <w:webHidden/>
              </w:rPr>
              <w:tab/>
            </w:r>
            <w:r>
              <w:rPr>
                <w:noProof/>
                <w:webHidden/>
              </w:rPr>
              <w:fldChar w:fldCharType="begin"/>
            </w:r>
            <w:r>
              <w:rPr>
                <w:noProof/>
                <w:webHidden/>
              </w:rPr>
              <w:instrText xml:space="preserve"> PAGEREF _Toc234242894 \h </w:instrText>
            </w:r>
            <w:r>
              <w:rPr>
                <w:noProof/>
                <w:webHidden/>
              </w:rPr>
            </w:r>
            <w:r>
              <w:rPr>
                <w:noProof/>
                <w:webHidden/>
              </w:rPr>
              <w:fldChar w:fldCharType="separate"/>
            </w:r>
            <w:r>
              <w:rPr>
                <w:noProof/>
                <w:webHidden/>
              </w:rPr>
              <w:t>213</w:t>
            </w:r>
            <w:r>
              <w:rPr>
                <w:noProof/>
                <w:webHidden/>
              </w:rPr>
              <w:fldChar w:fldCharType="end"/>
            </w:r>
          </w:hyperlink>
        </w:p>
        <w:p w14:paraId="1A06180F" w14:textId="55024A99"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95" w:history="1">
            <w:r w:rsidRPr="00177E58">
              <w:rPr>
                <w:rStyle w:val="Hipervnculo"/>
                <w:noProof/>
              </w:rPr>
              <w:t>La inclusión real de los enfoques diferenciales y territoriales</w:t>
            </w:r>
            <w:r>
              <w:rPr>
                <w:noProof/>
                <w:webHidden/>
              </w:rPr>
              <w:tab/>
            </w:r>
            <w:r>
              <w:rPr>
                <w:noProof/>
                <w:webHidden/>
              </w:rPr>
              <w:fldChar w:fldCharType="begin"/>
            </w:r>
            <w:r>
              <w:rPr>
                <w:noProof/>
                <w:webHidden/>
              </w:rPr>
              <w:instrText xml:space="preserve"> PAGEREF _Toc234242895 \h </w:instrText>
            </w:r>
            <w:r>
              <w:rPr>
                <w:noProof/>
                <w:webHidden/>
              </w:rPr>
            </w:r>
            <w:r>
              <w:rPr>
                <w:noProof/>
                <w:webHidden/>
              </w:rPr>
              <w:fldChar w:fldCharType="separate"/>
            </w:r>
            <w:r>
              <w:rPr>
                <w:noProof/>
                <w:webHidden/>
              </w:rPr>
              <w:t>213</w:t>
            </w:r>
            <w:r>
              <w:rPr>
                <w:noProof/>
                <w:webHidden/>
              </w:rPr>
              <w:fldChar w:fldCharType="end"/>
            </w:r>
          </w:hyperlink>
        </w:p>
        <w:p w14:paraId="76D5BC3B" w14:textId="6EBAC762"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96" w:history="1">
            <w:r w:rsidRPr="00177E58">
              <w:rPr>
                <w:rStyle w:val="Hipervnculo"/>
                <w:noProof/>
              </w:rPr>
              <w:t>Asumir lo pasado</w:t>
            </w:r>
            <w:r>
              <w:rPr>
                <w:noProof/>
                <w:webHidden/>
              </w:rPr>
              <w:tab/>
            </w:r>
            <w:r>
              <w:rPr>
                <w:noProof/>
                <w:webHidden/>
              </w:rPr>
              <w:fldChar w:fldCharType="begin"/>
            </w:r>
            <w:r>
              <w:rPr>
                <w:noProof/>
                <w:webHidden/>
              </w:rPr>
              <w:instrText xml:space="preserve"> PAGEREF _Toc234242896 \h </w:instrText>
            </w:r>
            <w:r>
              <w:rPr>
                <w:noProof/>
                <w:webHidden/>
              </w:rPr>
            </w:r>
            <w:r>
              <w:rPr>
                <w:noProof/>
                <w:webHidden/>
              </w:rPr>
              <w:fldChar w:fldCharType="separate"/>
            </w:r>
            <w:r>
              <w:rPr>
                <w:noProof/>
                <w:webHidden/>
              </w:rPr>
              <w:t>214</w:t>
            </w:r>
            <w:r>
              <w:rPr>
                <w:noProof/>
                <w:webHidden/>
              </w:rPr>
              <w:fldChar w:fldCharType="end"/>
            </w:r>
          </w:hyperlink>
        </w:p>
        <w:p w14:paraId="00A319E6" w14:textId="5CAEDAA3"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97" w:history="1">
            <w:r w:rsidRPr="00177E58">
              <w:rPr>
                <w:rStyle w:val="Hipervnculo"/>
                <w:noProof/>
              </w:rPr>
              <w:t>Expectativas</w:t>
            </w:r>
            <w:r>
              <w:rPr>
                <w:noProof/>
                <w:webHidden/>
              </w:rPr>
              <w:tab/>
            </w:r>
            <w:r>
              <w:rPr>
                <w:noProof/>
                <w:webHidden/>
              </w:rPr>
              <w:fldChar w:fldCharType="begin"/>
            </w:r>
            <w:r>
              <w:rPr>
                <w:noProof/>
                <w:webHidden/>
              </w:rPr>
              <w:instrText xml:space="preserve"> PAGEREF _Toc234242897 \h </w:instrText>
            </w:r>
            <w:r>
              <w:rPr>
                <w:noProof/>
                <w:webHidden/>
              </w:rPr>
            </w:r>
            <w:r>
              <w:rPr>
                <w:noProof/>
                <w:webHidden/>
              </w:rPr>
              <w:fldChar w:fldCharType="separate"/>
            </w:r>
            <w:r>
              <w:rPr>
                <w:noProof/>
                <w:webHidden/>
              </w:rPr>
              <w:t>215</w:t>
            </w:r>
            <w:r>
              <w:rPr>
                <w:noProof/>
                <w:webHidden/>
              </w:rPr>
              <w:fldChar w:fldCharType="end"/>
            </w:r>
          </w:hyperlink>
        </w:p>
        <w:p w14:paraId="0C2546C7" w14:textId="033C35CE"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98" w:history="1">
            <w:r w:rsidRPr="00177E58">
              <w:rPr>
                <w:rStyle w:val="Hipervnculo"/>
                <w:noProof/>
              </w:rPr>
              <w:t>Indicadores y prioridades</w:t>
            </w:r>
            <w:r>
              <w:rPr>
                <w:noProof/>
                <w:webHidden/>
              </w:rPr>
              <w:tab/>
            </w:r>
            <w:r>
              <w:rPr>
                <w:noProof/>
                <w:webHidden/>
              </w:rPr>
              <w:fldChar w:fldCharType="begin"/>
            </w:r>
            <w:r>
              <w:rPr>
                <w:noProof/>
                <w:webHidden/>
              </w:rPr>
              <w:instrText xml:space="preserve"> PAGEREF _Toc234242898 \h </w:instrText>
            </w:r>
            <w:r>
              <w:rPr>
                <w:noProof/>
                <w:webHidden/>
              </w:rPr>
            </w:r>
            <w:r>
              <w:rPr>
                <w:noProof/>
                <w:webHidden/>
              </w:rPr>
              <w:fldChar w:fldCharType="separate"/>
            </w:r>
            <w:r>
              <w:rPr>
                <w:noProof/>
                <w:webHidden/>
              </w:rPr>
              <w:t>215</w:t>
            </w:r>
            <w:r>
              <w:rPr>
                <w:noProof/>
                <w:webHidden/>
              </w:rPr>
              <w:fldChar w:fldCharType="end"/>
            </w:r>
          </w:hyperlink>
        </w:p>
        <w:p w14:paraId="0D18F8F2" w14:textId="785EA87C" w:rsidR="00C37FFB" w:rsidRDefault="00C37FFB">
          <w:pPr>
            <w:pStyle w:val="TDC3"/>
            <w:tabs>
              <w:tab w:val="right" w:leader="dot" w:pos="8828"/>
            </w:tabs>
            <w:rPr>
              <w:rFonts w:eastAsiaTheme="minorEastAsia"/>
              <w:noProof/>
              <w:kern w:val="2"/>
              <w:sz w:val="24"/>
              <w:szCs w:val="24"/>
              <w:lang w:eastAsia="es-CO"/>
              <w14:ligatures w14:val="standardContextual"/>
            </w:rPr>
          </w:pPr>
          <w:hyperlink w:anchor="_Toc234242899" w:history="1">
            <w:r w:rsidRPr="00177E58">
              <w:rPr>
                <w:rStyle w:val="Hipervnculo"/>
                <w:noProof/>
              </w:rPr>
              <w:t>Sobre la gobernanza de los datos del Ministerio</w:t>
            </w:r>
            <w:r>
              <w:rPr>
                <w:noProof/>
                <w:webHidden/>
              </w:rPr>
              <w:tab/>
            </w:r>
            <w:r>
              <w:rPr>
                <w:noProof/>
                <w:webHidden/>
              </w:rPr>
              <w:fldChar w:fldCharType="begin"/>
            </w:r>
            <w:r>
              <w:rPr>
                <w:noProof/>
                <w:webHidden/>
              </w:rPr>
              <w:instrText xml:space="preserve"> PAGEREF _Toc234242899 \h </w:instrText>
            </w:r>
            <w:r>
              <w:rPr>
                <w:noProof/>
                <w:webHidden/>
              </w:rPr>
            </w:r>
            <w:r>
              <w:rPr>
                <w:noProof/>
                <w:webHidden/>
              </w:rPr>
              <w:fldChar w:fldCharType="separate"/>
            </w:r>
            <w:r>
              <w:rPr>
                <w:noProof/>
                <w:webHidden/>
              </w:rPr>
              <w:t>216</w:t>
            </w:r>
            <w:r>
              <w:rPr>
                <w:noProof/>
                <w:webHidden/>
              </w:rPr>
              <w:fldChar w:fldCharType="end"/>
            </w:r>
          </w:hyperlink>
        </w:p>
        <w:p w14:paraId="121300D2" w14:textId="62F8E722" w:rsidR="00C37FFB" w:rsidRDefault="00C37FFB">
          <w:pPr>
            <w:pStyle w:val="TDC1"/>
            <w:tabs>
              <w:tab w:val="right" w:leader="dot" w:pos="8828"/>
            </w:tabs>
            <w:rPr>
              <w:rFonts w:eastAsiaTheme="minorEastAsia"/>
              <w:noProof/>
              <w:kern w:val="2"/>
              <w:sz w:val="24"/>
              <w:szCs w:val="24"/>
              <w:lang w:eastAsia="es-CO"/>
              <w14:ligatures w14:val="standardContextual"/>
            </w:rPr>
          </w:pPr>
          <w:hyperlink w:anchor="_Toc234242900" w:history="1">
            <w:r w:rsidRPr="00177E58">
              <w:rPr>
                <w:rStyle w:val="Hipervnculo"/>
                <w:noProof/>
              </w:rPr>
              <w:t>4. Recomendaciones. Hoja de ruta estratégica</w:t>
            </w:r>
            <w:r>
              <w:rPr>
                <w:noProof/>
                <w:webHidden/>
              </w:rPr>
              <w:tab/>
            </w:r>
            <w:r>
              <w:rPr>
                <w:noProof/>
                <w:webHidden/>
              </w:rPr>
              <w:fldChar w:fldCharType="begin"/>
            </w:r>
            <w:r>
              <w:rPr>
                <w:noProof/>
                <w:webHidden/>
              </w:rPr>
              <w:instrText xml:space="preserve"> PAGEREF _Toc234242900 \h </w:instrText>
            </w:r>
            <w:r>
              <w:rPr>
                <w:noProof/>
                <w:webHidden/>
              </w:rPr>
            </w:r>
            <w:r>
              <w:rPr>
                <w:noProof/>
                <w:webHidden/>
              </w:rPr>
              <w:fldChar w:fldCharType="separate"/>
            </w:r>
            <w:r>
              <w:rPr>
                <w:noProof/>
                <w:webHidden/>
              </w:rPr>
              <w:t>217</w:t>
            </w:r>
            <w:r>
              <w:rPr>
                <w:noProof/>
                <w:webHidden/>
              </w:rPr>
              <w:fldChar w:fldCharType="end"/>
            </w:r>
          </w:hyperlink>
        </w:p>
        <w:p w14:paraId="7E132A26" w14:textId="6C5508C5" w:rsidR="00C37FFB" w:rsidRDefault="00C37FFB">
          <w:pPr>
            <w:pStyle w:val="TDC1"/>
            <w:tabs>
              <w:tab w:val="right" w:leader="dot" w:pos="8828"/>
            </w:tabs>
            <w:rPr>
              <w:rFonts w:eastAsiaTheme="minorEastAsia"/>
              <w:noProof/>
              <w:kern w:val="2"/>
              <w:sz w:val="24"/>
              <w:szCs w:val="24"/>
              <w:lang w:eastAsia="es-CO"/>
              <w14:ligatures w14:val="standardContextual"/>
            </w:rPr>
          </w:pPr>
          <w:hyperlink w:anchor="_Toc234242901" w:history="1">
            <w:r w:rsidRPr="00177E58">
              <w:rPr>
                <w:rStyle w:val="Hipervnculo"/>
                <w:noProof/>
              </w:rPr>
              <w:t>5. Hacia una política más integral con enfoque de derechos</w:t>
            </w:r>
            <w:r>
              <w:rPr>
                <w:noProof/>
                <w:webHidden/>
              </w:rPr>
              <w:tab/>
            </w:r>
            <w:r>
              <w:rPr>
                <w:noProof/>
                <w:webHidden/>
              </w:rPr>
              <w:fldChar w:fldCharType="begin"/>
            </w:r>
            <w:r>
              <w:rPr>
                <w:noProof/>
                <w:webHidden/>
              </w:rPr>
              <w:instrText xml:space="preserve"> PAGEREF _Toc234242901 \h </w:instrText>
            </w:r>
            <w:r>
              <w:rPr>
                <w:noProof/>
                <w:webHidden/>
              </w:rPr>
            </w:r>
            <w:r>
              <w:rPr>
                <w:noProof/>
                <w:webHidden/>
              </w:rPr>
              <w:fldChar w:fldCharType="separate"/>
            </w:r>
            <w:r>
              <w:rPr>
                <w:noProof/>
                <w:webHidden/>
              </w:rPr>
              <w:t>221</w:t>
            </w:r>
            <w:r>
              <w:rPr>
                <w:noProof/>
                <w:webHidden/>
              </w:rPr>
              <w:fldChar w:fldCharType="end"/>
            </w:r>
          </w:hyperlink>
        </w:p>
        <w:p w14:paraId="404502A8" w14:textId="16A16BD8" w:rsidR="00C37FFB" w:rsidRDefault="00C37FFB">
          <w:pPr>
            <w:pStyle w:val="TDC2"/>
            <w:tabs>
              <w:tab w:val="right" w:leader="dot" w:pos="8828"/>
            </w:tabs>
            <w:rPr>
              <w:rFonts w:eastAsiaTheme="minorEastAsia"/>
              <w:noProof/>
              <w:kern w:val="2"/>
              <w:sz w:val="24"/>
              <w:szCs w:val="24"/>
              <w:lang w:eastAsia="es-CO"/>
              <w14:ligatures w14:val="standardContextual"/>
            </w:rPr>
          </w:pPr>
          <w:hyperlink w:anchor="_Toc234242902" w:history="1">
            <w:r w:rsidRPr="00177E58">
              <w:rPr>
                <w:rStyle w:val="Hipervnculo"/>
                <w:rFonts w:ascii="Arial" w:hAnsi="Arial" w:cs="Arial"/>
                <w:noProof/>
              </w:rPr>
              <w:t>5.1. Hitos del hábitat en vivienda y agua apta para el consumo humano y saneamiento básico</w:t>
            </w:r>
            <w:r>
              <w:rPr>
                <w:noProof/>
                <w:webHidden/>
              </w:rPr>
              <w:tab/>
            </w:r>
            <w:r>
              <w:rPr>
                <w:noProof/>
                <w:webHidden/>
              </w:rPr>
              <w:fldChar w:fldCharType="begin"/>
            </w:r>
            <w:r>
              <w:rPr>
                <w:noProof/>
                <w:webHidden/>
              </w:rPr>
              <w:instrText xml:space="preserve"> PAGEREF _Toc234242902 \h </w:instrText>
            </w:r>
            <w:r>
              <w:rPr>
                <w:noProof/>
                <w:webHidden/>
              </w:rPr>
            </w:r>
            <w:r>
              <w:rPr>
                <w:noProof/>
                <w:webHidden/>
              </w:rPr>
              <w:fldChar w:fldCharType="separate"/>
            </w:r>
            <w:r>
              <w:rPr>
                <w:noProof/>
                <w:webHidden/>
              </w:rPr>
              <w:t>224</w:t>
            </w:r>
            <w:r>
              <w:rPr>
                <w:noProof/>
                <w:webHidden/>
              </w:rPr>
              <w:fldChar w:fldCharType="end"/>
            </w:r>
          </w:hyperlink>
        </w:p>
        <w:p w14:paraId="3283B93B" w14:textId="74CEB7AC" w:rsidR="00C37FFB" w:rsidRDefault="00C37FFB">
          <w:pPr>
            <w:pStyle w:val="TDC2"/>
            <w:tabs>
              <w:tab w:val="right" w:leader="dot" w:pos="8828"/>
            </w:tabs>
            <w:rPr>
              <w:rFonts w:eastAsiaTheme="minorEastAsia"/>
              <w:noProof/>
              <w:kern w:val="2"/>
              <w:sz w:val="24"/>
              <w:szCs w:val="24"/>
              <w:lang w:eastAsia="es-CO"/>
              <w14:ligatures w14:val="standardContextual"/>
            </w:rPr>
          </w:pPr>
          <w:hyperlink w:anchor="_Toc234242903" w:history="1">
            <w:r w:rsidRPr="00177E58">
              <w:rPr>
                <w:rStyle w:val="Hipervnculo"/>
                <w:rFonts w:ascii="Arial" w:hAnsi="Arial" w:cs="Arial"/>
                <w:noProof/>
              </w:rPr>
              <w:t>5.2. Instrumentos para avanzar en los derechos</w:t>
            </w:r>
            <w:r>
              <w:rPr>
                <w:noProof/>
                <w:webHidden/>
              </w:rPr>
              <w:tab/>
            </w:r>
            <w:r>
              <w:rPr>
                <w:noProof/>
                <w:webHidden/>
              </w:rPr>
              <w:fldChar w:fldCharType="begin"/>
            </w:r>
            <w:r>
              <w:rPr>
                <w:noProof/>
                <w:webHidden/>
              </w:rPr>
              <w:instrText xml:space="preserve"> PAGEREF _Toc234242903 \h </w:instrText>
            </w:r>
            <w:r>
              <w:rPr>
                <w:noProof/>
                <w:webHidden/>
              </w:rPr>
            </w:r>
            <w:r>
              <w:rPr>
                <w:noProof/>
                <w:webHidden/>
              </w:rPr>
              <w:fldChar w:fldCharType="separate"/>
            </w:r>
            <w:r>
              <w:rPr>
                <w:noProof/>
                <w:webHidden/>
              </w:rPr>
              <w:t>229</w:t>
            </w:r>
            <w:r>
              <w:rPr>
                <w:noProof/>
                <w:webHidden/>
              </w:rPr>
              <w:fldChar w:fldCharType="end"/>
            </w:r>
          </w:hyperlink>
        </w:p>
        <w:p w14:paraId="0265C9E1" w14:textId="15323850" w:rsidR="00C37FFB" w:rsidRDefault="00C37FFB">
          <w:pPr>
            <w:pStyle w:val="TDC1"/>
            <w:tabs>
              <w:tab w:val="right" w:leader="dot" w:pos="8828"/>
            </w:tabs>
            <w:rPr>
              <w:rFonts w:eastAsiaTheme="minorEastAsia"/>
              <w:noProof/>
              <w:kern w:val="2"/>
              <w:sz w:val="24"/>
              <w:szCs w:val="24"/>
              <w:lang w:eastAsia="es-CO"/>
              <w14:ligatures w14:val="standardContextual"/>
            </w:rPr>
          </w:pPr>
          <w:hyperlink w:anchor="_Toc234242904" w:history="1">
            <w:r w:rsidRPr="00177E58">
              <w:rPr>
                <w:rStyle w:val="Hipervnculo"/>
                <w:noProof/>
              </w:rPr>
              <w:t>Bibliografía</w:t>
            </w:r>
            <w:r>
              <w:rPr>
                <w:noProof/>
                <w:webHidden/>
              </w:rPr>
              <w:tab/>
            </w:r>
            <w:r>
              <w:rPr>
                <w:noProof/>
                <w:webHidden/>
              </w:rPr>
              <w:fldChar w:fldCharType="begin"/>
            </w:r>
            <w:r>
              <w:rPr>
                <w:noProof/>
                <w:webHidden/>
              </w:rPr>
              <w:instrText xml:space="preserve"> PAGEREF _Toc234242904 \h </w:instrText>
            </w:r>
            <w:r>
              <w:rPr>
                <w:noProof/>
                <w:webHidden/>
              </w:rPr>
            </w:r>
            <w:r>
              <w:rPr>
                <w:noProof/>
                <w:webHidden/>
              </w:rPr>
              <w:fldChar w:fldCharType="separate"/>
            </w:r>
            <w:r>
              <w:rPr>
                <w:noProof/>
                <w:webHidden/>
              </w:rPr>
              <w:t>237</w:t>
            </w:r>
            <w:r>
              <w:rPr>
                <w:noProof/>
                <w:webHidden/>
              </w:rPr>
              <w:fldChar w:fldCharType="end"/>
            </w:r>
          </w:hyperlink>
        </w:p>
        <w:p w14:paraId="6B49C5DC" w14:textId="15FE6E1E" w:rsidR="00F14196" w:rsidRPr="00E00F13" w:rsidRDefault="00F14196">
          <w:r w:rsidRPr="00E00F13">
            <w:rPr>
              <w:b/>
              <w:bCs/>
              <w:lang w:val="es-ES"/>
            </w:rPr>
            <w:fldChar w:fldCharType="end"/>
          </w:r>
        </w:p>
      </w:sdtContent>
    </w:sdt>
    <w:p w14:paraId="0C5997E8" w14:textId="642543EB" w:rsidR="00515E3B" w:rsidRPr="00E00F13" w:rsidRDefault="00515E3B" w:rsidP="003F26BE">
      <w:pPr>
        <w:spacing w:after="0" w:line="360" w:lineRule="auto"/>
        <w:jc w:val="both"/>
        <w:rPr>
          <w:rFonts w:ascii="Arial" w:hAnsi="Arial" w:cs="Arial"/>
          <w:sz w:val="24"/>
          <w:szCs w:val="24"/>
        </w:rPr>
      </w:pPr>
    </w:p>
    <w:p w14:paraId="47B15E34" w14:textId="7A77D5BE" w:rsidR="00625B67" w:rsidRPr="00E00F13" w:rsidRDefault="00625B67" w:rsidP="003F26BE">
      <w:pPr>
        <w:spacing w:after="0" w:line="360" w:lineRule="auto"/>
        <w:jc w:val="both"/>
        <w:rPr>
          <w:rFonts w:ascii="Arial" w:hAnsi="Arial" w:cs="Arial"/>
          <w:sz w:val="24"/>
          <w:szCs w:val="24"/>
        </w:rPr>
      </w:pPr>
    </w:p>
    <w:p w14:paraId="624FC698" w14:textId="77777777" w:rsidR="00625B67" w:rsidRPr="00E00F13" w:rsidRDefault="00625B67" w:rsidP="003F26BE">
      <w:pPr>
        <w:spacing w:after="0" w:line="360" w:lineRule="auto"/>
        <w:jc w:val="both"/>
        <w:rPr>
          <w:rFonts w:ascii="Arial" w:hAnsi="Arial" w:cs="Arial"/>
          <w:sz w:val="24"/>
          <w:szCs w:val="24"/>
        </w:rPr>
      </w:pPr>
    </w:p>
    <w:p w14:paraId="4B88DE5B" w14:textId="77777777" w:rsidR="00551DE1" w:rsidRPr="00551DE1" w:rsidRDefault="00551DE1" w:rsidP="00551DE1"/>
    <w:p w14:paraId="50D2BC85" w14:textId="5E26999B" w:rsidR="003F26BE" w:rsidRPr="00E00F13" w:rsidRDefault="003F26BE" w:rsidP="003F26BE">
      <w:pPr>
        <w:pStyle w:val="Ttulo1"/>
        <w:rPr>
          <w:color w:val="auto"/>
        </w:rPr>
      </w:pPr>
      <w:bookmarkStart w:id="14" w:name="_Toc234242765"/>
      <w:r w:rsidRPr="00E00F13">
        <w:rPr>
          <w:color w:val="auto"/>
        </w:rPr>
        <w:lastRenderedPageBreak/>
        <w:t>Introducción</w:t>
      </w:r>
      <w:bookmarkEnd w:id="14"/>
    </w:p>
    <w:p w14:paraId="5A6BDEAC" w14:textId="77777777" w:rsidR="003F26BE" w:rsidRPr="00E00F13" w:rsidRDefault="003F26BE" w:rsidP="003F26BE">
      <w:pPr>
        <w:spacing w:after="0" w:line="360" w:lineRule="auto"/>
        <w:jc w:val="both"/>
        <w:rPr>
          <w:rFonts w:ascii="Arial" w:hAnsi="Arial" w:cs="Arial"/>
          <w:sz w:val="24"/>
          <w:szCs w:val="24"/>
        </w:rPr>
      </w:pPr>
    </w:p>
    <w:p w14:paraId="1879B853" w14:textId="77777777" w:rsidR="003E23A9" w:rsidRPr="00E00F13" w:rsidRDefault="00E63AD5" w:rsidP="003F26BE">
      <w:pPr>
        <w:spacing w:after="0" w:line="360" w:lineRule="auto"/>
        <w:jc w:val="both"/>
        <w:rPr>
          <w:rFonts w:ascii="Arial" w:hAnsi="Arial" w:cs="Arial"/>
          <w:sz w:val="24"/>
          <w:szCs w:val="24"/>
        </w:rPr>
      </w:pPr>
      <w:r w:rsidRPr="00E00F13">
        <w:rPr>
          <w:rFonts w:ascii="Arial" w:hAnsi="Arial" w:cs="Arial"/>
          <w:sz w:val="24"/>
          <w:szCs w:val="24"/>
        </w:rPr>
        <w:t xml:space="preserve">El documento </w:t>
      </w:r>
      <w:r w:rsidRPr="00E00F13">
        <w:rPr>
          <w:rFonts w:ascii="Arial" w:hAnsi="Arial" w:cs="Arial"/>
          <w:i/>
          <w:iCs/>
          <w:sz w:val="24"/>
          <w:szCs w:val="24"/>
        </w:rPr>
        <w:t>Lineamientos de Política Nuestro Hábitat Biodiverso</w:t>
      </w:r>
      <w:r w:rsidRPr="00E00F13">
        <w:rPr>
          <w:rFonts w:ascii="Arial" w:hAnsi="Arial" w:cs="Arial"/>
          <w:sz w:val="24"/>
          <w:szCs w:val="24"/>
        </w:rPr>
        <w:t xml:space="preserve"> es un instrumento estratégico</w:t>
      </w:r>
      <w:r w:rsidR="003E23A9" w:rsidRPr="00E00F13">
        <w:rPr>
          <w:rFonts w:ascii="Arial" w:hAnsi="Arial" w:cs="Arial"/>
          <w:sz w:val="24"/>
          <w:szCs w:val="24"/>
        </w:rPr>
        <w:t xml:space="preserve"> elaborado por el Ministerio de Vivienda, Ciudad y Territorio</w:t>
      </w:r>
      <w:r w:rsidRPr="00E00F13">
        <w:rPr>
          <w:rFonts w:ascii="Arial" w:hAnsi="Arial" w:cs="Arial"/>
          <w:sz w:val="24"/>
          <w:szCs w:val="24"/>
        </w:rPr>
        <w:t xml:space="preserve"> </w:t>
      </w:r>
      <w:r w:rsidR="003E23A9" w:rsidRPr="00E00F13">
        <w:rPr>
          <w:rFonts w:ascii="Arial" w:hAnsi="Arial" w:cs="Arial"/>
          <w:sz w:val="24"/>
          <w:szCs w:val="24"/>
        </w:rPr>
        <w:t xml:space="preserve">(MVCT) </w:t>
      </w:r>
      <w:r w:rsidRPr="00E00F13">
        <w:rPr>
          <w:rFonts w:ascii="Arial" w:hAnsi="Arial" w:cs="Arial"/>
          <w:sz w:val="24"/>
          <w:szCs w:val="24"/>
        </w:rPr>
        <w:t xml:space="preserve">que redefine la acción pública del sector y orienta las decisiones institucionales para garantizar la accesibilidad y la asequibilidad en materia de hábitat. Surge de un giro profundo en la visión del </w:t>
      </w:r>
      <w:r w:rsidR="003E23A9" w:rsidRPr="00E00F13">
        <w:rPr>
          <w:rFonts w:ascii="Arial" w:hAnsi="Arial" w:cs="Arial"/>
          <w:sz w:val="24"/>
          <w:szCs w:val="24"/>
        </w:rPr>
        <w:t xml:space="preserve">primer </w:t>
      </w:r>
      <w:r w:rsidRPr="00E00F13">
        <w:rPr>
          <w:rFonts w:ascii="Arial" w:hAnsi="Arial" w:cs="Arial"/>
          <w:sz w:val="24"/>
          <w:szCs w:val="24"/>
        </w:rPr>
        <w:t>gobierno</w:t>
      </w:r>
      <w:r w:rsidR="003E23A9" w:rsidRPr="00E00F13">
        <w:rPr>
          <w:rFonts w:ascii="Arial" w:hAnsi="Arial" w:cs="Arial"/>
          <w:sz w:val="24"/>
          <w:szCs w:val="24"/>
        </w:rPr>
        <w:t xml:space="preserve"> progresista de la historia republicana de Colombia</w:t>
      </w:r>
      <w:r w:rsidRPr="00E00F13">
        <w:rPr>
          <w:rFonts w:ascii="Arial" w:hAnsi="Arial" w:cs="Arial"/>
          <w:sz w:val="24"/>
          <w:szCs w:val="24"/>
        </w:rPr>
        <w:t>, que asume el hábitat biodiverso como nuevo paradigma para comprender el territorio y ordenar la intervención del MVCT.</w:t>
      </w:r>
    </w:p>
    <w:p w14:paraId="587DF434" w14:textId="77777777" w:rsidR="003E23A9" w:rsidRPr="00E00F13" w:rsidRDefault="003E23A9" w:rsidP="003F26BE">
      <w:pPr>
        <w:spacing w:after="0" w:line="360" w:lineRule="auto"/>
        <w:jc w:val="both"/>
        <w:rPr>
          <w:rFonts w:ascii="Arial" w:hAnsi="Arial" w:cs="Arial"/>
          <w:sz w:val="24"/>
          <w:szCs w:val="24"/>
        </w:rPr>
      </w:pPr>
    </w:p>
    <w:p w14:paraId="56CA7FDE" w14:textId="4C245C94" w:rsidR="00E63AD5" w:rsidRPr="00E00F13" w:rsidRDefault="00E63AD5" w:rsidP="003F26BE">
      <w:pPr>
        <w:spacing w:after="0" w:line="360" w:lineRule="auto"/>
        <w:jc w:val="both"/>
        <w:rPr>
          <w:rFonts w:ascii="Arial" w:hAnsi="Arial" w:cs="Arial"/>
          <w:sz w:val="24"/>
          <w:szCs w:val="24"/>
        </w:rPr>
      </w:pPr>
      <w:r w:rsidRPr="00E00F13">
        <w:rPr>
          <w:rFonts w:ascii="Arial" w:hAnsi="Arial" w:cs="Arial"/>
          <w:sz w:val="24"/>
          <w:szCs w:val="24"/>
        </w:rPr>
        <w:t>Este cambio</w:t>
      </w:r>
      <w:r w:rsidR="00F76CE4" w:rsidRPr="00E00F13">
        <w:rPr>
          <w:rFonts w:ascii="Arial" w:hAnsi="Arial" w:cs="Arial"/>
          <w:sz w:val="24"/>
          <w:szCs w:val="24"/>
        </w:rPr>
        <w:t xml:space="preserve"> de paradigma</w:t>
      </w:r>
      <w:r w:rsidRPr="00E00F13">
        <w:rPr>
          <w:rFonts w:ascii="Arial" w:hAnsi="Arial" w:cs="Arial"/>
          <w:sz w:val="24"/>
          <w:szCs w:val="24"/>
        </w:rPr>
        <w:t xml:space="preserve"> permite integrar, de manera coherente, los instrumentos de política elaborados por el MVCT durante este gobierno, consolidándolos como la hoja de ruta para avanzar hacia soluciones habitacionales</w:t>
      </w:r>
      <w:r w:rsidR="006433DA" w:rsidRPr="00E00F13">
        <w:rPr>
          <w:rFonts w:ascii="Arial" w:hAnsi="Arial" w:cs="Arial"/>
          <w:sz w:val="24"/>
          <w:szCs w:val="24"/>
        </w:rPr>
        <w:t>,</w:t>
      </w:r>
      <w:r w:rsidRPr="00E00F13">
        <w:rPr>
          <w:rFonts w:ascii="Arial" w:hAnsi="Arial" w:cs="Arial"/>
          <w:sz w:val="24"/>
          <w:szCs w:val="24"/>
        </w:rPr>
        <w:t xml:space="preserve"> de agua para el consumo humano </w:t>
      </w:r>
      <w:r w:rsidR="006433DA" w:rsidRPr="00E00F13">
        <w:rPr>
          <w:rFonts w:ascii="Arial" w:hAnsi="Arial" w:cs="Arial"/>
          <w:sz w:val="24"/>
          <w:szCs w:val="24"/>
        </w:rPr>
        <w:t xml:space="preserve">y saneamiento básico </w:t>
      </w:r>
      <w:r w:rsidRPr="00E00F13">
        <w:rPr>
          <w:rFonts w:ascii="Arial" w:hAnsi="Arial" w:cs="Arial"/>
          <w:sz w:val="24"/>
          <w:szCs w:val="24"/>
        </w:rPr>
        <w:t xml:space="preserve">pertinentes, inclusivas y adaptadas a la diversidad de contextos </w:t>
      </w:r>
      <w:r w:rsidR="003E23A9" w:rsidRPr="00E00F13">
        <w:rPr>
          <w:rFonts w:ascii="Arial" w:hAnsi="Arial" w:cs="Arial"/>
          <w:sz w:val="24"/>
          <w:szCs w:val="24"/>
        </w:rPr>
        <w:t xml:space="preserve">en </w:t>
      </w:r>
      <w:r w:rsidRPr="00E00F13">
        <w:rPr>
          <w:rFonts w:ascii="Arial" w:hAnsi="Arial" w:cs="Arial"/>
          <w:sz w:val="24"/>
          <w:szCs w:val="24"/>
        </w:rPr>
        <w:t>el país.</w:t>
      </w:r>
    </w:p>
    <w:p w14:paraId="6419CEBA" w14:textId="4D1CA716" w:rsidR="00233C7E" w:rsidRPr="00E00F13" w:rsidRDefault="00233C7E" w:rsidP="003F26BE">
      <w:pPr>
        <w:spacing w:after="0" w:line="360" w:lineRule="auto"/>
        <w:jc w:val="both"/>
        <w:rPr>
          <w:rFonts w:ascii="Arial" w:hAnsi="Arial" w:cs="Arial"/>
          <w:sz w:val="24"/>
          <w:szCs w:val="24"/>
        </w:rPr>
      </w:pPr>
    </w:p>
    <w:p w14:paraId="27A712D4" w14:textId="5F9B863F" w:rsidR="00F76CE4" w:rsidRPr="00E00F13" w:rsidRDefault="00233C7E" w:rsidP="003E23A9">
      <w:pPr>
        <w:spacing w:after="0" w:line="360" w:lineRule="auto"/>
        <w:jc w:val="both"/>
        <w:rPr>
          <w:rFonts w:ascii="Arial" w:hAnsi="Arial" w:cs="Arial"/>
          <w:sz w:val="24"/>
          <w:szCs w:val="24"/>
        </w:rPr>
      </w:pPr>
      <w:r w:rsidRPr="00E00F13">
        <w:rPr>
          <w:rFonts w:ascii="Arial" w:hAnsi="Arial" w:cs="Arial"/>
          <w:sz w:val="24"/>
          <w:szCs w:val="24"/>
        </w:rPr>
        <w:t xml:space="preserve">Los lineamientos </w:t>
      </w:r>
      <w:r w:rsidR="00B97391" w:rsidRPr="00E00F13">
        <w:rPr>
          <w:rFonts w:ascii="Arial" w:hAnsi="Arial" w:cs="Arial"/>
          <w:sz w:val="24"/>
          <w:szCs w:val="24"/>
        </w:rPr>
        <w:t xml:space="preserve">de política </w:t>
      </w:r>
      <w:r w:rsidRPr="00E00F13">
        <w:rPr>
          <w:rFonts w:ascii="Arial" w:hAnsi="Arial" w:cs="Arial"/>
          <w:sz w:val="24"/>
          <w:szCs w:val="24"/>
        </w:rPr>
        <w:t>aquí presentados reflejan el tránsito desde una política centrada en la demanda y en la reducción del déficit cuantitativo, hacia una política que busca ampliar la cobertura poblacional y territorial, fortalecer capacidades locales</w:t>
      </w:r>
      <w:r w:rsidR="00E5582F" w:rsidRPr="00E00F13">
        <w:rPr>
          <w:rFonts w:ascii="Arial" w:hAnsi="Arial" w:cs="Arial"/>
          <w:sz w:val="24"/>
          <w:szCs w:val="24"/>
        </w:rPr>
        <w:t xml:space="preserve"> </w:t>
      </w:r>
      <w:r w:rsidR="00E5582F" w:rsidRPr="00E00F13">
        <w:rPr>
          <w:rFonts w:ascii="Helvetica" w:hAnsi="Helvetica" w:cs="Helvetica"/>
          <w:sz w:val="24"/>
          <w:szCs w:val="24"/>
          <w:lang w:val="es-ES_tradnl"/>
        </w:rPr>
        <w:t>para atender también el déficit cualitativo</w:t>
      </w:r>
      <w:r w:rsidR="00E82DA5" w:rsidRPr="00E00F13">
        <w:rPr>
          <w:rFonts w:ascii="Helvetica" w:hAnsi="Helvetica" w:cs="Helvetica"/>
          <w:sz w:val="24"/>
          <w:szCs w:val="24"/>
          <w:lang w:val="es-ES_tradnl"/>
        </w:rPr>
        <w:t>,</w:t>
      </w:r>
      <w:r w:rsidRPr="00E00F13">
        <w:rPr>
          <w:rFonts w:ascii="Arial" w:hAnsi="Arial" w:cs="Arial"/>
          <w:sz w:val="24"/>
          <w:szCs w:val="24"/>
        </w:rPr>
        <w:t xml:space="preserve"> y mejorar las condiciones de accesibilidad y asequibilidad del hábitat</w:t>
      </w:r>
      <w:r w:rsidR="003E23A9" w:rsidRPr="00E00F13">
        <w:rPr>
          <w:rFonts w:ascii="Arial" w:hAnsi="Arial" w:cs="Arial"/>
          <w:sz w:val="24"/>
          <w:szCs w:val="24"/>
        </w:rPr>
        <w:t xml:space="preserve">, </w:t>
      </w:r>
      <w:r w:rsidR="006433DA" w:rsidRPr="00E00F13">
        <w:rPr>
          <w:rFonts w:ascii="Arial" w:hAnsi="Arial" w:cs="Arial"/>
          <w:sz w:val="24"/>
          <w:szCs w:val="24"/>
        </w:rPr>
        <w:t>entendié</w:t>
      </w:r>
      <w:r w:rsidR="003E23A9" w:rsidRPr="00E00F13">
        <w:rPr>
          <w:rFonts w:ascii="Arial" w:hAnsi="Arial" w:cs="Arial"/>
          <w:sz w:val="24"/>
          <w:szCs w:val="24"/>
        </w:rPr>
        <w:t>ndo</w:t>
      </w:r>
      <w:r w:rsidR="006433DA" w:rsidRPr="00E00F13">
        <w:rPr>
          <w:rFonts w:ascii="Arial" w:hAnsi="Arial" w:cs="Arial"/>
          <w:sz w:val="24"/>
          <w:szCs w:val="24"/>
        </w:rPr>
        <w:t>lo</w:t>
      </w:r>
      <w:r w:rsidR="008C2233" w:rsidRPr="00E00F13">
        <w:rPr>
          <w:rFonts w:ascii="Arial" w:hAnsi="Arial" w:cs="Arial"/>
          <w:sz w:val="24"/>
          <w:szCs w:val="24"/>
        </w:rPr>
        <w:t xml:space="preserve"> como la relación que las sociedades establecen con su entorno. </w:t>
      </w:r>
    </w:p>
    <w:p w14:paraId="00965F06" w14:textId="77777777" w:rsidR="00F76CE4" w:rsidRPr="00E00F13" w:rsidRDefault="00F76CE4" w:rsidP="003E23A9">
      <w:pPr>
        <w:spacing w:after="0" w:line="360" w:lineRule="auto"/>
        <w:jc w:val="both"/>
        <w:rPr>
          <w:rFonts w:ascii="Arial" w:hAnsi="Arial" w:cs="Arial"/>
          <w:sz w:val="24"/>
          <w:szCs w:val="24"/>
        </w:rPr>
      </w:pPr>
    </w:p>
    <w:p w14:paraId="1D4C1314" w14:textId="77777777" w:rsidR="00CB3B23" w:rsidRPr="00E00F13" w:rsidRDefault="00F76CE4" w:rsidP="003E23A9">
      <w:pPr>
        <w:spacing w:after="0" w:line="360" w:lineRule="auto"/>
        <w:jc w:val="both"/>
        <w:rPr>
          <w:rFonts w:ascii="Arial" w:hAnsi="Arial" w:cs="Arial"/>
          <w:sz w:val="24"/>
          <w:szCs w:val="24"/>
        </w:rPr>
      </w:pPr>
      <w:r w:rsidRPr="00E00F13">
        <w:rPr>
          <w:rFonts w:ascii="Arial" w:hAnsi="Arial" w:cs="Arial"/>
          <w:sz w:val="24"/>
          <w:szCs w:val="24"/>
        </w:rPr>
        <w:t>El nuevo paradigma</w:t>
      </w:r>
      <w:r w:rsidR="00233C7E" w:rsidRPr="00E00F13">
        <w:rPr>
          <w:rFonts w:ascii="Arial" w:hAnsi="Arial" w:cs="Arial"/>
          <w:sz w:val="24"/>
          <w:szCs w:val="24"/>
        </w:rPr>
        <w:t xml:space="preserve"> implica dejar atrás la lógica exclusiva de las obras y el producto terminado para dar paso a una gestión basada en procesos participativos, fortalecimiento organizativo, valor de uso de las soluciones habitacionales, agua, </w:t>
      </w:r>
      <w:r w:rsidR="006433DA" w:rsidRPr="00E00F13">
        <w:rPr>
          <w:rFonts w:ascii="Arial" w:hAnsi="Arial" w:cs="Arial"/>
          <w:sz w:val="24"/>
          <w:szCs w:val="24"/>
        </w:rPr>
        <w:t xml:space="preserve">saneamiento básico, </w:t>
      </w:r>
      <w:r w:rsidR="00233C7E" w:rsidRPr="00E00F13">
        <w:rPr>
          <w:rFonts w:ascii="Arial" w:hAnsi="Arial" w:cs="Arial"/>
          <w:sz w:val="24"/>
          <w:szCs w:val="24"/>
        </w:rPr>
        <w:t>promoción de proyectos de autogestión y desarrollo de metodologías de intervención adaptada a la innovación social y al territorio en contextos diversos</w:t>
      </w:r>
      <w:r w:rsidR="00E82DA5" w:rsidRPr="00E00F13">
        <w:rPr>
          <w:rFonts w:ascii="Arial" w:hAnsi="Arial" w:cs="Arial"/>
          <w:sz w:val="24"/>
          <w:szCs w:val="24"/>
        </w:rPr>
        <w:t>, e</w:t>
      </w:r>
      <w:r w:rsidR="00E82DA5" w:rsidRPr="00E00F13">
        <w:rPr>
          <w:rFonts w:ascii="Helvetica" w:hAnsi="Helvetica" w:cs="Helvetica"/>
          <w:sz w:val="24"/>
          <w:szCs w:val="24"/>
          <w:lang w:val="es-ES_tradnl"/>
        </w:rPr>
        <w:t>n cuyo centro está el diálogo y, en particular, la escucha de las comunidades y la integración de su conocimiento propio.</w:t>
      </w:r>
      <w:r w:rsidR="003647A4" w:rsidRPr="00E00F13">
        <w:rPr>
          <w:rFonts w:ascii="Arial" w:hAnsi="Arial" w:cs="Arial"/>
          <w:sz w:val="24"/>
          <w:szCs w:val="24"/>
        </w:rPr>
        <w:t xml:space="preserve"> </w:t>
      </w:r>
    </w:p>
    <w:p w14:paraId="1FD0B43E" w14:textId="77777777" w:rsidR="00CB3B23" w:rsidRPr="00E00F13" w:rsidRDefault="00CB3B23" w:rsidP="003E23A9">
      <w:pPr>
        <w:spacing w:after="0" w:line="360" w:lineRule="auto"/>
        <w:jc w:val="both"/>
        <w:rPr>
          <w:rFonts w:ascii="Arial" w:hAnsi="Arial" w:cs="Arial"/>
          <w:sz w:val="24"/>
          <w:szCs w:val="24"/>
        </w:rPr>
      </w:pPr>
    </w:p>
    <w:p w14:paraId="0B2E8856" w14:textId="3760C314" w:rsidR="003647A4" w:rsidRPr="00E00F13" w:rsidRDefault="00CB3B23" w:rsidP="003E23A9">
      <w:pPr>
        <w:spacing w:after="0" w:line="360" w:lineRule="auto"/>
        <w:jc w:val="both"/>
        <w:rPr>
          <w:rFonts w:ascii="Arial" w:hAnsi="Arial" w:cs="Arial"/>
          <w:sz w:val="24"/>
          <w:szCs w:val="24"/>
        </w:rPr>
      </w:pPr>
      <w:r w:rsidRPr="00E00F13">
        <w:rPr>
          <w:rFonts w:ascii="Arial" w:hAnsi="Arial" w:cs="Arial"/>
          <w:sz w:val="24"/>
          <w:szCs w:val="24"/>
        </w:rPr>
        <w:lastRenderedPageBreak/>
        <w:t xml:space="preserve">Es así </w:t>
      </w:r>
      <w:proofErr w:type="gramStart"/>
      <w:r w:rsidRPr="00E00F13">
        <w:rPr>
          <w:rFonts w:ascii="Arial" w:hAnsi="Arial" w:cs="Arial"/>
          <w:sz w:val="24"/>
          <w:szCs w:val="24"/>
        </w:rPr>
        <w:t>que</w:t>
      </w:r>
      <w:proofErr w:type="gramEnd"/>
      <w:r w:rsidRPr="00E00F13">
        <w:rPr>
          <w:rFonts w:ascii="Arial" w:hAnsi="Arial" w:cs="Arial"/>
          <w:sz w:val="24"/>
          <w:szCs w:val="24"/>
        </w:rPr>
        <w:t xml:space="preserve"> l</w:t>
      </w:r>
      <w:r w:rsidR="003647A4" w:rsidRPr="00E00F13">
        <w:rPr>
          <w:rFonts w:ascii="Arial" w:hAnsi="Arial" w:cs="Arial"/>
          <w:sz w:val="24"/>
          <w:szCs w:val="24"/>
        </w:rPr>
        <w:t>os lineamientos de política guardan estrecha relación con el cambio de paradigma que este gobierno ha establecido al pasar de</w:t>
      </w:r>
      <w:r w:rsidR="00865362" w:rsidRPr="00E00F13">
        <w:rPr>
          <w:rFonts w:ascii="Arial" w:hAnsi="Arial" w:cs="Arial"/>
          <w:sz w:val="24"/>
          <w:szCs w:val="24"/>
        </w:rPr>
        <w:t xml:space="preserve"> responder </w:t>
      </w:r>
      <w:r w:rsidR="0052444F" w:rsidRPr="00E00F13">
        <w:rPr>
          <w:rFonts w:ascii="Arial" w:hAnsi="Arial" w:cs="Arial"/>
          <w:sz w:val="24"/>
          <w:szCs w:val="24"/>
        </w:rPr>
        <w:t>de</w:t>
      </w:r>
      <w:r w:rsidR="00865362" w:rsidRPr="00E00F13">
        <w:rPr>
          <w:rFonts w:ascii="Arial" w:hAnsi="Arial" w:cs="Arial"/>
          <w:sz w:val="24"/>
          <w:szCs w:val="24"/>
        </w:rPr>
        <w:t xml:space="preserve"> la lógica del mercado a la demanda que tienen los territorios en el país par</w:t>
      </w:r>
      <w:r w:rsidR="003647A4" w:rsidRPr="00E00F13">
        <w:rPr>
          <w:rFonts w:ascii="Arial" w:hAnsi="Arial" w:cs="Arial"/>
          <w:sz w:val="24"/>
          <w:szCs w:val="24"/>
        </w:rPr>
        <w:t xml:space="preserve">a mejorar </w:t>
      </w:r>
      <w:r w:rsidR="0052444F" w:rsidRPr="00E00F13">
        <w:rPr>
          <w:rFonts w:ascii="Arial" w:hAnsi="Arial" w:cs="Arial"/>
          <w:sz w:val="24"/>
          <w:szCs w:val="24"/>
        </w:rPr>
        <w:t>su hábitat</w:t>
      </w:r>
      <w:r w:rsidR="003647A4" w:rsidRPr="00E00F13">
        <w:rPr>
          <w:rFonts w:ascii="Arial" w:hAnsi="Arial" w:cs="Arial"/>
          <w:sz w:val="24"/>
          <w:szCs w:val="24"/>
        </w:rPr>
        <w:t>.</w:t>
      </w:r>
      <w:r w:rsidR="003E23A9" w:rsidRPr="00E00F13">
        <w:rPr>
          <w:rFonts w:ascii="Arial" w:hAnsi="Arial" w:cs="Arial"/>
          <w:sz w:val="24"/>
          <w:szCs w:val="24"/>
        </w:rPr>
        <w:t xml:space="preserve"> </w:t>
      </w:r>
      <w:r w:rsidR="00233C7E" w:rsidRPr="00E00F13">
        <w:rPr>
          <w:rFonts w:ascii="Arial" w:hAnsi="Arial" w:cs="Arial"/>
          <w:sz w:val="24"/>
          <w:szCs w:val="24"/>
        </w:rPr>
        <w:t>Reconoce que las comunidades conocen su territorio, su cultura y sus necesidades, y que deben tener un rol protagónico en la identificación, formulación y ejecución de soluciones habitacionales. Por ello, esta política plantea una hoja de ruta estratégica para orientar las acciones del sector que ubica como centro del quehacer institucional la autonomía territorial y la gestión comunitaria.</w:t>
      </w:r>
    </w:p>
    <w:p w14:paraId="3881E1AA" w14:textId="77777777" w:rsidR="003E23A9" w:rsidRPr="00E00F13" w:rsidRDefault="003E23A9" w:rsidP="003E23A9">
      <w:pPr>
        <w:spacing w:after="0" w:line="360" w:lineRule="auto"/>
        <w:jc w:val="both"/>
        <w:rPr>
          <w:rFonts w:ascii="Arial" w:hAnsi="Arial" w:cs="Arial"/>
          <w:sz w:val="24"/>
          <w:szCs w:val="24"/>
        </w:rPr>
      </w:pPr>
    </w:p>
    <w:p w14:paraId="57BD20A1" w14:textId="1E00A5F1" w:rsidR="003647A4" w:rsidRPr="00E00F13" w:rsidRDefault="00233C7E" w:rsidP="003E23A9">
      <w:pPr>
        <w:spacing w:after="0" w:line="360" w:lineRule="auto"/>
        <w:jc w:val="both"/>
        <w:rPr>
          <w:rFonts w:ascii="Arial" w:hAnsi="Arial" w:cs="Arial"/>
          <w:sz w:val="24"/>
          <w:szCs w:val="24"/>
        </w:rPr>
      </w:pPr>
      <w:r w:rsidRPr="00E00F13">
        <w:rPr>
          <w:rFonts w:ascii="Arial" w:hAnsi="Arial" w:cs="Arial"/>
          <w:sz w:val="24"/>
          <w:szCs w:val="24"/>
        </w:rPr>
        <w:t xml:space="preserve">El documento desarrolla con profundidad el tránsito conceptual desde la idea de la vivienda como unidad aislada hacia la noción integral de hábitat biodiverso, articulada con el ordenamiento del territorio alrededor del agua, tal como lo define el Plan Nacional de Desarrollo 2022–2026 </w:t>
      </w:r>
      <w:r w:rsidRPr="00E00F13">
        <w:rPr>
          <w:rFonts w:ascii="Arial" w:hAnsi="Arial" w:cs="Arial"/>
          <w:i/>
          <w:iCs/>
          <w:sz w:val="24"/>
          <w:szCs w:val="24"/>
        </w:rPr>
        <w:t>Colombia, potencia mundial de la vida</w:t>
      </w:r>
      <w:r w:rsidRPr="00E00F13">
        <w:rPr>
          <w:rFonts w:ascii="Arial" w:hAnsi="Arial" w:cs="Arial"/>
          <w:sz w:val="24"/>
          <w:szCs w:val="24"/>
        </w:rPr>
        <w:t>. Presenta el contexto y los antecedentes de la visión tradicional de la vivienda social en Colombia</w:t>
      </w:r>
      <w:r w:rsidR="0052444F" w:rsidRPr="00E00F13">
        <w:rPr>
          <w:rFonts w:ascii="Arial" w:hAnsi="Arial" w:cs="Arial"/>
          <w:sz w:val="24"/>
          <w:szCs w:val="24"/>
        </w:rPr>
        <w:t xml:space="preserve"> y el desarrollo de los proyectos de agua y saneamiento básico</w:t>
      </w:r>
      <w:r w:rsidRPr="00E00F13">
        <w:rPr>
          <w:rFonts w:ascii="Arial" w:hAnsi="Arial" w:cs="Arial"/>
          <w:sz w:val="24"/>
          <w:szCs w:val="24"/>
        </w:rPr>
        <w:t xml:space="preserve">, introduce la conceptualización y el lenguaje del hábitat biodiverso y explica el cambio de paradigma que desplaza el </w:t>
      </w:r>
      <w:proofErr w:type="spellStart"/>
      <w:r w:rsidRPr="00E00F13">
        <w:rPr>
          <w:rFonts w:ascii="Arial" w:hAnsi="Arial" w:cs="Arial"/>
          <w:sz w:val="24"/>
          <w:szCs w:val="24"/>
        </w:rPr>
        <w:t>viviendismo</w:t>
      </w:r>
      <w:proofErr w:type="spellEnd"/>
      <w:r w:rsidRPr="00E00F13">
        <w:rPr>
          <w:rFonts w:ascii="Arial" w:hAnsi="Arial" w:cs="Arial"/>
          <w:sz w:val="24"/>
          <w:szCs w:val="24"/>
        </w:rPr>
        <w:t xml:space="preserve"> y el enfoque de crecimiento económico hacia la autogestión</w:t>
      </w:r>
      <w:r w:rsidR="00B97391" w:rsidRPr="00E00F13">
        <w:rPr>
          <w:rFonts w:ascii="Arial" w:hAnsi="Arial" w:cs="Arial"/>
          <w:sz w:val="24"/>
          <w:szCs w:val="24"/>
        </w:rPr>
        <w:t xml:space="preserve"> </w:t>
      </w:r>
      <w:r w:rsidRPr="00E00F13">
        <w:rPr>
          <w:rFonts w:ascii="Arial" w:hAnsi="Arial" w:cs="Arial"/>
          <w:sz w:val="24"/>
          <w:szCs w:val="24"/>
        </w:rPr>
        <w:t>y los saberes sociales</w:t>
      </w:r>
      <w:r w:rsidR="00B97391" w:rsidRPr="00E00F13">
        <w:rPr>
          <w:rFonts w:ascii="Arial" w:hAnsi="Arial" w:cs="Arial"/>
          <w:sz w:val="24"/>
          <w:szCs w:val="24"/>
        </w:rPr>
        <w:t xml:space="preserve"> comunitarios</w:t>
      </w:r>
      <w:r w:rsidRPr="00E00F13">
        <w:rPr>
          <w:rFonts w:ascii="Arial" w:hAnsi="Arial" w:cs="Arial"/>
          <w:sz w:val="24"/>
          <w:szCs w:val="24"/>
        </w:rPr>
        <w:t>.</w:t>
      </w:r>
      <w:r w:rsidR="009E1555" w:rsidRPr="00E00F13">
        <w:rPr>
          <w:rFonts w:ascii="Arial" w:hAnsi="Arial" w:cs="Arial"/>
          <w:sz w:val="24"/>
          <w:szCs w:val="24"/>
        </w:rPr>
        <w:t xml:space="preserve"> </w:t>
      </w:r>
      <w:r w:rsidR="0052709C" w:rsidRPr="00E00F13">
        <w:rPr>
          <w:rFonts w:ascii="Arial" w:hAnsi="Arial" w:cs="Arial"/>
          <w:sz w:val="24"/>
          <w:szCs w:val="24"/>
        </w:rPr>
        <w:t>Y expresa un mensaje que el MVCT en este gobierno quiere dejar claro: el cambio de paradigma también hace referencia a romper el individualismo para pensar el hábitat como el espacio compartido.</w:t>
      </w:r>
    </w:p>
    <w:p w14:paraId="4836BD31" w14:textId="77777777" w:rsidR="003E23A9" w:rsidRPr="00E00F13" w:rsidRDefault="003E23A9" w:rsidP="003647A4">
      <w:pPr>
        <w:spacing w:after="0" w:line="360" w:lineRule="auto"/>
        <w:jc w:val="both"/>
        <w:rPr>
          <w:rFonts w:ascii="Arial" w:hAnsi="Arial" w:cs="Arial"/>
          <w:sz w:val="24"/>
          <w:szCs w:val="24"/>
        </w:rPr>
      </w:pPr>
    </w:p>
    <w:p w14:paraId="4BD5F742" w14:textId="601E8812" w:rsidR="00776A6E" w:rsidRPr="00E00F13" w:rsidRDefault="00233C7E" w:rsidP="003647A4">
      <w:pPr>
        <w:spacing w:after="0" w:line="360" w:lineRule="auto"/>
        <w:jc w:val="both"/>
        <w:rPr>
          <w:rFonts w:ascii="Arial" w:hAnsi="Arial" w:cs="Arial"/>
          <w:sz w:val="24"/>
          <w:szCs w:val="24"/>
        </w:rPr>
      </w:pPr>
      <w:r w:rsidRPr="00E00F13">
        <w:rPr>
          <w:rFonts w:ascii="Arial" w:hAnsi="Arial" w:cs="Arial"/>
          <w:sz w:val="24"/>
          <w:szCs w:val="24"/>
        </w:rPr>
        <w:t>Asimismo, identifica los elementos que materializan este cambio: los</w:t>
      </w:r>
      <w:r w:rsidR="003E23A9" w:rsidRPr="00E00F13">
        <w:rPr>
          <w:rFonts w:ascii="Arial" w:hAnsi="Arial" w:cs="Arial"/>
          <w:sz w:val="24"/>
          <w:szCs w:val="24"/>
        </w:rPr>
        <w:t xml:space="preserve"> </w:t>
      </w:r>
      <w:r w:rsidR="00BA6B1A" w:rsidRPr="00E00F13">
        <w:rPr>
          <w:rFonts w:ascii="Arial" w:hAnsi="Arial" w:cs="Arial"/>
          <w:sz w:val="24"/>
          <w:szCs w:val="24"/>
        </w:rPr>
        <w:t>dieciocho</w:t>
      </w:r>
      <w:r w:rsidR="00D70CB7" w:rsidRPr="00E00F13">
        <w:rPr>
          <w:rFonts w:ascii="Arial" w:hAnsi="Arial" w:cs="Arial"/>
          <w:sz w:val="24"/>
          <w:szCs w:val="24"/>
        </w:rPr>
        <w:t xml:space="preserve"> </w:t>
      </w:r>
      <w:r w:rsidR="00AD0647" w:rsidRPr="00E00F13">
        <w:rPr>
          <w:rFonts w:ascii="Arial" w:hAnsi="Arial" w:cs="Arial"/>
          <w:sz w:val="24"/>
          <w:szCs w:val="24"/>
        </w:rPr>
        <w:t xml:space="preserve">decretos </w:t>
      </w:r>
      <w:r w:rsidRPr="00E00F13">
        <w:rPr>
          <w:rFonts w:ascii="Arial" w:hAnsi="Arial" w:cs="Arial"/>
          <w:sz w:val="24"/>
          <w:szCs w:val="24"/>
        </w:rPr>
        <w:t xml:space="preserve">estratégicos en </w:t>
      </w:r>
      <w:r w:rsidR="0052444F" w:rsidRPr="00E00F13">
        <w:rPr>
          <w:rFonts w:ascii="Arial" w:hAnsi="Arial" w:cs="Arial"/>
          <w:sz w:val="24"/>
          <w:szCs w:val="24"/>
        </w:rPr>
        <w:t xml:space="preserve">ordenamiento territorial, vivienda, </w:t>
      </w:r>
      <w:r w:rsidRPr="00E00F13">
        <w:rPr>
          <w:rFonts w:ascii="Arial" w:hAnsi="Arial" w:cs="Arial"/>
          <w:sz w:val="24"/>
          <w:szCs w:val="24"/>
        </w:rPr>
        <w:t>agua</w:t>
      </w:r>
      <w:r w:rsidR="0052444F" w:rsidRPr="00E00F13">
        <w:rPr>
          <w:rFonts w:ascii="Arial" w:hAnsi="Arial" w:cs="Arial"/>
          <w:sz w:val="24"/>
          <w:szCs w:val="24"/>
        </w:rPr>
        <w:t xml:space="preserve"> y saneamiento básico</w:t>
      </w:r>
      <w:r w:rsidRPr="00E00F13">
        <w:rPr>
          <w:rFonts w:ascii="Arial" w:hAnsi="Arial" w:cs="Arial"/>
          <w:sz w:val="24"/>
          <w:szCs w:val="24"/>
        </w:rPr>
        <w:t xml:space="preserve"> </w:t>
      </w:r>
      <w:r w:rsidR="003E23A9" w:rsidRPr="00E00F13">
        <w:rPr>
          <w:rFonts w:ascii="Arial" w:hAnsi="Arial" w:cs="Arial"/>
          <w:sz w:val="24"/>
          <w:szCs w:val="24"/>
        </w:rPr>
        <w:t>expedidos por</w:t>
      </w:r>
      <w:r w:rsidRPr="00E00F13">
        <w:rPr>
          <w:rFonts w:ascii="Arial" w:hAnsi="Arial" w:cs="Arial"/>
          <w:sz w:val="24"/>
          <w:szCs w:val="24"/>
        </w:rPr>
        <w:t xml:space="preserve"> este gobierno</w:t>
      </w:r>
      <w:r w:rsidR="00B97391" w:rsidRPr="00E00F13">
        <w:rPr>
          <w:rFonts w:ascii="Arial" w:hAnsi="Arial" w:cs="Arial"/>
          <w:sz w:val="24"/>
          <w:szCs w:val="24"/>
        </w:rPr>
        <w:t xml:space="preserve"> y apalancados </w:t>
      </w:r>
      <w:r w:rsidR="001D4B8A" w:rsidRPr="00E00F13">
        <w:rPr>
          <w:rFonts w:ascii="Arial" w:hAnsi="Arial" w:cs="Arial"/>
          <w:sz w:val="24"/>
          <w:szCs w:val="24"/>
        </w:rPr>
        <w:t xml:space="preserve">por </w:t>
      </w:r>
      <w:r w:rsidR="00B97391" w:rsidRPr="00E00F13">
        <w:rPr>
          <w:rFonts w:ascii="Arial" w:hAnsi="Arial" w:cs="Arial"/>
          <w:sz w:val="24"/>
          <w:szCs w:val="24"/>
        </w:rPr>
        <w:t xml:space="preserve">el MVCT </w:t>
      </w:r>
      <w:r w:rsidR="003E23A9" w:rsidRPr="00E00F13">
        <w:rPr>
          <w:rFonts w:ascii="Arial" w:hAnsi="Arial" w:cs="Arial"/>
          <w:sz w:val="24"/>
          <w:szCs w:val="24"/>
        </w:rPr>
        <w:t>para ejecutar</w:t>
      </w:r>
      <w:r w:rsidR="0052444F" w:rsidRPr="00E00F13">
        <w:rPr>
          <w:rFonts w:ascii="Arial" w:hAnsi="Arial" w:cs="Arial"/>
          <w:sz w:val="24"/>
          <w:szCs w:val="24"/>
        </w:rPr>
        <w:t>lo</w:t>
      </w:r>
      <w:r w:rsidRPr="00E00F13">
        <w:rPr>
          <w:rFonts w:ascii="Arial" w:hAnsi="Arial" w:cs="Arial"/>
          <w:sz w:val="24"/>
          <w:szCs w:val="24"/>
        </w:rPr>
        <w:t xml:space="preserve">, </w:t>
      </w:r>
      <w:r w:rsidR="00D70CB7" w:rsidRPr="00E00F13">
        <w:rPr>
          <w:rFonts w:ascii="Arial" w:hAnsi="Arial" w:cs="Arial"/>
          <w:sz w:val="24"/>
          <w:szCs w:val="24"/>
        </w:rPr>
        <w:t xml:space="preserve">así como </w:t>
      </w:r>
      <w:r w:rsidRPr="00E00F13">
        <w:rPr>
          <w:rFonts w:ascii="Arial" w:hAnsi="Arial" w:cs="Arial"/>
          <w:sz w:val="24"/>
          <w:szCs w:val="24"/>
        </w:rPr>
        <w:t xml:space="preserve">las metodologías de acompañamiento integral y los procedimientos que consolidan una política centrada en </w:t>
      </w:r>
      <w:r w:rsidR="00B97391" w:rsidRPr="00E00F13">
        <w:rPr>
          <w:rFonts w:ascii="Arial" w:hAnsi="Arial" w:cs="Arial"/>
          <w:sz w:val="24"/>
          <w:szCs w:val="24"/>
        </w:rPr>
        <w:t xml:space="preserve">el </w:t>
      </w:r>
      <w:r w:rsidRPr="00E00F13">
        <w:rPr>
          <w:rFonts w:ascii="Arial" w:hAnsi="Arial" w:cs="Arial"/>
          <w:sz w:val="24"/>
          <w:szCs w:val="24"/>
        </w:rPr>
        <w:t xml:space="preserve">hábitat. </w:t>
      </w:r>
      <w:r w:rsidR="009E1555" w:rsidRPr="00E00F13">
        <w:rPr>
          <w:rFonts w:ascii="Arial" w:hAnsi="Arial" w:cs="Arial"/>
          <w:sz w:val="24"/>
          <w:szCs w:val="24"/>
        </w:rPr>
        <w:t>El Decreto 1470 de 2024</w:t>
      </w:r>
      <w:r w:rsidR="003E23A9" w:rsidRPr="00E00F13">
        <w:rPr>
          <w:rFonts w:ascii="Arial" w:hAnsi="Arial" w:cs="Arial"/>
          <w:sz w:val="24"/>
          <w:szCs w:val="24"/>
        </w:rPr>
        <w:t xml:space="preserve"> sobre el Programa Barrios de Paz</w:t>
      </w:r>
      <w:r w:rsidR="009E1555" w:rsidRPr="00E00F13">
        <w:rPr>
          <w:rFonts w:ascii="Arial" w:hAnsi="Arial" w:cs="Arial"/>
          <w:sz w:val="24"/>
          <w:szCs w:val="24"/>
        </w:rPr>
        <w:t xml:space="preserve"> —que desarrolla el artículo 298 de la Ley 2294 de 2023— es el ajuste más profundo que ha hecho el </w:t>
      </w:r>
      <w:r w:rsidR="003E23A9" w:rsidRPr="00E00F13">
        <w:rPr>
          <w:rFonts w:ascii="Arial" w:hAnsi="Arial" w:cs="Arial"/>
          <w:sz w:val="24"/>
          <w:szCs w:val="24"/>
        </w:rPr>
        <w:t>M</w:t>
      </w:r>
      <w:r w:rsidR="009E1555" w:rsidRPr="00E00F13">
        <w:rPr>
          <w:rFonts w:ascii="Arial" w:hAnsi="Arial" w:cs="Arial"/>
          <w:sz w:val="24"/>
          <w:szCs w:val="24"/>
        </w:rPr>
        <w:t>inisterio en este cambio de p</w:t>
      </w:r>
      <w:r w:rsidR="00D70CB7" w:rsidRPr="00E00F13">
        <w:rPr>
          <w:rFonts w:ascii="Arial" w:hAnsi="Arial" w:cs="Arial"/>
          <w:sz w:val="24"/>
          <w:szCs w:val="24"/>
        </w:rPr>
        <w:t>erspectiva.</w:t>
      </w:r>
      <w:r w:rsidR="009E1555" w:rsidRPr="00E00F13">
        <w:rPr>
          <w:rFonts w:ascii="Arial" w:hAnsi="Arial" w:cs="Arial"/>
          <w:sz w:val="24"/>
          <w:szCs w:val="24"/>
        </w:rPr>
        <w:t xml:space="preserve"> Constituye un instrumento explícito para financiar y gestionar intervenciones integrales de revitalización territorial en asentamientos </w:t>
      </w:r>
      <w:r w:rsidR="00D70CB7" w:rsidRPr="00E00F13">
        <w:rPr>
          <w:rFonts w:ascii="Arial" w:hAnsi="Arial" w:cs="Arial"/>
          <w:sz w:val="24"/>
          <w:szCs w:val="24"/>
        </w:rPr>
        <w:t xml:space="preserve">humanos de origen </w:t>
      </w:r>
      <w:r w:rsidR="009E1555" w:rsidRPr="00E00F13">
        <w:rPr>
          <w:rFonts w:ascii="Arial" w:hAnsi="Arial" w:cs="Arial"/>
          <w:sz w:val="24"/>
          <w:szCs w:val="24"/>
        </w:rPr>
        <w:t>informa</w:t>
      </w:r>
      <w:r w:rsidR="00D70CB7" w:rsidRPr="00E00F13">
        <w:rPr>
          <w:rFonts w:ascii="Arial" w:hAnsi="Arial" w:cs="Arial"/>
          <w:sz w:val="24"/>
          <w:szCs w:val="24"/>
        </w:rPr>
        <w:t>l</w:t>
      </w:r>
      <w:r w:rsidR="009E1555" w:rsidRPr="00E00F13">
        <w:rPr>
          <w:rFonts w:ascii="Arial" w:hAnsi="Arial" w:cs="Arial"/>
          <w:sz w:val="24"/>
          <w:szCs w:val="24"/>
        </w:rPr>
        <w:t xml:space="preserve"> </w:t>
      </w:r>
      <w:r w:rsidR="009E1555" w:rsidRPr="00E00F13">
        <w:rPr>
          <w:rFonts w:ascii="Arial" w:hAnsi="Arial" w:cs="Arial"/>
          <w:sz w:val="24"/>
          <w:szCs w:val="24"/>
        </w:rPr>
        <w:lastRenderedPageBreak/>
        <w:t>o con déficits de infraestructura, y estipula la participación, protagonismo y rol decisorio de comunidades organizadas en fases técnicas y administrativas de los proyectos. E</w:t>
      </w:r>
      <w:r w:rsidR="00183AB2" w:rsidRPr="00E00F13">
        <w:rPr>
          <w:rFonts w:ascii="Arial" w:hAnsi="Arial" w:cs="Arial"/>
          <w:sz w:val="24"/>
          <w:szCs w:val="24"/>
        </w:rPr>
        <w:t xml:space="preserve">l </w:t>
      </w:r>
      <w:r w:rsidR="003E23A9" w:rsidRPr="00E00F13">
        <w:rPr>
          <w:rFonts w:ascii="Arial" w:hAnsi="Arial" w:cs="Arial"/>
          <w:sz w:val="24"/>
          <w:szCs w:val="24"/>
        </w:rPr>
        <w:t>D</w:t>
      </w:r>
      <w:r w:rsidR="009E1555" w:rsidRPr="00E00F13">
        <w:rPr>
          <w:rFonts w:ascii="Arial" w:hAnsi="Arial" w:cs="Arial"/>
          <w:sz w:val="24"/>
          <w:szCs w:val="24"/>
        </w:rPr>
        <w:t xml:space="preserve">ecreto </w:t>
      </w:r>
      <w:r w:rsidR="003E23A9" w:rsidRPr="00E00F13">
        <w:rPr>
          <w:rFonts w:ascii="Arial" w:hAnsi="Arial" w:cs="Arial"/>
          <w:sz w:val="24"/>
          <w:szCs w:val="24"/>
        </w:rPr>
        <w:t xml:space="preserve">1470 </w:t>
      </w:r>
      <w:r w:rsidR="009E1555" w:rsidRPr="00E00F13">
        <w:rPr>
          <w:rFonts w:ascii="Arial" w:hAnsi="Arial" w:cs="Arial"/>
          <w:sz w:val="24"/>
          <w:szCs w:val="24"/>
        </w:rPr>
        <w:t xml:space="preserve">funciona como puente normativo que permite articular programas, financiación y gestión en </w:t>
      </w:r>
      <w:r w:rsidR="003E23A9" w:rsidRPr="00E00F13">
        <w:rPr>
          <w:rFonts w:ascii="Arial" w:hAnsi="Arial" w:cs="Arial"/>
          <w:sz w:val="24"/>
          <w:szCs w:val="24"/>
        </w:rPr>
        <w:t>conjunto</w:t>
      </w:r>
      <w:r w:rsidR="009E1555" w:rsidRPr="00E00F13">
        <w:rPr>
          <w:rFonts w:ascii="Arial" w:hAnsi="Arial" w:cs="Arial"/>
          <w:sz w:val="24"/>
          <w:szCs w:val="24"/>
        </w:rPr>
        <w:t xml:space="preserve"> con comunidades organizadas.</w:t>
      </w:r>
    </w:p>
    <w:p w14:paraId="2EACCA6F" w14:textId="618B3885" w:rsidR="004D1CE2" w:rsidRPr="00E00F13" w:rsidRDefault="004D1CE2" w:rsidP="003647A4">
      <w:pPr>
        <w:spacing w:after="0" w:line="360" w:lineRule="auto"/>
        <w:jc w:val="both"/>
        <w:rPr>
          <w:rFonts w:ascii="Arial" w:hAnsi="Arial" w:cs="Arial"/>
        </w:rPr>
      </w:pPr>
    </w:p>
    <w:p w14:paraId="3A055CD1" w14:textId="77777777" w:rsidR="004D1CE2" w:rsidRPr="00E00F13" w:rsidRDefault="004D1CE2" w:rsidP="00C676BA">
      <w:pPr>
        <w:pStyle w:val="Ttulo2"/>
        <w:rPr>
          <w:color w:val="auto"/>
          <w:lang w:val="es-ES_tradnl"/>
        </w:rPr>
      </w:pPr>
      <w:bookmarkStart w:id="15" w:name="_Toc234242766"/>
      <w:r w:rsidRPr="00E00F13">
        <w:rPr>
          <w:color w:val="auto"/>
          <w:lang w:val="es-ES_tradnl"/>
        </w:rPr>
        <w:t>El sentido político y programático del cambio de paradigma</w:t>
      </w:r>
      <w:bookmarkEnd w:id="15"/>
    </w:p>
    <w:p w14:paraId="2F18131E" w14:textId="538120AF" w:rsidR="004D1CE2" w:rsidRPr="00E00F13" w:rsidRDefault="00501EEB" w:rsidP="004D1CE2">
      <w:pPr>
        <w:pStyle w:val="paragraph"/>
        <w:spacing w:before="0" w:beforeAutospacing="0" w:after="360" w:afterAutospacing="0" w:line="360" w:lineRule="auto"/>
        <w:jc w:val="both"/>
        <w:rPr>
          <w:rFonts w:ascii="Arial" w:eastAsiaTheme="minorHAnsi" w:hAnsi="Arial" w:cs="Arial"/>
          <w:lang w:val="es-ES_tradnl" w:eastAsia="en-US"/>
        </w:rPr>
      </w:pPr>
      <w:r w:rsidRPr="00E00F13">
        <w:rPr>
          <w:rFonts w:ascii="Arial" w:hAnsi="Arial" w:cs="Arial"/>
          <w:lang w:val="es-ES_tradnl"/>
        </w:rPr>
        <w:t>El</w:t>
      </w:r>
      <w:r w:rsidR="004D1CE2" w:rsidRPr="00E00F13">
        <w:rPr>
          <w:rFonts w:ascii="Arial" w:hAnsi="Arial" w:cs="Arial"/>
          <w:lang w:val="es-ES_tradnl"/>
        </w:rPr>
        <w:t xml:space="preserve"> enfoque exclusivo en la adquisición de vivienda nueva no es suficiente para atender las necesidades de un territorio tan biodiverso como Colombia. Por lo que fue necesario diversificar las soluciones habitacionales, adaptándolas al contexto biodiverso del país.</w:t>
      </w:r>
    </w:p>
    <w:p w14:paraId="49A23FE3" w14:textId="1243215E" w:rsidR="004D1CE2" w:rsidRPr="00E00F13" w:rsidRDefault="00501EEB" w:rsidP="004D1CE2">
      <w:pPr>
        <w:spacing w:after="0" w:line="360" w:lineRule="auto"/>
        <w:jc w:val="both"/>
        <w:rPr>
          <w:rFonts w:ascii="Arial" w:hAnsi="Arial" w:cs="Arial"/>
          <w:sz w:val="24"/>
          <w:szCs w:val="24"/>
          <w:lang w:val="es-ES_tradnl"/>
        </w:rPr>
      </w:pPr>
      <w:r w:rsidRPr="00E00F13">
        <w:rPr>
          <w:rFonts w:ascii="Arial" w:hAnsi="Arial" w:cs="Arial"/>
          <w:sz w:val="24"/>
          <w:szCs w:val="24"/>
          <w:lang w:val="es-ES_tradnl"/>
        </w:rPr>
        <w:t>En este sentido, l</w:t>
      </w:r>
      <w:r w:rsidR="004D1CE2" w:rsidRPr="00E00F13">
        <w:rPr>
          <w:rFonts w:ascii="Arial" w:hAnsi="Arial" w:cs="Arial"/>
          <w:sz w:val="24"/>
          <w:szCs w:val="24"/>
          <w:lang w:val="es-ES_tradnl"/>
        </w:rPr>
        <w:t>a estrategia del mejoramiento de vivienda adoptada en esta gestión es una forma de reivindicar y reconocer las realidades de más de la mitad de la población colombiana. No se trata de poner límites, se trata de crear puentes. El mejoramiento de vivienda no debe ser visto como una solución menor, sino como un reconocimiento a las dinámicas de autogestión y autoconstrucción que caracterizan a gran parte del país. Por ello, no es solo una entrega o un antes y un después, sino el reconocimiento de que gran parte del país ha sido autogestionado y autoconstruido. En este cambio de estrategia, se hace un llamado a las entidades financieras para que faciliten el acceso a créditos destinados al mejoramiento de vivienda.</w:t>
      </w:r>
    </w:p>
    <w:p w14:paraId="7079C712" w14:textId="77777777" w:rsidR="004D1CE2" w:rsidRPr="00E00F13" w:rsidRDefault="004D1CE2" w:rsidP="004D1CE2">
      <w:pPr>
        <w:spacing w:after="0" w:line="360" w:lineRule="auto"/>
        <w:jc w:val="both"/>
        <w:rPr>
          <w:rFonts w:ascii="Arial" w:hAnsi="Arial" w:cs="Arial"/>
          <w:sz w:val="24"/>
          <w:szCs w:val="24"/>
          <w:lang w:val="es-ES_tradnl"/>
        </w:rPr>
      </w:pPr>
    </w:p>
    <w:p w14:paraId="57CC4751" w14:textId="45EC7978" w:rsidR="00501EEB" w:rsidRPr="00E00F13" w:rsidRDefault="00501EEB" w:rsidP="00501EEB">
      <w:pPr>
        <w:pStyle w:val="paragraph"/>
        <w:spacing w:before="0" w:beforeAutospacing="0" w:after="360" w:afterAutospacing="0" w:line="360" w:lineRule="auto"/>
        <w:jc w:val="both"/>
        <w:rPr>
          <w:rFonts w:ascii="Arial" w:eastAsiaTheme="minorHAnsi" w:hAnsi="Arial" w:cs="Arial"/>
          <w:lang w:val="es-ES_tradnl" w:eastAsia="en-US"/>
        </w:rPr>
      </w:pPr>
      <w:r w:rsidRPr="00E00F13">
        <w:rPr>
          <w:rFonts w:ascii="Arial" w:eastAsiaTheme="minorHAnsi" w:hAnsi="Arial" w:cs="Arial"/>
          <w:lang w:val="es-ES_tradnl" w:eastAsia="en-US"/>
        </w:rPr>
        <w:t xml:space="preserve">La política de vivienda en Colombia ha estado históricamente desconectada del ordenamiento territorial, lo que ha limitado su efectividad. El ordenamiento territorial, en este gobierno y en esta gestión del ministerio, se ha convertido en una prioridad, ya que es fundamental para garantizar una relación coherente entre los procesos de vivienda, agua potable y saneamiento, y las características del territorio. Es así </w:t>
      </w:r>
      <w:proofErr w:type="gramStart"/>
      <w:r w:rsidRPr="00E00F13">
        <w:rPr>
          <w:rFonts w:ascii="Arial" w:eastAsiaTheme="minorHAnsi" w:hAnsi="Arial" w:cs="Arial"/>
          <w:lang w:val="es-ES_tradnl" w:eastAsia="en-US"/>
        </w:rPr>
        <w:t>que</w:t>
      </w:r>
      <w:proofErr w:type="gramEnd"/>
      <w:r w:rsidRPr="00E00F13">
        <w:rPr>
          <w:rFonts w:ascii="Arial" w:eastAsiaTheme="minorHAnsi" w:hAnsi="Arial" w:cs="Arial"/>
          <w:lang w:val="es-ES_tradnl" w:eastAsia="en-US"/>
        </w:rPr>
        <w:t>, el primer cambio estratégico obedeció a que política de vivienda fuera más allá del enfoque individualista de programas como Mi Casa Ya, para centrarse en un concepto más amplio de hábitat biodiverso. Pasamos del m</w:t>
      </w:r>
      <w:r w:rsidR="00E00F13">
        <w:rPr>
          <w:rFonts w:ascii="Arial" w:eastAsiaTheme="minorHAnsi" w:hAnsi="Arial" w:cs="Arial"/>
          <w:lang w:val="es-ES_tradnl" w:eastAsia="en-US"/>
        </w:rPr>
        <w:t>í,</w:t>
      </w:r>
      <w:r w:rsidRPr="00E00F13">
        <w:rPr>
          <w:rFonts w:ascii="Arial" w:eastAsiaTheme="minorHAnsi" w:hAnsi="Arial" w:cs="Arial"/>
          <w:lang w:val="es-ES_tradnl" w:eastAsia="en-US"/>
        </w:rPr>
        <w:t xml:space="preserve"> al nuestro, algo que en Colombia es absolutamente necesario.</w:t>
      </w:r>
    </w:p>
    <w:p w14:paraId="0AD6F50E" w14:textId="7F6DD7DF" w:rsidR="004D1CE2" w:rsidRPr="00E00F13" w:rsidRDefault="004D1CE2" w:rsidP="004D1CE2">
      <w:pPr>
        <w:spacing w:after="0" w:line="360" w:lineRule="auto"/>
        <w:jc w:val="both"/>
        <w:rPr>
          <w:rFonts w:ascii="Arial" w:hAnsi="Arial" w:cs="Arial"/>
          <w:sz w:val="24"/>
          <w:szCs w:val="24"/>
          <w:lang w:val="es-ES_tradnl"/>
        </w:rPr>
      </w:pPr>
      <w:r w:rsidRPr="00E00F13">
        <w:rPr>
          <w:rFonts w:ascii="Arial" w:hAnsi="Arial" w:cs="Arial"/>
          <w:sz w:val="24"/>
          <w:szCs w:val="24"/>
          <w:lang w:val="es-ES_tradnl"/>
        </w:rPr>
        <w:lastRenderedPageBreak/>
        <w:t xml:space="preserve">En el contexto de las nuevas estrategias, el gobierno del cambio ha apoyado a hogares en condición de pobreza y vulnerabilidad para adquirir vivienda. Se trata, a 2025, de 1.902 familias ubicadas en 46 municipios del país que se encontraban en la fase de preasignación para obtener el subsidio familiar de vivienda. Del total de beneficiados, 1.629 hogares, el 86%, están clasificados en los grupos A, B y C del </w:t>
      </w:r>
      <w:proofErr w:type="spellStart"/>
      <w:r w:rsidRPr="00E00F13">
        <w:rPr>
          <w:rFonts w:ascii="Arial" w:hAnsi="Arial" w:cs="Arial"/>
          <w:sz w:val="24"/>
          <w:szCs w:val="24"/>
          <w:lang w:val="es-ES_tradnl"/>
        </w:rPr>
        <w:t>Sisben</w:t>
      </w:r>
      <w:proofErr w:type="spellEnd"/>
      <w:r w:rsidRPr="00E00F13">
        <w:rPr>
          <w:rFonts w:ascii="Arial" w:hAnsi="Arial" w:cs="Arial"/>
          <w:sz w:val="24"/>
          <w:szCs w:val="24"/>
          <w:lang w:val="es-ES_tradnl"/>
        </w:rPr>
        <w:t xml:space="preserve"> IV, en condiciones de pobreza extrema, pobreza moderada y vulnerabilidad (MVCT, 2025). Mediante la Resolución 101 del 19 de febrero de 2024, el Fondo Nacional de Vivienda (Fonvivienda) adoptó el Esquema de Preasignación de Subsidios, con el objetivo de promover que los hogares en condiciones de pobreza y vulnerabilidad iniciaran una ruta de ahorro, que se complementa con el crédito y el subsidio, para adquirir una Vivienda nueva de Interés Prioritario (VIP). </w:t>
      </w:r>
    </w:p>
    <w:p w14:paraId="7383C2C5" w14:textId="77777777" w:rsidR="004D1CE2" w:rsidRPr="00E00F13" w:rsidRDefault="004D1CE2" w:rsidP="004D1CE2">
      <w:pPr>
        <w:pStyle w:val="Prrafodelista"/>
        <w:rPr>
          <w:rFonts w:ascii="Arial" w:hAnsi="Arial" w:cs="Arial"/>
          <w:sz w:val="24"/>
          <w:szCs w:val="24"/>
          <w:lang w:val="es-ES_tradnl"/>
        </w:rPr>
      </w:pPr>
    </w:p>
    <w:p w14:paraId="20D3F19C" w14:textId="77777777" w:rsidR="004D1CE2" w:rsidRPr="00E00F13" w:rsidRDefault="004D1CE2" w:rsidP="004D1CE2">
      <w:pPr>
        <w:spacing w:after="0" w:line="360" w:lineRule="auto"/>
        <w:jc w:val="both"/>
        <w:rPr>
          <w:rFonts w:ascii="Arial" w:hAnsi="Arial" w:cs="Arial"/>
          <w:sz w:val="24"/>
          <w:szCs w:val="24"/>
          <w:lang w:val="es-ES_tradnl"/>
        </w:rPr>
      </w:pPr>
      <w:r w:rsidRPr="00E00F13">
        <w:rPr>
          <w:rFonts w:ascii="Arial" w:hAnsi="Arial" w:cs="Arial"/>
          <w:sz w:val="24"/>
          <w:szCs w:val="24"/>
          <w:lang w:val="es-ES_tradnl"/>
        </w:rPr>
        <w:t>En este contexto, honrando el compromiso con los hogares que se encontraban en estado de preasignación, el Fondo expidió la Resolución 107 del 9 de abril de 2025, a través de la cual se otorgaron mil novecientos dos (1.902) subsidios familiares para la adquisición de vivienda nueva a hogares preasignados vinculados a proyectos de Vivienda de Interés Prioritario (VIP).</w:t>
      </w:r>
    </w:p>
    <w:p w14:paraId="46237D90" w14:textId="77777777" w:rsidR="004D1CE2" w:rsidRPr="00E00F13" w:rsidRDefault="004D1CE2" w:rsidP="004D1CE2">
      <w:pPr>
        <w:spacing w:after="0" w:line="360" w:lineRule="auto"/>
        <w:jc w:val="both"/>
        <w:rPr>
          <w:rFonts w:ascii="Arial" w:hAnsi="Arial" w:cs="Arial"/>
          <w:sz w:val="24"/>
          <w:szCs w:val="24"/>
          <w:lang w:val="es-ES_tradnl"/>
        </w:rPr>
      </w:pPr>
    </w:p>
    <w:p w14:paraId="7DE8B2AD" w14:textId="63A182CA" w:rsidR="004D1CE2" w:rsidRPr="00E00F13" w:rsidRDefault="004D1CE2" w:rsidP="004D1CE2">
      <w:pPr>
        <w:spacing w:after="0" w:line="360" w:lineRule="auto"/>
        <w:jc w:val="both"/>
        <w:rPr>
          <w:rFonts w:ascii="Arial" w:hAnsi="Arial" w:cs="Arial"/>
          <w:sz w:val="24"/>
          <w:szCs w:val="24"/>
          <w:lang w:val="es-ES_tradnl"/>
        </w:rPr>
      </w:pPr>
      <w:r w:rsidRPr="00E00F13">
        <w:rPr>
          <w:rFonts w:ascii="Arial" w:hAnsi="Arial" w:cs="Arial"/>
          <w:sz w:val="24"/>
          <w:szCs w:val="24"/>
          <w:lang w:val="es-ES_tradnl"/>
        </w:rPr>
        <w:t>Del total de estos subsidios, 1.015 (53,0 %) se asignaron en municipios de categorías 3, 4, 5 y 6 y 228 (12,0%) a hogares en los que al menos uno de sus integrantes es víctima del conflicto armado. El subsidio se asigna cuando el avance de obra alcanza el 70 %, lo que implica una pronta escrituración y entrega de la vivienda a su propietario.</w:t>
      </w:r>
    </w:p>
    <w:p w14:paraId="3933BF32" w14:textId="77777777" w:rsidR="00E85F96" w:rsidRPr="00E00F13" w:rsidRDefault="00E85F96" w:rsidP="00E85F96">
      <w:pPr>
        <w:spacing w:after="0" w:line="360" w:lineRule="auto"/>
        <w:jc w:val="both"/>
        <w:rPr>
          <w:rFonts w:ascii="Arial" w:hAnsi="Arial" w:cs="Arial"/>
          <w:sz w:val="24"/>
          <w:szCs w:val="24"/>
          <w:lang w:val="es-ES_tradnl"/>
        </w:rPr>
      </w:pPr>
    </w:p>
    <w:p w14:paraId="2DCEB671" w14:textId="4F98EFC9" w:rsidR="00E85F96" w:rsidRPr="00E00F13" w:rsidRDefault="00E85F96" w:rsidP="00E85F96">
      <w:pPr>
        <w:spacing w:after="0" w:line="360" w:lineRule="auto"/>
        <w:jc w:val="both"/>
        <w:rPr>
          <w:rFonts w:ascii="Arial" w:hAnsi="Arial" w:cs="Arial"/>
          <w:sz w:val="24"/>
          <w:szCs w:val="24"/>
          <w:lang w:val="es-ES_tradnl"/>
        </w:rPr>
      </w:pPr>
      <w:r w:rsidRPr="00E00F13">
        <w:rPr>
          <w:rFonts w:ascii="Arial" w:hAnsi="Arial" w:cs="Arial"/>
          <w:sz w:val="24"/>
          <w:szCs w:val="24"/>
          <w:lang w:val="es-ES_tradnl"/>
        </w:rPr>
        <w:t>Como parte de toda la política de Nuestro Hábitat Biodiverso que cambia de forma estructural el enfoque de vivienda en Colombia, en los primeros tres años del gobierno se han invertido más de $8.9 billones en las diferentes modalidades de soluciones habitacionales. La vivienda rural y campesina ha tenido un crecimiento nunca visto en el país.</w:t>
      </w:r>
    </w:p>
    <w:p w14:paraId="3F774E46" w14:textId="77777777" w:rsidR="00E85F96" w:rsidRPr="00E00F13" w:rsidRDefault="00E85F96" w:rsidP="004D1CE2">
      <w:pPr>
        <w:spacing w:after="0" w:line="360" w:lineRule="auto"/>
        <w:jc w:val="both"/>
        <w:rPr>
          <w:rFonts w:ascii="Arial" w:hAnsi="Arial" w:cs="Arial"/>
          <w:sz w:val="24"/>
          <w:szCs w:val="24"/>
          <w:lang w:val="es-ES_tradnl"/>
        </w:rPr>
      </w:pPr>
    </w:p>
    <w:p w14:paraId="362AEC20" w14:textId="299959E3" w:rsidR="004D1CE2" w:rsidRPr="00E00F13" w:rsidRDefault="004D1CE2" w:rsidP="004D1CE2">
      <w:pPr>
        <w:spacing w:after="0" w:line="360" w:lineRule="auto"/>
        <w:jc w:val="both"/>
        <w:rPr>
          <w:rFonts w:ascii="Arial" w:hAnsi="Arial" w:cs="Arial"/>
          <w:sz w:val="24"/>
          <w:szCs w:val="24"/>
          <w:lang w:val="es-ES_tradnl"/>
        </w:rPr>
      </w:pPr>
      <w:r w:rsidRPr="00E00F13">
        <w:rPr>
          <w:rFonts w:ascii="Arial" w:hAnsi="Arial" w:cs="Arial"/>
          <w:sz w:val="24"/>
          <w:szCs w:val="24"/>
          <w:lang w:val="es-ES_tradnl"/>
        </w:rPr>
        <w:lastRenderedPageBreak/>
        <w:t>La política de Nuestro Hábitat Biodiverso de esta gestión contribuye al cierre de brechas socioeconómicas y a reducir el déficit habitacional a través de una gama de soluciones que incluyen el programa de adquisición de vivienda nueva para disminuir el déficit cuantitativo y los programas de Mejoramiento de vivienda y Barrios y Veredas de paz, para disminuir el déficit cualitativo. Esta gestión logra el objetivo de llegar a los más pobres promoviendo el ahorro de estos 1.902 hogares, dando así un paso más en el cierre de brechas.</w:t>
      </w:r>
    </w:p>
    <w:p w14:paraId="3B578A4F" w14:textId="77777777" w:rsidR="00C676BA" w:rsidRPr="00E00F13" w:rsidRDefault="00C676BA" w:rsidP="00C676BA">
      <w:pPr>
        <w:spacing w:after="0" w:line="276" w:lineRule="auto"/>
        <w:jc w:val="both"/>
        <w:rPr>
          <w:rFonts w:ascii="Aptos" w:eastAsia="Aptos" w:hAnsi="Aptos"/>
          <w:b/>
          <w:bCs/>
        </w:rPr>
      </w:pPr>
    </w:p>
    <w:p w14:paraId="164D6D97" w14:textId="71400A6F" w:rsidR="00C676BA" w:rsidRPr="00E00F13" w:rsidRDefault="00C676BA" w:rsidP="00C676BA">
      <w:pPr>
        <w:pStyle w:val="Ttulo2"/>
        <w:rPr>
          <w:color w:val="auto"/>
        </w:rPr>
      </w:pPr>
      <w:bookmarkStart w:id="16" w:name="_Toc234242767"/>
      <w:r w:rsidRPr="00E00F13">
        <w:rPr>
          <w:color w:val="auto"/>
        </w:rPr>
        <w:t>Un propósito fundamental desde el gobierno progresista: desligar el derecho a la vivienda de una economía de mercado</w:t>
      </w:r>
      <w:bookmarkEnd w:id="16"/>
    </w:p>
    <w:p w14:paraId="347F897E" w14:textId="435DDA4B" w:rsidR="00C676BA" w:rsidRPr="00E00F13" w:rsidRDefault="00C676BA" w:rsidP="00C676BA">
      <w:pPr>
        <w:spacing w:after="0" w:line="276" w:lineRule="auto"/>
        <w:jc w:val="both"/>
        <w:rPr>
          <w:rFonts w:ascii="Arial" w:eastAsia="Aptos" w:hAnsi="Arial" w:cs="Arial"/>
          <w:sz w:val="24"/>
          <w:szCs w:val="24"/>
        </w:rPr>
      </w:pPr>
      <w:r w:rsidRPr="00E00F13">
        <w:rPr>
          <w:rFonts w:ascii="Arial" w:eastAsia="Aptos" w:hAnsi="Arial" w:cs="Arial"/>
          <w:sz w:val="24"/>
          <w:szCs w:val="24"/>
        </w:rPr>
        <w:t>En el marco de un gobierno progresista, este Ministerio se propuso reconocer que las alternativas habitacionales y las formas de generar soluciones de vivienda deben convertirse en un mecanismo que permita generar sostenibilidad en los procesos de generación de suelo y de construcción de vivienda</w:t>
      </w:r>
      <w:r w:rsidR="001C4C53" w:rsidRPr="00E00F13">
        <w:rPr>
          <w:rFonts w:ascii="Arial" w:eastAsia="Aptos" w:hAnsi="Arial" w:cs="Arial"/>
          <w:sz w:val="24"/>
          <w:szCs w:val="24"/>
        </w:rPr>
        <w:t xml:space="preserve"> (MVCT, </w:t>
      </w:r>
      <w:proofErr w:type="spellStart"/>
      <w:r w:rsidR="001C4C53" w:rsidRPr="00E00F13">
        <w:rPr>
          <w:rFonts w:ascii="Arial" w:eastAsia="Aptos" w:hAnsi="Arial" w:cs="Arial"/>
          <w:sz w:val="24"/>
          <w:szCs w:val="24"/>
        </w:rPr>
        <w:t>s.f</w:t>
      </w:r>
      <w:proofErr w:type="spellEnd"/>
      <w:r w:rsidR="001C4C53" w:rsidRPr="00E00F13">
        <w:rPr>
          <w:rFonts w:ascii="Arial" w:eastAsia="Aptos" w:hAnsi="Arial" w:cs="Arial"/>
          <w:sz w:val="24"/>
          <w:szCs w:val="24"/>
        </w:rPr>
        <w:t>)</w:t>
      </w:r>
      <w:r w:rsidRPr="00E00F13">
        <w:rPr>
          <w:rFonts w:ascii="Arial" w:eastAsia="Aptos" w:hAnsi="Arial" w:cs="Arial"/>
          <w:sz w:val="24"/>
          <w:szCs w:val="24"/>
        </w:rPr>
        <w:t xml:space="preserve">. </w:t>
      </w:r>
    </w:p>
    <w:p w14:paraId="1BCA7141" w14:textId="77777777" w:rsidR="00C676BA" w:rsidRPr="00E00F13" w:rsidRDefault="00C676BA" w:rsidP="00C676BA">
      <w:pPr>
        <w:spacing w:after="0" w:line="276" w:lineRule="auto"/>
        <w:jc w:val="both"/>
        <w:rPr>
          <w:rFonts w:ascii="Arial" w:eastAsia="Aptos" w:hAnsi="Arial" w:cs="Arial"/>
          <w:sz w:val="24"/>
          <w:szCs w:val="24"/>
        </w:rPr>
      </w:pPr>
    </w:p>
    <w:p w14:paraId="40679338" w14:textId="77777777" w:rsidR="00C676BA" w:rsidRPr="00E00F13" w:rsidRDefault="00C676BA" w:rsidP="00C676BA">
      <w:pPr>
        <w:spacing w:after="0" w:line="276" w:lineRule="auto"/>
        <w:jc w:val="both"/>
        <w:rPr>
          <w:rFonts w:ascii="Arial" w:eastAsia="Aptos" w:hAnsi="Arial" w:cs="Arial"/>
          <w:sz w:val="24"/>
          <w:szCs w:val="24"/>
        </w:rPr>
      </w:pPr>
      <w:r w:rsidRPr="00E00F13">
        <w:rPr>
          <w:rFonts w:ascii="Arial" w:eastAsia="Aptos" w:hAnsi="Arial" w:cs="Arial"/>
          <w:sz w:val="24"/>
          <w:szCs w:val="24"/>
        </w:rPr>
        <w:t>El cambio es claro: la vivienda es un medio, no el resultado final. Lo que se busca es que la vivienda sea un vehículo para:</w:t>
      </w:r>
    </w:p>
    <w:p w14:paraId="6087A58E" w14:textId="77777777" w:rsidR="00C676BA" w:rsidRPr="00E00F13" w:rsidRDefault="00C676BA">
      <w:pPr>
        <w:numPr>
          <w:ilvl w:val="0"/>
          <w:numId w:val="58"/>
        </w:numPr>
        <w:spacing w:after="0" w:line="276" w:lineRule="auto"/>
        <w:jc w:val="both"/>
        <w:rPr>
          <w:rFonts w:ascii="Arial" w:eastAsia="Aptos" w:hAnsi="Arial" w:cs="Arial"/>
          <w:sz w:val="24"/>
          <w:szCs w:val="24"/>
        </w:rPr>
      </w:pPr>
      <w:r w:rsidRPr="00E00F13">
        <w:rPr>
          <w:rFonts w:ascii="Arial" w:eastAsia="Aptos" w:hAnsi="Arial" w:cs="Arial"/>
          <w:i/>
          <w:iCs/>
          <w:sz w:val="24"/>
          <w:szCs w:val="24"/>
        </w:rPr>
        <w:t>Construir</w:t>
      </w:r>
      <w:r w:rsidRPr="00E00F13">
        <w:rPr>
          <w:rFonts w:ascii="Arial" w:eastAsia="Aptos" w:hAnsi="Arial" w:cs="Arial"/>
          <w:sz w:val="24"/>
          <w:szCs w:val="24"/>
        </w:rPr>
        <w:t xml:space="preserve"> un hábitat digno y sostenible.</w:t>
      </w:r>
    </w:p>
    <w:p w14:paraId="4EE72D19" w14:textId="77777777" w:rsidR="00C676BA" w:rsidRPr="00E00F13" w:rsidRDefault="00C676BA">
      <w:pPr>
        <w:numPr>
          <w:ilvl w:val="0"/>
          <w:numId w:val="58"/>
        </w:numPr>
        <w:spacing w:after="0" w:line="276" w:lineRule="auto"/>
        <w:jc w:val="both"/>
        <w:rPr>
          <w:rFonts w:ascii="Arial" w:eastAsia="Aptos" w:hAnsi="Arial" w:cs="Arial"/>
          <w:sz w:val="24"/>
          <w:szCs w:val="24"/>
        </w:rPr>
      </w:pPr>
      <w:r w:rsidRPr="00E00F13">
        <w:rPr>
          <w:rFonts w:ascii="Arial" w:eastAsia="Aptos" w:hAnsi="Arial" w:cs="Arial"/>
          <w:i/>
          <w:iCs/>
          <w:sz w:val="24"/>
          <w:szCs w:val="24"/>
        </w:rPr>
        <w:t>Fortalecer</w:t>
      </w:r>
      <w:r w:rsidRPr="00E00F13">
        <w:rPr>
          <w:rFonts w:ascii="Arial" w:eastAsia="Aptos" w:hAnsi="Arial" w:cs="Arial"/>
          <w:sz w:val="24"/>
          <w:szCs w:val="24"/>
        </w:rPr>
        <w:t xml:space="preserve"> organizaciones sociales de base.</w:t>
      </w:r>
    </w:p>
    <w:p w14:paraId="15BA033B" w14:textId="77777777" w:rsidR="00C676BA" w:rsidRPr="00E00F13" w:rsidRDefault="00C676BA">
      <w:pPr>
        <w:numPr>
          <w:ilvl w:val="0"/>
          <w:numId w:val="58"/>
        </w:numPr>
        <w:spacing w:after="0" w:line="276" w:lineRule="auto"/>
        <w:jc w:val="both"/>
        <w:rPr>
          <w:rFonts w:ascii="Arial" w:eastAsia="Aptos" w:hAnsi="Arial" w:cs="Arial"/>
          <w:sz w:val="24"/>
          <w:szCs w:val="24"/>
        </w:rPr>
      </w:pPr>
      <w:r w:rsidRPr="00E00F13">
        <w:rPr>
          <w:rFonts w:ascii="Arial" w:eastAsia="Aptos" w:hAnsi="Arial" w:cs="Arial"/>
          <w:i/>
          <w:iCs/>
          <w:sz w:val="24"/>
          <w:szCs w:val="24"/>
        </w:rPr>
        <w:t>Generar mayor</w:t>
      </w:r>
      <w:r w:rsidRPr="00E00F13">
        <w:rPr>
          <w:rFonts w:ascii="Arial" w:eastAsia="Aptos" w:hAnsi="Arial" w:cs="Arial"/>
          <w:sz w:val="24"/>
          <w:szCs w:val="24"/>
        </w:rPr>
        <w:t xml:space="preserve"> apropiación social sobre el territorio donde se construyen las viviendas.</w:t>
      </w:r>
    </w:p>
    <w:p w14:paraId="1C1ABE89" w14:textId="77777777" w:rsidR="00C676BA" w:rsidRPr="00E00F13" w:rsidRDefault="00C676BA">
      <w:pPr>
        <w:numPr>
          <w:ilvl w:val="0"/>
          <w:numId w:val="58"/>
        </w:numPr>
        <w:spacing w:after="0" w:line="276" w:lineRule="auto"/>
        <w:jc w:val="both"/>
        <w:rPr>
          <w:rFonts w:ascii="Arial" w:eastAsia="Aptos" w:hAnsi="Arial" w:cs="Arial"/>
          <w:sz w:val="24"/>
          <w:szCs w:val="24"/>
        </w:rPr>
      </w:pPr>
      <w:r w:rsidRPr="00E00F13">
        <w:rPr>
          <w:rFonts w:ascii="Arial" w:eastAsia="Aptos" w:hAnsi="Arial" w:cs="Arial"/>
          <w:i/>
          <w:iCs/>
          <w:sz w:val="24"/>
          <w:szCs w:val="24"/>
        </w:rPr>
        <w:t>Garantizar</w:t>
      </w:r>
      <w:r w:rsidRPr="00E00F13">
        <w:rPr>
          <w:rFonts w:ascii="Arial" w:eastAsia="Aptos" w:hAnsi="Arial" w:cs="Arial"/>
          <w:sz w:val="24"/>
          <w:szCs w:val="24"/>
        </w:rPr>
        <w:t xml:space="preserve"> la sostenibilidad de los procesos en el tiempo.</w:t>
      </w:r>
    </w:p>
    <w:p w14:paraId="490C47EA" w14:textId="77777777" w:rsidR="00C676BA" w:rsidRPr="00E00F13" w:rsidRDefault="00C676BA" w:rsidP="00C676BA">
      <w:pPr>
        <w:spacing w:after="0" w:line="276" w:lineRule="auto"/>
        <w:jc w:val="both"/>
        <w:rPr>
          <w:rFonts w:ascii="Arial" w:eastAsia="Aptos" w:hAnsi="Arial" w:cs="Arial"/>
          <w:sz w:val="24"/>
          <w:szCs w:val="24"/>
        </w:rPr>
      </w:pPr>
    </w:p>
    <w:p w14:paraId="659EC08A" w14:textId="4379F79C" w:rsidR="00C676BA" w:rsidRPr="00E00F13" w:rsidRDefault="00C676BA" w:rsidP="00D85404">
      <w:pPr>
        <w:spacing w:after="0" w:line="360" w:lineRule="auto"/>
        <w:jc w:val="both"/>
        <w:rPr>
          <w:rFonts w:ascii="Arial" w:eastAsia="Aptos" w:hAnsi="Arial" w:cs="Arial"/>
          <w:sz w:val="24"/>
          <w:szCs w:val="24"/>
        </w:rPr>
      </w:pPr>
      <w:r w:rsidRPr="00E00F13">
        <w:rPr>
          <w:rFonts w:ascii="Arial" w:eastAsia="Aptos" w:hAnsi="Arial" w:cs="Arial"/>
          <w:sz w:val="24"/>
          <w:szCs w:val="24"/>
        </w:rPr>
        <w:t xml:space="preserve">Cuando la vivienda se entiende así, las familias reconocen el esfuerzo del Estado y comprenden que la solución habitacional es un </w:t>
      </w:r>
      <w:r w:rsidRPr="00E00F13">
        <w:rPr>
          <w:rFonts w:ascii="Arial" w:eastAsia="Aptos" w:hAnsi="Arial" w:cs="Arial"/>
          <w:b/>
          <w:bCs/>
          <w:sz w:val="24"/>
          <w:szCs w:val="24"/>
        </w:rPr>
        <w:t>derecho consagrado en la Constitución</w:t>
      </w:r>
      <w:r w:rsidRPr="00E00F13">
        <w:rPr>
          <w:rFonts w:ascii="Arial" w:eastAsia="Aptos" w:hAnsi="Arial" w:cs="Arial"/>
          <w:sz w:val="24"/>
          <w:szCs w:val="24"/>
        </w:rPr>
        <w:t>, no un favor político. El Decreto 0585 del 28 de mayo de 2025 tiene un propósito fundamental: hacer realidad ese reconocimiento</w:t>
      </w:r>
      <w:r w:rsidR="001C4C53" w:rsidRPr="00E00F13">
        <w:rPr>
          <w:rFonts w:ascii="Arial" w:eastAsia="Aptos" w:hAnsi="Arial" w:cs="Arial"/>
          <w:sz w:val="24"/>
          <w:szCs w:val="24"/>
        </w:rPr>
        <w:t xml:space="preserve"> (MVCT, </w:t>
      </w:r>
      <w:proofErr w:type="spellStart"/>
      <w:r w:rsidR="001C4C53" w:rsidRPr="00E00F13">
        <w:rPr>
          <w:rFonts w:ascii="Arial" w:eastAsia="Aptos" w:hAnsi="Arial" w:cs="Arial"/>
          <w:sz w:val="24"/>
          <w:szCs w:val="24"/>
        </w:rPr>
        <w:t>s.f</w:t>
      </w:r>
      <w:proofErr w:type="spellEnd"/>
      <w:r w:rsidR="001C4C53" w:rsidRPr="00E00F13">
        <w:rPr>
          <w:rFonts w:ascii="Arial" w:eastAsia="Aptos" w:hAnsi="Arial" w:cs="Arial"/>
          <w:sz w:val="24"/>
          <w:szCs w:val="24"/>
        </w:rPr>
        <w:t>).</w:t>
      </w:r>
    </w:p>
    <w:p w14:paraId="2500D8E6" w14:textId="77777777" w:rsidR="001C4C53" w:rsidRPr="00E00F13" w:rsidRDefault="001C4C53" w:rsidP="00C676BA">
      <w:pPr>
        <w:spacing w:after="0" w:line="276" w:lineRule="auto"/>
        <w:jc w:val="both"/>
        <w:rPr>
          <w:rFonts w:ascii="Arial" w:eastAsia="Aptos" w:hAnsi="Arial" w:cs="Arial"/>
          <w:sz w:val="24"/>
          <w:szCs w:val="24"/>
        </w:rPr>
      </w:pPr>
    </w:p>
    <w:p w14:paraId="3D9D8C0E" w14:textId="77777777" w:rsidR="00170E1B" w:rsidRPr="00E00F13" w:rsidRDefault="00EE1C32" w:rsidP="00D85404">
      <w:pPr>
        <w:spacing w:after="0" w:line="360" w:lineRule="auto"/>
        <w:jc w:val="both"/>
        <w:rPr>
          <w:rFonts w:ascii="Arial" w:eastAsia="Aptos" w:hAnsi="Arial" w:cs="Arial"/>
          <w:sz w:val="24"/>
          <w:szCs w:val="24"/>
        </w:rPr>
      </w:pPr>
      <w:r w:rsidRPr="00E00F13">
        <w:rPr>
          <w:rFonts w:ascii="Arial" w:eastAsia="Aptos" w:hAnsi="Arial" w:cs="Arial"/>
          <w:sz w:val="24"/>
          <w:szCs w:val="24"/>
        </w:rPr>
        <w:t xml:space="preserve">En 2022 encontramos un ministerio destinado a ser pagador de subsidios a través de un programa llamado Mi Casa Ya, que, además, para pagar el subsidio, exigía el cierre financiero por medio de entidades crediticias. Gran parte de las personas que necesitan vivienda no tienen acceso al crédito. La banca comercial no podría entregar créditos a estas personas que no tienen historial crediticio ni forma de pagarlo. Por ese modelo volcado al mercado, hoy le apostamos a otro segmento de la población a la que no estaban llegando los recursos ni los programas. Un </w:t>
      </w:r>
      <w:r w:rsidRPr="00E00F13">
        <w:rPr>
          <w:rFonts w:ascii="Arial" w:eastAsia="Aptos" w:hAnsi="Arial" w:cs="Arial"/>
          <w:sz w:val="24"/>
          <w:szCs w:val="24"/>
        </w:rPr>
        <w:lastRenderedPageBreak/>
        <w:t>segmento importante de la población quedaba, así, por fuera de toda posibilidad de contar con una vivienda digna, como lo mandata la Constitución Política de Colombia. Entre ellos, las víctimas del conflicto armado en Colombia</w:t>
      </w:r>
      <w:r w:rsidR="00170E1B" w:rsidRPr="00E00F13">
        <w:rPr>
          <w:rFonts w:ascii="Arial" w:eastAsia="Aptos" w:hAnsi="Arial" w:cs="Arial"/>
          <w:sz w:val="24"/>
          <w:szCs w:val="24"/>
        </w:rPr>
        <w:t xml:space="preserve">. </w:t>
      </w:r>
    </w:p>
    <w:p w14:paraId="4996CE6E" w14:textId="77777777" w:rsidR="00170E1B" w:rsidRPr="00E00F13" w:rsidRDefault="00170E1B" w:rsidP="00D85404">
      <w:pPr>
        <w:spacing w:after="0" w:line="360" w:lineRule="auto"/>
        <w:jc w:val="both"/>
        <w:rPr>
          <w:rFonts w:ascii="Arial" w:eastAsia="Aptos" w:hAnsi="Arial" w:cs="Arial"/>
          <w:sz w:val="24"/>
          <w:szCs w:val="24"/>
        </w:rPr>
      </w:pPr>
    </w:p>
    <w:p w14:paraId="5141153E" w14:textId="3964AC2A" w:rsidR="001C4C53" w:rsidRPr="00E00F13" w:rsidRDefault="00170E1B" w:rsidP="00D85404">
      <w:pPr>
        <w:spacing w:after="0" w:line="360" w:lineRule="auto"/>
        <w:jc w:val="both"/>
        <w:rPr>
          <w:rFonts w:ascii="Arial" w:eastAsia="Aptos" w:hAnsi="Arial" w:cs="Arial"/>
          <w:sz w:val="24"/>
          <w:szCs w:val="24"/>
        </w:rPr>
      </w:pPr>
      <w:r w:rsidRPr="00E00F13">
        <w:rPr>
          <w:rFonts w:ascii="Arial" w:eastAsia="Aptos" w:hAnsi="Arial" w:cs="Arial"/>
          <w:sz w:val="24"/>
          <w:szCs w:val="24"/>
        </w:rPr>
        <w:t xml:space="preserve">Dentro de los cambios más importantes de esta gestión de 2022-2026 es el programa de autogestión, que requiere a una comunidad organizada. Por eso, el futuro de la vivienda en Colombia requiere que la comunidad esté organizada, para continuar permitiendo los cambios estructurales en la forma de </w:t>
      </w:r>
      <w:r w:rsidR="00894A24" w:rsidRPr="00E00F13">
        <w:rPr>
          <w:rFonts w:ascii="Arial" w:eastAsia="Aptos" w:hAnsi="Arial" w:cs="Arial"/>
          <w:sz w:val="24"/>
          <w:szCs w:val="24"/>
        </w:rPr>
        <w:t>implementar</w:t>
      </w:r>
      <w:r w:rsidRPr="00E00F13">
        <w:rPr>
          <w:rFonts w:ascii="Arial" w:eastAsia="Aptos" w:hAnsi="Arial" w:cs="Arial"/>
          <w:sz w:val="24"/>
          <w:szCs w:val="24"/>
        </w:rPr>
        <w:t xml:space="preserve"> la política de vivienda y agua apta para el consumo humano en Colombia, de tal </w:t>
      </w:r>
      <w:r w:rsidR="00894A24" w:rsidRPr="00E00F13">
        <w:rPr>
          <w:rFonts w:ascii="Arial" w:eastAsia="Aptos" w:hAnsi="Arial" w:cs="Arial"/>
          <w:sz w:val="24"/>
          <w:szCs w:val="24"/>
        </w:rPr>
        <w:t>manera</w:t>
      </w:r>
      <w:r w:rsidRPr="00E00F13">
        <w:rPr>
          <w:rFonts w:ascii="Arial" w:eastAsia="Aptos" w:hAnsi="Arial" w:cs="Arial"/>
          <w:sz w:val="24"/>
          <w:szCs w:val="24"/>
        </w:rPr>
        <w:t xml:space="preserve"> que no se pierdan los avances logrados en este periodo.</w:t>
      </w:r>
    </w:p>
    <w:p w14:paraId="4BC9C95C" w14:textId="4AB994EA" w:rsidR="004D1CE2" w:rsidRPr="00E00F13" w:rsidRDefault="004D1CE2" w:rsidP="00D85404">
      <w:pPr>
        <w:spacing w:after="0" w:line="360" w:lineRule="auto"/>
        <w:jc w:val="both"/>
        <w:rPr>
          <w:rFonts w:ascii="Arial" w:hAnsi="Arial" w:cs="Arial"/>
          <w:lang w:val="es-ES_tradnl"/>
        </w:rPr>
      </w:pPr>
    </w:p>
    <w:p w14:paraId="04F27559" w14:textId="727960A3" w:rsidR="00D85404" w:rsidRPr="00E00F13" w:rsidRDefault="00D85404" w:rsidP="00D85404">
      <w:pPr>
        <w:spacing w:after="0" w:line="360" w:lineRule="auto"/>
        <w:jc w:val="both"/>
        <w:rPr>
          <w:rFonts w:ascii="Arial" w:hAnsi="Arial" w:cs="Arial"/>
          <w:lang w:val="es-ES_tradnl"/>
        </w:rPr>
      </w:pPr>
      <w:r w:rsidRPr="00E00F13">
        <w:rPr>
          <w:rFonts w:ascii="Arial" w:hAnsi="Arial" w:cs="Arial"/>
          <w:lang w:val="es-ES_tradnl"/>
        </w:rPr>
        <w:t>No se trata de solo recibir la casa, sino de ser parte del proyecto para que mi casa sea una realidad. Eso genera apropiación y sentido de propiedad. Esperamos que las comunidades continúen su proceso organizativo para que sean parte de esta visión. Este es el verdadero cambio.</w:t>
      </w:r>
    </w:p>
    <w:p w14:paraId="4C4452AD" w14:textId="303B2393" w:rsidR="00B2408C" w:rsidRPr="00E00F13" w:rsidRDefault="00B2408C" w:rsidP="00C676BA">
      <w:pPr>
        <w:pStyle w:val="Ttulo2"/>
        <w:rPr>
          <w:color w:val="auto"/>
        </w:rPr>
      </w:pPr>
      <w:bookmarkStart w:id="17" w:name="_Toc234242768"/>
      <w:r w:rsidRPr="00E00F13">
        <w:rPr>
          <w:color w:val="auto"/>
        </w:rPr>
        <w:t>El punto de partida</w:t>
      </w:r>
      <w:r w:rsidR="001D4B8A" w:rsidRPr="00E00F13">
        <w:rPr>
          <w:color w:val="auto"/>
        </w:rPr>
        <w:t xml:space="preserve"> </w:t>
      </w:r>
      <w:r w:rsidR="00F76CE4" w:rsidRPr="00E00F13">
        <w:rPr>
          <w:color w:val="auto"/>
        </w:rPr>
        <w:t>del</w:t>
      </w:r>
      <w:r w:rsidRPr="00E00F13">
        <w:rPr>
          <w:color w:val="auto"/>
        </w:rPr>
        <w:t xml:space="preserve"> nuevo paradigma</w:t>
      </w:r>
      <w:r w:rsidR="001D4B8A" w:rsidRPr="00E00F13">
        <w:rPr>
          <w:color w:val="auto"/>
        </w:rPr>
        <w:t xml:space="preserve">: los </w:t>
      </w:r>
      <w:r w:rsidR="00BA6B1A" w:rsidRPr="00E00F13">
        <w:rPr>
          <w:color w:val="auto"/>
        </w:rPr>
        <w:t>dieciocho</w:t>
      </w:r>
      <w:r w:rsidR="001D4B8A" w:rsidRPr="00E00F13">
        <w:rPr>
          <w:color w:val="auto"/>
        </w:rPr>
        <w:t xml:space="preserve"> decretos</w:t>
      </w:r>
      <w:bookmarkEnd w:id="17"/>
    </w:p>
    <w:p w14:paraId="3418B3F1" w14:textId="6D079790" w:rsidR="00820382" w:rsidRPr="00E00F13" w:rsidRDefault="00820382" w:rsidP="00B2408C">
      <w:pPr>
        <w:spacing w:after="0" w:line="360" w:lineRule="auto"/>
        <w:jc w:val="both"/>
        <w:rPr>
          <w:rFonts w:ascii="Arial" w:hAnsi="Arial" w:cs="Arial"/>
          <w:sz w:val="24"/>
          <w:szCs w:val="24"/>
        </w:rPr>
      </w:pPr>
      <w:r w:rsidRPr="00E00F13">
        <w:rPr>
          <w:rFonts w:ascii="Arial" w:hAnsi="Arial" w:cs="Arial"/>
          <w:sz w:val="24"/>
          <w:szCs w:val="24"/>
        </w:rPr>
        <w:t xml:space="preserve">En el periodo comprendido entre 2024 y </w:t>
      </w:r>
      <w:r w:rsidR="003B0D99" w:rsidRPr="00E00F13">
        <w:rPr>
          <w:rFonts w:ascii="Arial" w:hAnsi="Arial" w:cs="Arial"/>
          <w:sz w:val="24"/>
          <w:szCs w:val="24"/>
        </w:rPr>
        <w:t xml:space="preserve">enero a abril de </w:t>
      </w:r>
      <w:r w:rsidRPr="00E00F13">
        <w:rPr>
          <w:rFonts w:ascii="Arial" w:hAnsi="Arial" w:cs="Arial"/>
          <w:sz w:val="24"/>
          <w:szCs w:val="24"/>
        </w:rPr>
        <w:t>202</w:t>
      </w:r>
      <w:r w:rsidR="003B0D99" w:rsidRPr="00E00F13">
        <w:rPr>
          <w:rFonts w:ascii="Arial" w:hAnsi="Arial" w:cs="Arial"/>
          <w:sz w:val="24"/>
          <w:szCs w:val="24"/>
        </w:rPr>
        <w:t xml:space="preserve">6 </w:t>
      </w:r>
      <w:r w:rsidRPr="00E00F13">
        <w:rPr>
          <w:rFonts w:ascii="Arial" w:hAnsi="Arial" w:cs="Arial"/>
          <w:sz w:val="24"/>
          <w:szCs w:val="24"/>
        </w:rPr>
        <w:t xml:space="preserve">se han emitido </w:t>
      </w:r>
      <w:r w:rsidR="00BA6B1A" w:rsidRPr="00E00F13">
        <w:rPr>
          <w:rFonts w:ascii="Arial" w:hAnsi="Arial" w:cs="Arial"/>
          <w:sz w:val="24"/>
          <w:szCs w:val="24"/>
        </w:rPr>
        <w:t>dieciocho</w:t>
      </w:r>
      <w:r w:rsidR="00D661EA" w:rsidRPr="00E00F13">
        <w:rPr>
          <w:rFonts w:ascii="Arial" w:hAnsi="Arial" w:cs="Arial"/>
          <w:sz w:val="24"/>
          <w:szCs w:val="24"/>
        </w:rPr>
        <w:t xml:space="preserve"> de</w:t>
      </w:r>
      <w:r w:rsidRPr="00E00F13">
        <w:rPr>
          <w:rFonts w:ascii="Arial" w:hAnsi="Arial" w:cs="Arial"/>
          <w:sz w:val="24"/>
          <w:szCs w:val="24"/>
        </w:rPr>
        <w:t>cretos que están cambiando</w:t>
      </w:r>
      <w:r w:rsidR="00D661EA" w:rsidRPr="00E00F13">
        <w:rPr>
          <w:rFonts w:ascii="Arial" w:hAnsi="Arial" w:cs="Arial"/>
          <w:sz w:val="24"/>
          <w:szCs w:val="24"/>
        </w:rPr>
        <w:t xml:space="preserve"> la forma de construir </w:t>
      </w:r>
      <w:r w:rsidRPr="00E00F13">
        <w:rPr>
          <w:rFonts w:ascii="Arial" w:hAnsi="Arial" w:cs="Arial"/>
          <w:sz w:val="24"/>
          <w:szCs w:val="24"/>
        </w:rPr>
        <w:t>el hábitat en Colombia, tanto en vivienda como en agua</w:t>
      </w:r>
      <w:r w:rsidR="003364B5" w:rsidRPr="00E00F13">
        <w:rPr>
          <w:rFonts w:ascii="Arial" w:hAnsi="Arial" w:cs="Arial"/>
          <w:sz w:val="24"/>
          <w:szCs w:val="24"/>
        </w:rPr>
        <w:t xml:space="preserve"> para el consumo</w:t>
      </w:r>
      <w:r w:rsidR="37552FE7" w:rsidRPr="00E00F13">
        <w:rPr>
          <w:rFonts w:ascii="Arial" w:hAnsi="Arial" w:cs="Arial"/>
          <w:sz w:val="24"/>
          <w:szCs w:val="24"/>
        </w:rPr>
        <w:t xml:space="preserve"> </w:t>
      </w:r>
      <w:r w:rsidR="003364B5" w:rsidRPr="00E00F13">
        <w:rPr>
          <w:rFonts w:ascii="Arial" w:hAnsi="Arial" w:cs="Arial"/>
          <w:sz w:val="24"/>
          <w:szCs w:val="24"/>
        </w:rPr>
        <w:t>humano y el saneamiento</w:t>
      </w:r>
      <w:r w:rsidR="00642A1B" w:rsidRPr="00E00F13">
        <w:rPr>
          <w:rFonts w:ascii="Arial" w:hAnsi="Arial" w:cs="Arial"/>
          <w:sz w:val="24"/>
          <w:szCs w:val="24"/>
        </w:rPr>
        <w:t xml:space="preserve"> básico</w:t>
      </w:r>
      <w:r w:rsidRPr="00E00F13">
        <w:rPr>
          <w:rFonts w:ascii="Arial" w:hAnsi="Arial" w:cs="Arial"/>
          <w:sz w:val="24"/>
          <w:szCs w:val="24"/>
        </w:rPr>
        <w:t xml:space="preserve">. </w:t>
      </w:r>
    </w:p>
    <w:p w14:paraId="07EDC676" w14:textId="77777777" w:rsidR="00820382" w:rsidRPr="00E00F13" w:rsidRDefault="00820382" w:rsidP="00B2408C">
      <w:pPr>
        <w:spacing w:after="0" w:line="360" w:lineRule="auto"/>
        <w:jc w:val="both"/>
        <w:rPr>
          <w:rFonts w:ascii="Arial" w:hAnsi="Arial" w:cs="Arial"/>
          <w:sz w:val="24"/>
          <w:szCs w:val="24"/>
        </w:rPr>
      </w:pPr>
    </w:p>
    <w:p w14:paraId="0577C926" w14:textId="77777777" w:rsidR="00642A1B" w:rsidRPr="00E00F13" w:rsidRDefault="00642A1B" w:rsidP="00C676BA">
      <w:pPr>
        <w:pStyle w:val="Ttulo3"/>
        <w:rPr>
          <w:color w:val="auto"/>
        </w:rPr>
      </w:pPr>
      <w:bookmarkStart w:id="18" w:name="_Toc234242769"/>
      <w:r w:rsidRPr="00E00F13">
        <w:rPr>
          <w:color w:val="auto"/>
        </w:rPr>
        <w:t>En vivienda</w:t>
      </w:r>
      <w:bookmarkEnd w:id="18"/>
    </w:p>
    <w:p w14:paraId="31B3D096" w14:textId="77777777" w:rsidR="00CB3B23" w:rsidRPr="00E00F13" w:rsidRDefault="00642A1B" w:rsidP="00B2408C">
      <w:pPr>
        <w:spacing w:after="0" w:line="360" w:lineRule="auto"/>
        <w:jc w:val="both"/>
        <w:rPr>
          <w:rFonts w:ascii="Arial" w:hAnsi="Arial" w:cs="Arial"/>
          <w:sz w:val="24"/>
          <w:szCs w:val="24"/>
        </w:rPr>
      </w:pPr>
      <w:r w:rsidRPr="00E00F13">
        <w:rPr>
          <w:rFonts w:ascii="Arial" w:hAnsi="Arial" w:cs="Arial"/>
          <w:sz w:val="24"/>
          <w:szCs w:val="24"/>
        </w:rPr>
        <w:t>El</w:t>
      </w:r>
      <w:r w:rsidR="00820382" w:rsidRPr="00E00F13">
        <w:rPr>
          <w:rFonts w:ascii="Arial" w:hAnsi="Arial" w:cs="Arial"/>
          <w:sz w:val="24"/>
          <w:szCs w:val="24"/>
        </w:rPr>
        <w:t xml:space="preserve"> derecho a la vivienda digna ha sido históricamente uno de los ejes centrales de la política social en Colombia, consagrado en el artículo 51 de la Constitución Política, </w:t>
      </w:r>
      <w:r w:rsidR="00D661EA" w:rsidRPr="00E00F13">
        <w:rPr>
          <w:rFonts w:ascii="Arial" w:hAnsi="Arial" w:cs="Arial"/>
          <w:sz w:val="24"/>
          <w:szCs w:val="24"/>
        </w:rPr>
        <w:t xml:space="preserve">que le </w:t>
      </w:r>
      <w:r w:rsidR="003F6143" w:rsidRPr="00E00F13">
        <w:rPr>
          <w:rFonts w:ascii="Arial" w:hAnsi="Arial" w:cs="Arial"/>
          <w:sz w:val="24"/>
          <w:szCs w:val="24"/>
        </w:rPr>
        <w:t>exige</w:t>
      </w:r>
      <w:r w:rsidR="00D661EA" w:rsidRPr="00E00F13">
        <w:rPr>
          <w:rFonts w:ascii="Arial" w:hAnsi="Arial" w:cs="Arial"/>
          <w:sz w:val="24"/>
          <w:szCs w:val="24"/>
        </w:rPr>
        <w:t xml:space="preserve"> </w:t>
      </w:r>
      <w:r w:rsidR="00820382" w:rsidRPr="00E00F13">
        <w:rPr>
          <w:rFonts w:ascii="Arial" w:hAnsi="Arial" w:cs="Arial"/>
          <w:sz w:val="24"/>
          <w:szCs w:val="24"/>
        </w:rPr>
        <w:t>al Estado promover planes de vivienda de interés social y sistemas adecuados de financiación</w:t>
      </w:r>
      <w:r w:rsidR="003F6143" w:rsidRPr="00E00F13">
        <w:rPr>
          <w:rFonts w:ascii="Arial" w:hAnsi="Arial" w:cs="Arial"/>
          <w:sz w:val="24"/>
          <w:szCs w:val="24"/>
        </w:rPr>
        <w:t>, así como fijar las condiciones</w:t>
      </w:r>
      <w:r w:rsidR="00936AE1" w:rsidRPr="00E00F13">
        <w:rPr>
          <w:rFonts w:ascii="Arial" w:hAnsi="Arial" w:cs="Arial"/>
          <w:sz w:val="24"/>
          <w:szCs w:val="24"/>
        </w:rPr>
        <w:t xml:space="preserve"> para hacer efectivo este derecho. </w:t>
      </w:r>
    </w:p>
    <w:p w14:paraId="29A73F43" w14:textId="77777777" w:rsidR="00CB3B23" w:rsidRPr="00E00F13" w:rsidRDefault="00CB3B23" w:rsidP="00B2408C">
      <w:pPr>
        <w:spacing w:after="0" w:line="360" w:lineRule="auto"/>
        <w:jc w:val="both"/>
        <w:rPr>
          <w:rFonts w:ascii="Arial" w:hAnsi="Arial" w:cs="Arial"/>
          <w:sz w:val="24"/>
          <w:szCs w:val="24"/>
        </w:rPr>
      </w:pPr>
    </w:p>
    <w:p w14:paraId="503589B3" w14:textId="77777777" w:rsidR="004F6105" w:rsidRPr="00E00F13" w:rsidRDefault="00820382" w:rsidP="004F6105">
      <w:pPr>
        <w:spacing w:after="0" w:line="360" w:lineRule="auto"/>
        <w:jc w:val="both"/>
        <w:rPr>
          <w:rFonts w:ascii="Arial" w:hAnsi="Arial" w:cs="Arial"/>
          <w:sz w:val="24"/>
          <w:szCs w:val="24"/>
        </w:rPr>
      </w:pPr>
      <w:r w:rsidRPr="00E00F13">
        <w:rPr>
          <w:rFonts w:ascii="Arial" w:hAnsi="Arial" w:cs="Arial"/>
          <w:sz w:val="24"/>
          <w:szCs w:val="24"/>
        </w:rPr>
        <w:t xml:space="preserve">Este mandato constitucional ha orientado el desarrollo normativo, institucional y programático de la política habitacional del país, cuyo propósito esencial ha sido garantizar el acceso progresivo a una vivienda digna, segura y adecuada para todos los hogares, especialmente los más vulnerables. </w:t>
      </w:r>
    </w:p>
    <w:p w14:paraId="123EEF7B" w14:textId="77777777" w:rsidR="004F6105" w:rsidRPr="00E00F13" w:rsidRDefault="004F6105" w:rsidP="004F6105">
      <w:pPr>
        <w:spacing w:after="0" w:line="360" w:lineRule="auto"/>
        <w:jc w:val="both"/>
        <w:rPr>
          <w:rFonts w:ascii="Arial" w:hAnsi="Arial" w:cs="Arial"/>
          <w:sz w:val="24"/>
          <w:szCs w:val="24"/>
        </w:rPr>
      </w:pPr>
    </w:p>
    <w:p w14:paraId="6B845BAD" w14:textId="24B38071" w:rsidR="004F6105" w:rsidRPr="00E00F13" w:rsidRDefault="00821328" w:rsidP="004F6105">
      <w:pPr>
        <w:spacing w:after="0" w:line="360" w:lineRule="auto"/>
        <w:jc w:val="both"/>
        <w:rPr>
          <w:rFonts w:ascii="Arial" w:hAnsi="Arial" w:cs="Arial"/>
          <w:sz w:val="24"/>
          <w:szCs w:val="24"/>
        </w:rPr>
      </w:pPr>
      <w:r w:rsidRPr="00E00F13">
        <w:rPr>
          <w:rFonts w:ascii="Arial" w:hAnsi="Arial" w:cs="Arial"/>
          <w:sz w:val="24"/>
          <w:szCs w:val="24"/>
        </w:rPr>
        <w:t>El</w:t>
      </w:r>
      <w:r w:rsidR="00251DA4" w:rsidRPr="00E00F13">
        <w:rPr>
          <w:rFonts w:ascii="Arial" w:hAnsi="Arial" w:cs="Arial"/>
          <w:sz w:val="24"/>
          <w:szCs w:val="24"/>
        </w:rPr>
        <w:t xml:space="preserve"> derecho a una vivienda adecuada es un derecho humano. Está reconocido en la normativa internacional de los derechos humanos. En el</w:t>
      </w:r>
      <w:r w:rsidR="004F6105" w:rsidRPr="00E00F13">
        <w:rPr>
          <w:rFonts w:ascii="Arial" w:hAnsi="Arial" w:cs="Arial"/>
          <w:sz w:val="24"/>
          <w:szCs w:val="24"/>
        </w:rPr>
        <w:t xml:space="preserve"> Parágrafo</w:t>
      </w:r>
      <w:r w:rsidR="00251DA4" w:rsidRPr="00E00F13">
        <w:rPr>
          <w:rFonts w:ascii="Arial" w:hAnsi="Arial" w:cs="Arial"/>
          <w:sz w:val="24"/>
          <w:szCs w:val="24"/>
        </w:rPr>
        <w:t xml:space="preserve"> 1 del </w:t>
      </w:r>
      <w:r w:rsidR="004F6105" w:rsidRPr="00E00F13">
        <w:rPr>
          <w:rFonts w:ascii="Arial" w:hAnsi="Arial" w:cs="Arial"/>
          <w:sz w:val="24"/>
          <w:szCs w:val="24"/>
        </w:rPr>
        <w:t>A</w:t>
      </w:r>
      <w:r w:rsidR="00251DA4" w:rsidRPr="00E00F13">
        <w:rPr>
          <w:rFonts w:ascii="Arial" w:hAnsi="Arial" w:cs="Arial"/>
          <w:sz w:val="24"/>
          <w:szCs w:val="24"/>
        </w:rPr>
        <w:t xml:space="preserve">rtículo 25 de la Declaración Universal de Derechos Humanos se señala que </w:t>
      </w:r>
      <w:r w:rsidR="004F6105" w:rsidRPr="00E00F13">
        <w:rPr>
          <w:rFonts w:ascii="Arial" w:hAnsi="Arial" w:cs="Arial"/>
          <w:sz w:val="24"/>
          <w:szCs w:val="24"/>
          <w:lang w:val="es-ES"/>
        </w:rPr>
        <w:t>“</w:t>
      </w:r>
      <w:r w:rsidR="00251DA4" w:rsidRPr="00E00F13">
        <w:rPr>
          <w:rFonts w:ascii="Arial" w:hAnsi="Arial" w:cs="Arial"/>
          <w:sz w:val="24"/>
          <w:szCs w:val="24"/>
        </w:rPr>
        <w:t>Toda persona tiene derecho a un nivel de vida adecuado que le asegure, así como a su familia, la salud y el bienestar, y en especial la alimentación, el vestido, la vivienda, la asistencia médica y los servicios sociales necesarios;</w:t>
      </w:r>
      <w:r w:rsidR="004F6105" w:rsidRPr="00E00F13">
        <w:rPr>
          <w:rFonts w:ascii="Arial" w:hAnsi="Arial" w:cs="Arial"/>
          <w:sz w:val="24"/>
          <w:szCs w:val="24"/>
        </w:rPr>
        <w:t xml:space="preserve"> (…)”. Para la ONU, el derecho a una vivienda adecuada no se limita a tener "cuatro paredes y un techo", sino que es el derecho a vivir en seguridad, paz y dignidad. El derecho a una vivienda digna (técnicamente denominado vivienda adecuada por la ONU) es un derecho humano fundamental que garantiza a todas las personas un lugar seguro, habitable y asequible para vivir en paz y con dignidad. </w:t>
      </w:r>
      <w:proofErr w:type="spellStart"/>
      <w:r w:rsidR="004F6105" w:rsidRPr="00E00F13">
        <w:rPr>
          <w:rFonts w:ascii="Arial" w:hAnsi="Arial" w:cs="Arial"/>
          <w:sz w:val="24"/>
          <w:szCs w:val="24"/>
        </w:rPr>
        <w:t>Ade</w:t>
      </w:r>
      <w:proofErr w:type="spellEnd"/>
      <w:r w:rsidR="004F6105" w:rsidRPr="00E00F13">
        <w:rPr>
          <w:rFonts w:ascii="Arial" w:hAnsi="Arial" w:cs="Arial"/>
          <w:sz w:val="24"/>
          <w:szCs w:val="24"/>
          <w:lang w:val="es-ES"/>
        </w:rPr>
        <w:t>más de estar reconocido</w:t>
      </w:r>
      <w:r w:rsidR="004F6105" w:rsidRPr="00E00F13">
        <w:rPr>
          <w:rFonts w:ascii="Arial" w:hAnsi="Arial" w:cs="Arial"/>
          <w:sz w:val="24"/>
          <w:szCs w:val="24"/>
        </w:rPr>
        <w:t xml:space="preserve"> en la Declaración Universal de Derechos Humanos, este derecho fundamental está contemplado en el Artículo 11 del Pacto Internacional de Derechos Económicos, Sociales y Culturales.  </w:t>
      </w:r>
    </w:p>
    <w:p w14:paraId="20E53ECE" w14:textId="77777777" w:rsidR="004F6105" w:rsidRPr="00E00F13" w:rsidRDefault="004F6105" w:rsidP="004F6105">
      <w:pPr>
        <w:spacing w:after="0" w:line="360" w:lineRule="auto"/>
        <w:jc w:val="both"/>
        <w:rPr>
          <w:rFonts w:ascii="Arial" w:hAnsi="Arial" w:cs="Arial"/>
          <w:sz w:val="24"/>
          <w:szCs w:val="24"/>
          <w:lang w:val="es-ES"/>
        </w:rPr>
      </w:pPr>
    </w:p>
    <w:p w14:paraId="7BE127A2" w14:textId="77777777" w:rsidR="004F6105" w:rsidRPr="00E00F13" w:rsidRDefault="004F6105" w:rsidP="00B2408C">
      <w:pPr>
        <w:spacing w:after="0" w:line="360" w:lineRule="auto"/>
        <w:jc w:val="both"/>
        <w:rPr>
          <w:rFonts w:ascii="Helvetica" w:hAnsi="Helvetica" w:cs="Helvetica"/>
          <w:sz w:val="24"/>
          <w:szCs w:val="24"/>
          <w:lang w:val="es-ES_tradnl"/>
        </w:rPr>
      </w:pPr>
      <w:r w:rsidRPr="00E00F13">
        <w:rPr>
          <w:rFonts w:ascii="Helvetica" w:hAnsi="Helvetica" w:cs="Helvetica"/>
          <w:sz w:val="24"/>
          <w:szCs w:val="24"/>
          <w:lang w:val="es-ES_tradnl"/>
        </w:rPr>
        <w:t xml:space="preserve">Esto nos da pie para profundizar la discusión de la vivienda desde la visión mercantil. </w:t>
      </w:r>
    </w:p>
    <w:p w14:paraId="1812251D" w14:textId="77777777" w:rsidR="004F6105" w:rsidRPr="00E00F13" w:rsidRDefault="004F6105" w:rsidP="00B2408C">
      <w:pPr>
        <w:spacing w:after="0" w:line="360" w:lineRule="auto"/>
        <w:jc w:val="both"/>
        <w:rPr>
          <w:rFonts w:ascii="Helvetica" w:hAnsi="Helvetica" w:cs="Helvetica"/>
          <w:sz w:val="24"/>
          <w:szCs w:val="24"/>
          <w:lang w:val="es-ES_tradnl"/>
        </w:rPr>
      </w:pPr>
    </w:p>
    <w:p w14:paraId="7AB3D616" w14:textId="36E3C737" w:rsidR="00820382" w:rsidRPr="00E00F13" w:rsidRDefault="00821328" w:rsidP="00B2408C">
      <w:pPr>
        <w:spacing w:after="0" w:line="360" w:lineRule="auto"/>
        <w:jc w:val="both"/>
        <w:rPr>
          <w:rFonts w:ascii="Arial" w:hAnsi="Arial" w:cs="Arial"/>
          <w:sz w:val="24"/>
          <w:szCs w:val="24"/>
        </w:rPr>
      </w:pPr>
      <w:r w:rsidRPr="00E00F13">
        <w:rPr>
          <w:rFonts w:ascii="Arial" w:hAnsi="Arial" w:cs="Arial"/>
          <w:sz w:val="24"/>
          <w:szCs w:val="24"/>
        </w:rPr>
        <w:t>E</w:t>
      </w:r>
      <w:r w:rsidR="00820382" w:rsidRPr="00E00F13">
        <w:rPr>
          <w:rFonts w:ascii="Arial" w:hAnsi="Arial" w:cs="Arial"/>
          <w:sz w:val="24"/>
          <w:szCs w:val="24"/>
        </w:rPr>
        <w:t xml:space="preserve">ste derecho ha experimentado una profunda transformación a lo largo de las últimas décadas, transitando desde un modelo centralizado, basado en la construcción directa de viviendas por parte del Estado, hacia un esquema sustentado en subsidios a la demanda, y más recientemente, hacia </w:t>
      </w:r>
      <w:r w:rsidR="00521710" w:rsidRPr="00E00F13">
        <w:rPr>
          <w:rFonts w:ascii="Arial" w:hAnsi="Arial" w:cs="Arial"/>
          <w:sz w:val="24"/>
          <w:szCs w:val="24"/>
        </w:rPr>
        <w:t>la</w:t>
      </w:r>
      <w:r w:rsidR="00820382" w:rsidRPr="00E00F13">
        <w:rPr>
          <w:rFonts w:ascii="Arial" w:hAnsi="Arial" w:cs="Arial"/>
          <w:sz w:val="24"/>
          <w:szCs w:val="24"/>
        </w:rPr>
        <w:t xml:space="preserve"> autogestión comunitaria que amplía la cobertura poblacional y territorial, fomentando la participación social y reduciendo las brechas históricas de desigualdad.</w:t>
      </w:r>
    </w:p>
    <w:p w14:paraId="5EA2C180" w14:textId="77777777" w:rsidR="00820382" w:rsidRPr="00E00F13" w:rsidRDefault="00820382" w:rsidP="00B2408C">
      <w:pPr>
        <w:spacing w:after="0" w:line="360" w:lineRule="auto"/>
        <w:jc w:val="both"/>
        <w:rPr>
          <w:rFonts w:ascii="Arial" w:hAnsi="Arial" w:cs="Arial"/>
          <w:sz w:val="24"/>
          <w:szCs w:val="24"/>
        </w:rPr>
      </w:pPr>
    </w:p>
    <w:p w14:paraId="6C90013D" w14:textId="77777777" w:rsidR="003B0D99" w:rsidRPr="00E00F13" w:rsidRDefault="00820382" w:rsidP="00B2408C">
      <w:pPr>
        <w:spacing w:after="0" w:line="360" w:lineRule="auto"/>
        <w:jc w:val="both"/>
        <w:rPr>
          <w:rFonts w:ascii="Arial" w:hAnsi="Arial" w:cs="Arial"/>
          <w:sz w:val="24"/>
          <w:szCs w:val="24"/>
        </w:rPr>
      </w:pPr>
      <w:r w:rsidRPr="00E00F13">
        <w:rPr>
          <w:rFonts w:ascii="Arial" w:hAnsi="Arial" w:cs="Arial"/>
          <w:sz w:val="24"/>
          <w:szCs w:val="24"/>
        </w:rPr>
        <w:t xml:space="preserve">Los </w:t>
      </w:r>
      <w:r w:rsidR="00BA6B1A" w:rsidRPr="00E00F13">
        <w:rPr>
          <w:rFonts w:ascii="Arial" w:hAnsi="Arial" w:cs="Arial"/>
          <w:sz w:val="24"/>
          <w:szCs w:val="24"/>
        </w:rPr>
        <w:t>dieciocho</w:t>
      </w:r>
      <w:r w:rsidRPr="00E00F13">
        <w:rPr>
          <w:rFonts w:ascii="Arial" w:hAnsi="Arial" w:cs="Arial"/>
          <w:sz w:val="24"/>
          <w:szCs w:val="24"/>
        </w:rPr>
        <w:t xml:space="preserve"> nuevos decretos reflejan una profunda transformación institucional y social, que marca el tránsito de un Estado constructor, centrado en la provisión directa de soluciones habitacionales, a un Estado facilitador y, finalmente, a un Estado acompañante y garante de procesos comunitarios y territoriales. </w:t>
      </w:r>
    </w:p>
    <w:p w14:paraId="088ADBB1" w14:textId="77777777" w:rsidR="003B0D99" w:rsidRPr="00E00F13" w:rsidRDefault="003B0D99" w:rsidP="00B2408C">
      <w:pPr>
        <w:spacing w:after="0" w:line="360" w:lineRule="auto"/>
        <w:jc w:val="both"/>
        <w:rPr>
          <w:rFonts w:ascii="Arial" w:hAnsi="Arial" w:cs="Arial"/>
          <w:sz w:val="24"/>
          <w:szCs w:val="24"/>
        </w:rPr>
      </w:pPr>
    </w:p>
    <w:p w14:paraId="677B98A3" w14:textId="77777777" w:rsidR="003B0D99" w:rsidRPr="00E00F13" w:rsidRDefault="00820382" w:rsidP="00B2408C">
      <w:pPr>
        <w:spacing w:after="0" w:line="360" w:lineRule="auto"/>
        <w:jc w:val="both"/>
        <w:rPr>
          <w:rFonts w:ascii="Arial" w:hAnsi="Arial" w:cs="Arial"/>
          <w:sz w:val="24"/>
          <w:szCs w:val="24"/>
        </w:rPr>
      </w:pPr>
      <w:r w:rsidRPr="00E00F13">
        <w:rPr>
          <w:rFonts w:ascii="Arial" w:hAnsi="Arial" w:cs="Arial"/>
          <w:sz w:val="24"/>
          <w:szCs w:val="24"/>
        </w:rPr>
        <w:lastRenderedPageBreak/>
        <w:t xml:space="preserve">Este nuevo enfoque redefine la política habitacional como una herramienta de justicia social, en la que la vivienda deja de concebirse únicamente como una </w:t>
      </w:r>
      <w:r w:rsidR="00177CC7" w:rsidRPr="00E00F13">
        <w:rPr>
          <w:rFonts w:ascii="Arial" w:hAnsi="Arial" w:cs="Arial"/>
          <w:sz w:val="24"/>
          <w:szCs w:val="24"/>
        </w:rPr>
        <w:t>apuesta individual</w:t>
      </w:r>
      <w:r w:rsidRPr="00E00F13">
        <w:rPr>
          <w:rFonts w:ascii="Arial" w:hAnsi="Arial" w:cs="Arial"/>
          <w:sz w:val="24"/>
          <w:szCs w:val="24"/>
        </w:rPr>
        <w:t xml:space="preserve"> para convertirse en un factor de equidad, integración y desarrollo sostenible. </w:t>
      </w:r>
    </w:p>
    <w:p w14:paraId="6A5CEB9D" w14:textId="77777777" w:rsidR="003B0D99" w:rsidRPr="00E00F13" w:rsidRDefault="003B0D99" w:rsidP="00B2408C">
      <w:pPr>
        <w:spacing w:after="0" w:line="360" w:lineRule="auto"/>
        <w:jc w:val="both"/>
        <w:rPr>
          <w:rFonts w:ascii="Arial" w:hAnsi="Arial" w:cs="Arial"/>
          <w:sz w:val="24"/>
          <w:szCs w:val="24"/>
        </w:rPr>
      </w:pPr>
    </w:p>
    <w:p w14:paraId="6D975C7A" w14:textId="0B9B92D7" w:rsidR="00820382" w:rsidRPr="00E00F13" w:rsidRDefault="00820382" w:rsidP="00B2408C">
      <w:pPr>
        <w:spacing w:after="0" w:line="360" w:lineRule="auto"/>
        <w:jc w:val="both"/>
        <w:rPr>
          <w:rFonts w:ascii="Arial" w:hAnsi="Arial" w:cs="Arial"/>
          <w:sz w:val="24"/>
          <w:szCs w:val="24"/>
        </w:rPr>
      </w:pPr>
      <w:r w:rsidRPr="00E00F13">
        <w:rPr>
          <w:rFonts w:ascii="Arial" w:hAnsi="Arial" w:cs="Arial"/>
          <w:sz w:val="24"/>
          <w:szCs w:val="24"/>
        </w:rPr>
        <w:t xml:space="preserve">Así, al ampliar la cobertura poblacional y territorial, fortalecer la autogestión y </w:t>
      </w:r>
      <w:proofErr w:type="spellStart"/>
      <w:r w:rsidRPr="00E00F13">
        <w:rPr>
          <w:rFonts w:ascii="Arial" w:hAnsi="Arial" w:cs="Arial"/>
          <w:sz w:val="24"/>
          <w:szCs w:val="24"/>
        </w:rPr>
        <w:t>desbancarizar</w:t>
      </w:r>
      <w:proofErr w:type="spellEnd"/>
      <w:r w:rsidRPr="00E00F13">
        <w:rPr>
          <w:rFonts w:ascii="Arial" w:hAnsi="Arial" w:cs="Arial"/>
          <w:sz w:val="24"/>
          <w:szCs w:val="24"/>
        </w:rPr>
        <w:t xml:space="preserve"> el acceso, el Estado logra llegar efectivamente a los territorios históricamente excluidos, cerrando brechas y fortaleciendo la confianza ciudadana. Logrando así, consolidar a la vivienda social no solo como un derecho fundamental, sino como un instrumento transformador que impulsa la inclusión, la cohesión social y la dignificación de la vida en todo el país.</w:t>
      </w:r>
    </w:p>
    <w:p w14:paraId="133F8912" w14:textId="77777777" w:rsidR="001D4B8A" w:rsidRPr="00E00F13" w:rsidRDefault="001D4B8A" w:rsidP="00B2408C">
      <w:pPr>
        <w:spacing w:after="0" w:line="360" w:lineRule="auto"/>
        <w:jc w:val="both"/>
        <w:rPr>
          <w:rFonts w:ascii="Arial" w:hAnsi="Arial" w:cs="Arial"/>
          <w:sz w:val="24"/>
          <w:szCs w:val="24"/>
        </w:rPr>
      </w:pPr>
    </w:p>
    <w:p w14:paraId="1ACF0621" w14:textId="77777777" w:rsidR="009D2DFF" w:rsidRPr="00E00F13" w:rsidRDefault="003B0D99" w:rsidP="009D2DFF">
      <w:pPr>
        <w:spacing w:after="0" w:line="360" w:lineRule="auto"/>
        <w:jc w:val="both"/>
        <w:rPr>
          <w:rFonts w:ascii="Arial" w:hAnsi="Arial" w:cs="Arial"/>
          <w:sz w:val="24"/>
          <w:szCs w:val="24"/>
        </w:rPr>
      </w:pPr>
      <w:r w:rsidRPr="00E00F13">
        <w:rPr>
          <w:rFonts w:ascii="Arial" w:hAnsi="Arial" w:cs="Arial"/>
          <w:sz w:val="24"/>
          <w:szCs w:val="24"/>
        </w:rPr>
        <w:t>Se trata</w:t>
      </w:r>
      <w:r w:rsidR="00FF0C8E" w:rsidRPr="00E00F13">
        <w:rPr>
          <w:rFonts w:ascii="Arial" w:hAnsi="Arial" w:cs="Arial"/>
          <w:sz w:val="24"/>
          <w:szCs w:val="24"/>
        </w:rPr>
        <w:t xml:space="preserve"> </w:t>
      </w:r>
      <w:r w:rsidRPr="00E00F13">
        <w:rPr>
          <w:rFonts w:ascii="Arial" w:hAnsi="Arial" w:cs="Arial"/>
          <w:sz w:val="24"/>
          <w:szCs w:val="24"/>
        </w:rPr>
        <w:t>d</w:t>
      </w:r>
      <w:r w:rsidR="00FF0C8E" w:rsidRPr="00E00F13">
        <w:rPr>
          <w:rFonts w:ascii="Arial" w:hAnsi="Arial" w:cs="Arial"/>
          <w:sz w:val="24"/>
          <w:szCs w:val="24"/>
        </w:rPr>
        <w:t xml:space="preserve">el reconocimiento de una realidad histórica: comunidades que, durante décadas, han construido su hábitat desde prácticas sociales que han operado al margen de la institucionalidad estatal. </w:t>
      </w:r>
      <w:r w:rsidR="009D2DFF" w:rsidRPr="00E00F13">
        <w:rPr>
          <w:rFonts w:ascii="Arial" w:hAnsi="Arial" w:cs="Arial"/>
          <w:sz w:val="24"/>
          <w:szCs w:val="24"/>
        </w:rPr>
        <w:t>En América Latina, la autogestión ha sido un proceso político y social que ha permitido a las familias desarrollar soluciones habitacionales, tanto en suelo urbano como rural. El MVCT reconoce que el cambio de paradigma hacia el hábitat biodiverso es resultado de una realidad social histórica que ha operado, en gran medida, al margen de la normatividad estatal.</w:t>
      </w:r>
    </w:p>
    <w:p w14:paraId="4CDFF564" w14:textId="638831D1" w:rsidR="009D2DFF" w:rsidRPr="00E00F13" w:rsidRDefault="00FF0C8E" w:rsidP="006B5CAF">
      <w:pPr>
        <w:spacing w:after="0" w:line="360" w:lineRule="auto"/>
        <w:jc w:val="both"/>
        <w:rPr>
          <w:rFonts w:ascii="Arial" w:hAnsi="Arial" w:cs="Arial"/>
          <w:sz w:val="24"/>
          <w:szCs w:val="24"/>
        </w:rPr>
      </w:pPr>
      <w:r w:rsidRPr="00E00F13">
        <w:rPr>
          <w:rFonts w:ascii="Arial" w:hAnsi="Arial" w:cs="Arial"/>
          <w:sz w:val="24"/>
          <w:szCs w:val="24"/>
        </w:rPr>
        <w:t>El Plan Nacional de Desarrollo 2022-2026 obliga ahora al Estado a reconocer</w:t>
      </w:r>
      <w:r w:rsidR="00C06BA4" w:rsidRPr="00E00F13">
        <w:rPr>
          <w:rFonts w:ascii="Arial" w:hAnsi="Arial" w:cs="Arial"/>
          <w:sz w:val="24"/>
          <w:szCs w:val="24"/>
        </w:rPr>
        <w:t xml:space="preserve"> estas </w:t>
      </w:r>
      <w:r w:rsidRPr="00E00F13">
        <w:rPr>
          <w:rFonts w:ascii="Arial" w:hAnsi="Arial" w:cs="Arial"/>
          <w:sz w:val="24"/>
          <w:szCs w:val="24"/>
        </w:rPr>
        <w:t xml:space="preserve">prácticas </w:t>
      </w:r>
      <w:r w:rsidR="009D2DFF" w:rsidRPr="00E00F13">
        <w:rPr>
          <w:rFonts w:ascii="Arial" w:hAnsi="Arial" w:cs="Arial"/>
          <w:sz w:val="24"/>
          <w:szCs w:val="24"/>
        </w:rPr>
        <w:t xml:space="preserve">sociales </w:t>
      </w:r>
      <w:r w:rsidRPr="00E00F13">
        <w:rPr>
          <w:rFonts w:ascii="Arial" w:hAnsi="Arial" w:cs="Arial"/>
          <w:sz w:val="24"/>
          <w:szCs w:val="24"/>
        </w:rPr>
        <w:t xml:space="preserve">y a transformar su estructura administrativa para </w:t>
      </w:r>
      <w:r w:rsidR="00C06BA4" w:rsidRPr="00E00F13">
        <w:rPr>
          <w:rFonts w:ascii="Arial" w:hAnsi="Arial" w:cs="Arial"/>
          <w:sz w:val="24"/>
          <w:szCs w:val="24"/>
        </w:rPr>
        <w:t xml:space="preserve">encontrar mecanismos que las lleven a su </w:t>
      </w:r>
      <w:r w:rsidR="003B0D99" w:rsidRPr="00E00F13">
        <w:rPr>
          <w:rFonts w:ascii="Arial" w:hAnsi="Arial" w:cs="Arial"/>
          <w:sz w:val="24"/>
          <w:szCs w:val="24"/>
        </w:rPr>
        <w:t>fortalecimiento</w:t>
      </w:r>
      <w:r w:rsidRPr="00E00F13">
        <w:rPr>
          <w:rFonts w:ascii="Arial" w:hAnsi="Arial" w:cs="Arial"/>
          <w:sz w:val="24"/>
          <w:szCs w:val="24"/>
        </w:rPr>
        <w:t xml:space="preserve">. </w:t>
      </w:r>
    </w:p>
    <w:p w14:paraId="3F1B661F" w14:textId="27F422B6" w:rsidR="00642A1B" w:rsidRPr="00E00F13" w:rsidRDefault="00642A1B" w:rsidP="00C676BA">
      <w:pPr>
        <w:pStyle w:val="Ttulo3"/>
        <w:rPr>
          <w:color w:val="auto"/>
        </w:rPr>
      </w:pPr>
      <w:bookmarkStart w:id="19" w:name="_Toc234242770"/>
      <w:r w:rsidRPr="00E00F13">
        <w:rPr>
          <w:color w:val="auto"/>
        </w:rPr>
        <w:t>En</w:t>
      </w:r>
      <w:r w:rsidR="00820382" w:rsidRPr="00E00F13">
        <w:rPr>
          <w:color w:val="auto"/>
        </w:rPr>
        <w:t xml:space="preserve"> agua</w:t>
      </w:r>
      <w:r w:rsidR="003364B5" w:rsidRPr="00E00F13">
        <w:rPr>
          <w:color w:val="auto"/>
        </w:rPr>
        <w:t xml:space="preserve"> </w:t>
      </w:r>
      <w:r w:rsidR="00C676BA" w:rsidRPr="00E00F13">
        <w:rPr>
          <w:color w:val="auto"/>
        </w:rPr>
        <w:t xml:space="preserve">apta para el consumo humano </w:t>
      </w:r>
      <w:r w:rsidR="003364B5" w:rsidRPr="00E00F13">
        <w:rPr>
          <w:color w:val="auto"/>
        </w:rPr>
        <w:t>y saneamiento básico</w:t>
      </w:r>
      <w:bookmarkEnd w:id="19"/>
    </w:p>
    <w:p w14:paraId="047E7888" w14:textId="77777777" w:rsidR="008F34D4" w:rsidRPr="00E00F13" w:rsidRDefault="008F34D4" w:rsidP="008F34D4">
      <w:pPr>
        <w:spacing w:after="0" w:line="360" w:lineRule="auto"/>
        <w:jc w:val="both"/>
        <w:rPr>
          <w:rFonts w:ascii="Arial" w:hAnsi="Arial" w:cs="Arial"/>
          <w:sz w:val="24"/>
          <w:szCs w:val="24"/>
        </w:rPr>
      </w:pPr>
      <w:r w:rsidRPr="00E00F13">
        <w:rPr>
          <w:rFonts w:ascii="Arial" w:hAnsi="Arial" w:cs="Arial"/>
          <w:sz w:val="24"/>
          <w:szCs w:val="24"/>
        </w:rPr>
        <w:t xml:space="preserve">Considerar el agua como bien común y derecho humano fundamental implica un giro paradigmático, dado que, a pesar de las luchas sociales en defensa del agua, persiste la visión del agua como un bien del mercado. </w:t>
      </w:r>
    </w:p>
    <w:p w14:paraId="2704638D" w14:textId="77777777" w:rsidR="008F34D4" w:rsidRPr="00E00F13" w:rsidRDefault="008F34D4" w:rsidP="008F34D4">
      <w:pPr>
        <w:spacing w:after="0" w:line="360" w:lineRule="auto"/>
        <w:jc w:val="both"/>
        <w:rPr>
          <w:rFonts w:ascii="Arial" w:hAnsi="Arial" w:cs="Arial"/>
          <w:sz w:val="24"/>
          <w:szCs w:val="24"/>
        </w:rPr>
      </w:pPr>
    </w:p>
    <w:p w14:paraId="552881AB" w14:textId="1CE58DE8" w:rsidR="00AD6A7E" w:rsidRPr="00E00F13" w:rsidRDefault="008F34D4" w:rsidP="008F34D4">
      <w:pPr>
        <w:spacing w:after="0" w:line="360" w:lineRule="auto"/>
        <w:jc w:val="both"/>
        <w:rPr>
          <w:rFonts w:ascii="Arial" w:hAnsi="Arial" w:cs="Arial"/>
          <w:sz w:val="24"/>
          <w:szCs w:val="24"/>
        </w:rPr>
      </w:pPr>
      <w:r w:rsidRPr="00E00F13">
        <w:rPr>
          <w:rFonts w:ascii="Arial" w:hAnsi="Arial" w:cs="Arial"/>
          <w:sz w:val="24"/>
          <w:szCs w:val="24"/>
        </w:rPr>
        <w:t xml:space="preserve">Sin embargo, el agua es reconocida internacionalmente como un derecho humano fundamental, esencial para la vida, la dignidad, la salud y la alimentación. Definida por la ONU como un bien común, implica el acceso a agua apta para el consumo </w:t>
      </w:r>
      <w:r w:rsidRPr="00E00F13">
        <w:rPr>
          <w:rFonts w:ascii="Arial" w:hAnsi="Arial" w:cs="Arial"/>
          <w:sz w:val="24"/>
          <w:szCs w:val="24"/>
        </w:rPr>
        <w:lastRenderedPageBreak/>
        <w:t>humano, salubre y asequible para uso personal y doméstico, priorizando su gestión pública para garantizar su disponibilidad y sostenibilidad.</w:t>
      </w:r>
    </w:p>
    <w:p w14:paraId="34454959" w14:textId="77777777" w:rsidR="00AD6A7E" w:rsidRPr="00E00F13" w:rsidRDefault="00AD6A7E" w:rsidP="00976B8F">
      <w:pPr>
        <w:spacing w:after="0" w:line="360" w:lineRule="auto"/>
        <w:jc w:val="both"/>
        <w:rPr>
          <w:rFonts w:ascii="Arial" w:hAnsi="Arial" w:cs="Arial"/>
          <w:sz w:val="24"/>
          <w:szCs w:val="24"/>
        </w:rPr>
      </w:pPr>
    </w:p>
    <w:p w14:paraId="6F0731D1" w14:textId="679CC3A6" w:rsidR="000E21E9" w:rsidRPr="00E00F13" w:rsidRDefault="009D2DFF" w:rsidP="00976B8F">
      <w:pPr>
        <w:spacing w:after="0" w:line="360" w:lineRule="auto"/>
        <w:jc w:val="both"/>
        <w:rPr>
          <w:rFonts w:ascii="Arial" w:hAnsi="Arial" w:cs="Arial"/>
          <w:sz w:val="24"/>
          <w:szCs w:val="24"/>
        </w:rPr>
      </w:pPr>
      <w:r w:rsidRPr="00E00F13">
        <w:rPr>
          <w:rFonts w:ascii="Arial" w:hAnsi="Arial" w:cs="Arial"/>
          <w:sz w:val="24"/>
          <w:szCs w:val="24"/>
        </w:rPr>
        <w:t>Los recientes instrumentos normativos expedidos por el MVCT reconocen a los gestores comunitarios del agua como sujetos políticos y actores fundamentales para el acceso al agua apta para consumo humano y el saneamiento básico.</w:t>
      </w:r>
      <w:r w:rsidR="000E21E9" w:rsidRPr="00E00F13">
        <w:rPr>
          <w:rFonts w:ascii="Arial" w:hAnsi="Arial" w:cs="Arial"/>
          <w:sz w:val="24"/>
          <w:szCs w:val="24"/>
        </w:rPr>
        <w:t xml:space="preserve"> Los</w:t>
      </w:r>
      <w:r w:rsidR="00976B8F" w:rsidRPr="00E00F13">
        <w:rPr>
          <w:rFonts w:ascii="Arial" w:hAnsi="Arial" w:cs="Arial"/>
          <w:sz w:val="24"/>
          <w:szCs w:val="24"/>
        </w:rPr>
        <w:t xml:space="preserve"> gestores comunitarios</w:t>
      </w:r>
      <w:r w:rsidR="000E21E9" w:rsidRPr="00E00F13">
        <w:rPr>
          <w:rFonts w:ascii="Arial" w:hAnsi="Arial" w:cs="Arial"/>
          <w:sz w:val="24"/>
          <w:szCs w:val="24"/>
        </w:rPr>
        <w:t xml:space="preserve"> son parte de los actores que amplían la dinámica territorial y el mejoramiento de la economía local, gestionando procesos desde el conocimiento de las particularidades étnicas, ambientales, territoriales, del cuidado, de los enfoques diferenciales y desde lo humano, identificando necesidades comunitarias</w:t>
      </w:r>
      <w:r w:rsidRPr="00E00F13">
        <w:rPr>
          <w:rFonts w:ascii="Arial" w:hAnsi="Arial" w:cs="Arial"/>
          <w:sz w:val="24"/>
          <w:szCs w:val="24"/>
        </w:rPr>
        <w:t xml:space="preserve"> </w:t>
      </w:r>
      <w:r w:rsidR="000E21E9" w:rsidRPr="00E00F13">
        <w:rPr>
          <w:rFonts w:ascii="Arial" w:hAnsi="Arial" w:cs="Arial"/>
          <w:sz w:val="24"/>
          <w:szCs w:val="24"/>
        </w:rPr>
        <w:t>para la</w:t>
      </w:r>
      <w:r w:rsidR="00976B8F" w:rsidRPr="00E00F13">
        <w:rPr>
          <w:rFonts w:ascii="Arial" w:hAnsi="Arial" w:cs="Arial"/>
          <w:sz w:val="24"/>
          <w:szCs w:val="24"/>
        </w:rPr>
        <w:t xml:space="preserve"> sostenibilidad</w:t>
      </w:r>
      <w:r w:rsidR="000E21E9" w:rsidRPr="00E00F13">
        <w:rPr>
          <w:rFonts w:ascii="Arial" w:hAnsi="Arial" w:cs="Arial"/>
          <w:sz w:val="24"/>
          <w:szCs w:val="24"/>
        </w:rPr>
        <w:t xml:space="preserve"> de los proyectos. </w:t>
      </w:r>
    </w:p>
    <w:p w14:paraId="180D7377" w14:textId="77777777" w:rsidR="000E21E9" w:rsidRPr="00E00F13" w:rsidRDefault="000E21E9" w:rsidP="00976B8F">
      <w:pPr>
        <w:spacing w:after="0" w:line="360" w:lineRule="auto"/>
        <w:jc w:val="both"/>
        <w:rPr>
          <w:rFonts w:ascii="Arial" w:hAnsi="Arial" w:cs="Arial"/>
          <w:sz w:val="24"/>
          <w:szCs w:val="24"/>
        </w:rPr>
      </w:pPr>
    </w:p>
    <w:p w14:paraId="6F0278D0" w14:textId="5134FA7E" w:rsidR="00A22BD8" w:rsidRPr="00E00F13" w:rsidRDefault="000E21E9" w:rsidP="00976B8F">
      <w:pPr>
        <w:spacing w:after="0" w:line="360" w:lineRule="auto"/>
        <w:jc w:val="both"/>
        <w:rPr>
          <w:rFonts w:ascii="Arial" w:hAnsi="Arial" w:cs="Arial"/>
          <w:sz w:val="24"/>
          <w:szCs w:val="24"/>
        </w:rPr>
      </w:pPr>
      <w:r w:rsidRPr="00E00F13">
        <w:rPr>
          <w:rFonts w:ascii="Arial" w:hAnsi="Arial" w:cs="Arial"/>
          <w:sz w:val="24"/>
          <w:szCs w:val="24"/>
        </w:rPr>
        <w:t>Los decretos</w:t>
      </w:r>
      <w:r w:rsidR="009D2DFF" w:rsidRPr="00E00F13">
        <w:rPr>
          <w:rFonts w:ascii="Arial" w:hAnsi="Arial" w:cs="Arial"/>
          <w:sz w:val="24"/>
          <w:szCs w:val="24"/>
        </w:rPr>
        <w:t xml:space="preserve"> relativos al agua apta para el consumo humano y el saneamiento básico</w:t>
      </w:r>
      <w:r w:rsidRPr="00E00F13">
        <w:rPr>
          <w:rFonts w:ascii="Arial" w:hAnsi="Arial" w:cs="Arial"/>
          <w:sz w:val="24"/>
          <w:szCs w:val="24"/>
        </w:rPr>
        <w:t xml:space="preserve"> permiten </w:t>
      </w:r>
      <w:r w:rsidR="00217167" w:rsidRPr="00E00F13">
        <w:rPr>
          <w:rFonts w:ascii="Arial" w:hAnsi="Arial" w:cs="Arial"/>
          <w:sz w:val="24"/>
          <w:szCs w:val="24"/>
        </w:rPr>
        <w:t xml:space="preserve">implementar </w:t>
      </w:r>
      <w:r w:rsidRPr="00E00F13">
        <w:rPr>
          <w:rFonts w:ascii="Arial" w:hAnsi="Arial" w:cs="Arial"/>
          <w:sz w:val="24"/>
          <w:szCs w:val="24"/>
        </w:rPr>
        <w:t xml:space="preserve">las </w:t>
      </w:r>
      <w:r w:rsidR="00976B8F" w:rsidRPr="00E00F13">
        <w:rPr>
          <w:rFonts w:ascii="Arial" w:hAnsi="Arial" w:cs="Arial"/>
          <w:sz w:val="24"/>
          <w:szCs w:val="24"/>
        </w:rPr>
        <w:t>acciones requeridas para</w:t>
      </w:r>
      <w:r w:rsidR="00217167" w:rsidRPr="00E00F13">
        <w:rPr>
          <w:rFonts w:ascii="Arial" w:hAnsi="Arial" w:cs="Arial"/>
          <w:sz w:val="24"/>
          <w:szCs w:val="24"/>
        </w:rPr>
        <w:t xml:space="preserve"> mejorar</w:t>
      </w:r>
      <w:r w:rsidR="00976B8F" w:rsidRPr="00E00F13">
        <w:rPr>
          <w:rFonts w:ascii="Arial" w:hAnsi="Arial" w:cs="Arial"/>
          <w:sz w:val="24"/>
          <w:szCs w:val="24"/>
        </w:rPr>
        <w:t xml:space="preserve"> el suministro de agua</w:t>
      </w:r>
      <w:r w:rsidRPr="00E00F13">
        <w:rPr>
          <w:rFonts w:ascii="Arial" w:hAnsi="Arial" w:cs="Arial"/>
          <w:sz w:val="24"/>
          <w:szCs w:val="24"/>
        </w:rPr>
        <w:t>,</w:t>
      </w:r>
      <w:r w:rsidR="00976B8F" w:rsidRPr="00E00F13">
        <w:rPr>
          <w:rFonts w:ascii="Arial" w:hAnsi="Arial" w:cs="Arial"/>
          <w:sz w:val="24"/>
          <w:szCs w:val="24"/>
        </w:rPr>
        <w:t xml:space="preserve"> </w:t>
      </w:r>
      <w:r w:rsidR="00217167" w:rsidRPr="00E00F13">
        <w:rPr>
          <w:rFonts w:ascii="Arial" w:hAnsi="Arial" w:cs="Arial"/>
          <w:sz w:val="24"/>
          <w:szCs w:val="24"/>
        </w:rPr>
        <w:t>fortaleciendo</w:t>
      </w:r>
      <w:r w:rsidR="00976B8F" w:rsidRPr="00E00F13">
        <w:rPr>
          <w:rFonts w:ascii="Arial" w:hAnsi="Arial" w:cs="Arial"/>
          <w:sz w:val="24"/>
          <w:szCs w:val="24"/>
        </w:rPr>
        <w:t xml:space="preserve"> la gestión comunitaria. </w:t>
      </w:r>
      <w:r w:rsidR="006B1B74" w:rsidRPr="00E00F13">
        <w:rPr>
          <w:rFonts w:ascii="Arial" w:hAnsi="Arial" w:cs="Arial"/>
          <w:sz w:val="24"/>
          <w:szCs w:val="24"/>
        </w:rPr>
        <w:t>Tienen como propósito el cambio de visión para</w:t>
      </w:r>
      <w:r w:rsidR="00976B8F" w:rsidRPr="00E00F13">
        <w:rPr>
          <w:rFonts w:ascii="Arial" w:hAnsi="Arial" w:cs="Arial"/>
          <w:sz w:val="24"/>
          <w:szCs w:val="24"/>
        </w:rPr>
        <w:t xml:space="preserve"> da</w:t>
      </w:r>
      <w:r w:rsidR="006B1B74" w:rsidRPr="00E00F13">
        <w:rPr>
          <w:rFonts w:ascii="Arial" w:hAnsi="Arial" w:cs="Arial"/>
          <w:sz w:val="24"/>
          <w:szCs w:val="24"/>
        </w:rPr>
        <w:t>rle</w:t>
      </w:r>
      <w:r w:rsidR="00976B8F" w:rsidRPr="00E00F13">
        <w:rPr>
          <w:rFonts w:ascii="Arial" w:hAnsi="Arial" w:cs="Arial"/>
          <w:sz w:val="24"/>
          <w:szCs w:val="24"/>
        </w:rPr>
        <w:t xml:space="preserve"> prioridad a la vinculación </w:t>
      </w:r>
      <w:r w:rsidR="006B1B74" w:rsidRPr="00E00F13">
        <w:rPr>
          <w:rFonts w:ascii="Arial" w:hAnsi="Arial" w:cs="Arial"/>
          <w:sz w:val="24"/>
          <w:szCs w:val="24"/>
        </w:rPr>
        <w:t>a</w:t>
      </w:r>
      <w:r w:rsidR="00976B8F" w:rsidRPr="00E00F13">
        <w:rPr>
          <w:rFonts w:ascii="Arial" w:hAnsi="Arial" w:cs="Arial"/>
          <w:sz w:val="24"/>
          <w:szCs w:val="24"/>
        </w:rPr>
        <w:t xml:space="preserve"> los distintos programas a personas de especial protección constitucional. </w:t>
      </w:r>
      <w:r w:rsidR="009D2DFF" w:rsidRPr="00E00F13">
        <w:rPr>
          <w:rFonts w:ascii="Arial" w:hAnsi="Arial" w:cs="Arial"/>
          <w:sz w:val="24"/>
          <w:szCs w:val="24"/>
        </w:rPr>
        <w:t>Estos decretos son:</w:t>
      </w:r>
    </w:p>
    <w:p w14:paraId="17311848" w14:textId="008A2379" w:rsidR="00A22BD8" w:rsidRPr="00E00F13" w:rsidRDefault="00A22BD8">
      <w:pPr>
        <w:pStyle w:val="Prrafodelista"/>
        <w:numPr>
          <w:ilvl w:val="0"/>
          <w:numId w:val="46"/>
        </w:numPr>
        <w:spacing w:after="0" w:line="360" w:lineRule="auto"/>
        <w:jc w:val="both"/>
        <w:rPr>
          <w:rFonts w:ascii="Arial" w:hAnsi="Arial" w:cs="Arial"/>
          <w:sz w:val="24"/>
          <w:szCs w:val="24"/>
        </w:rPr>
      </w:pPr>
      <w:r w:rsidRPr="00E00F13">
        <w:rPr>
          <w:rFonts w:ascii="Arial" w:hAnsi="Arial" w:cs="Arial"/>
          <w:sz w:val="24"/>
          <w:szCs w:val="24"/>
        </w:rPr>
        <w:t>1381 de 2024. Basura Cero. Dignifica la labor de los recicladores de oficio.</w:t>
      </w:r>
    </w:p>
    <w:p w14:paraId="47A5DCE6" w14:textId="4E7F9978" w:rsidR="00A22BD8" w:rsidRPr="00E00F13" w:rsidRDefault="00A22BD8">
      <w:pPr>
        <w:pStyle w:val="Prrafodelista"/>
        <w:numPr>
          <w:ilvl w:val="0"/>
          <w:numId w:val="46"/>
        </w:numPr>
        <w:spacing w:after="0" w:line="360" w:lineRule="auto"/>
        <w:jc w:val="both"/>
        <w:rPr>
          <w:rFonts w:ascii="Arial" w:hAnsi="Arial" w:cs="Arial"/>
          <w:sz w:val="24"/>
          <w:szCs w:val="24"/>
        </w:rPr>
      </w:pPr>
      <w:r w:rsidRPr="00E00F13">
        <w:rPr>
          <w:rFonts w:ascii="Arial" w:hAnsi="Arial" w:cs="Arial"/>
          <w:sz w:val="24"/>
          <w:szCs w:val="24"/>
        </w:rPr>
        <w:t>670 de 2025. Promueve la economía circular de residuos sólidos.</w:t>
      </w:r>
    </w:p>
    <w:p w14:paraId="28D0B750" w14:textId="102F797F" w:rsidR="00A22BD8" w:rsidRPr="00E00F13" w:rsidRDefault="00A22BD8">
      <w:pPr>
        <w:pStyle w:val="Prrafodelista"/>
        <w:numPr>
          <w:ilvl w:val="0"/>
          <w:numId w:val="46"/>
        </w:numPr>
        <w:spacing w:after="0" w:line="360" w:lineRule="auto"/>
        <w:jc w:val="both"/>
        <w:rPr>
          <w:rFonts w:ascii="Arial" w:hAnsi="Arial" w:cs="Arial"/>
          <w:sz w:val="24"/>
          <w:szCs w:val="24"/>
        </w:rPr>
      </w:pPr>
      <w:r w:rsidRPr="00E00F13">
        <w:rPr>
          <w:rFonts w:ascii="Arial" w:hAnsi="Arial" w:cs="Arial"/>
          <w:sz w:val="24"/>
          <w:szCs w:val="24"/>
        </w:rPr>
        <w:t>774 de 2025. Regula el uso agrícola y forestal de residuos de PTAR.</w:t>
      </w:r>
    </w:p>
    <w:p w14:paraId="4292D214" w14:textId="37750143" w:rsidR="00A22BD8" w:rsidRPr="00E00F13" w:rsidRDefault="00A22BD8">
      <w:pPr>
        <w:pStyle w:val="Prrafodelista"/>
        <w:numPr>
          <w:ilvl w:val="0"/>
          <w:numId w:val="46"/>
        </w:numPr>
        <w:spacing w:after="0" w:line="360" w:lineRule="auto"/>
        <w:jc w:val="both"/>
        <w:rPr>
          <w:rFonts w:ascii="Arial" w:hAnsi="Arial" w:cs="Arial"/>
          <w:sz w:val="24"/>
          <w:szCs w:val="24"/>
        </w:rPr>
      </w:pPr>
      <w:r w:rsidRPr="00E00F13">
        <w:rPr>
          <w:rFonts w:ascii="Arial" w:hAnsi="Arial" w:cs="Arial"/>
          <w:sz w:val="24"/>
          <w:szCs w:val="24"/>
        </w:rPr>
        <w:t>776 de 2025. Garantiza el mínimo vital de agua (50 litros por persona al día). en zonas de difícil acceso.</w:t>
      </w:r>
    </w:p>
    <w:p w14:paraId="67E8F1ED" w14:textId="1EBE49CC" w:rsidR="00A22BD8" w:rsidRPr="00E00F13" w:rsidRDefault="00A22BD8">
      <w:pPr>
        <w:pStyle w:val="Prrafodelista"/>
        <w:numPr>
          <w:ilvl w:val="0"/>
          <w:numId w:val="46"/>
        </w:numPr>
        <w:spacing w:after="0" w:line="360" w:lineRule="auto"/>
        <w:jc w:val="both"/>
        <w:rPr>
          <w:rFonts w:ascii="Arial" w:hAnsi="Arial" w:cs="Arial"/>
          <w:sz w:val="24"/>
          <w:szCs w:val="24"/>
        </w:rPr>
      </w:pPr>
      <w:r w:rsidRPr="00E00F13">
        <w:rPr>
          <w:rFonts w:ascii="Arial" w:hAnsi="Arial" w:cs="Arial"/>
          <w:sz w:val="24"/>
          <w:szCs w:val="24"/>
        </w:rPr>
        <w:t>960 de 2025. Gestión comunitaria del agua.</w:t>
      </w:r>
    </w:p>
    <w:p w14:paraId="51DEC635" w14:textId="0521E484" w:rsidR="00A22BD8" w:rsidRPr="00E00F13" w:rsidRDefault="00A22BD8">
      <w:pPr>
        <w:pStyle w:val="Prrafodelista"/>
        <w:numPr>
          <w:ilvl w:val="0"/>
          <w:numId w:val="46"/>
        </w:numPr>
        <w:spacing w:after="0" w:line="360" w:lineRule="auto"/>
        <w:jc w:val="both"/>
        <w:rPr>
          <w:rFonts w:ascii="Arial" w:hAnsi="Arial" w:cs="Arial"/>
          <w:sz w:val="24"/>
          <w:szCs w:val="24"/>
        </w:rPr>
      </w:pPr>
      <w:r w:rsidRPr="00E00F13">
        <w:rPr>
          <w:rFonts w:ascii="Arial" w:hAnsi="Arial" w:cs="Arial"/>
          <w:sz w:val="24"/>
          <w:szCs w:val="24"/>
        </w:rPr>
        <w:t>073 de 2025. Giro directo de los recursos del sistema general de participaciones.</w:t>
      </w:r>
    </w:p>
    <w:p w14:paraId="0CC55B38" w14:textId="01DD05E1" w:rsidR="00A22BD8" w:rsidRPr="00E00F13" w:rsidRDefault="00A22BD8">
      <w:pPr>
        <w:pStyle w:val="Prrafodelista"/>
        <w:numPr>
          <w:ilvl w:val="0"/>
          <w:numId w:val="46"/>
        </w:numPr>
        <w:spacing w:after="0" w:line="360" w:lineRule="auto"/>
        <w:jc w:val="both"/>
        <w:rPr>
          <w:rFonts w:ascii="Arial" w:hAnsi="Arial" w:cs="Arial"/>
          <w:sz w:val="24"/>
          <w:szCs w:val="24"/>
        </w:rPr>
      </w:pPr>
      <w:r w:rsidRPr="00E00F13">
        <w:rPr>
          <w:rFonts w:ascii="Arial" w:hAnsi="Arial" w:cs="Arial"/>
          <w:sz w:val="24"/>
          <w:szCs w:val="24"/>
        </w:rPr>
        <w:t>406 de 2025. Recursos para agua. Fonvivienda.</w:t>
      </w:r>
    </w:p>
    <w:p w14:paraId="00CD16C1" w14:textId="77506DF4" w:rsidR="003364B5" w:rsidRPr="00E00F13" w:rsidRDefault="003364B5" w:rsidP="00976B8F">
      <w:pPr>
        <w:spacing w:after="0" w:line="360" w:lineRule="auto"/>
        <w:jc w:val="both"/>
        <w:rPr>
          <w:rFonts w:ascii="Arial" w:hAnsi="Arial" w:cs="Arial"/>
          <w:sz w:val="24"/>
          <w:szCs w:val="24"/>
        </w:rPr>
      </w:pPr>
    </w:p>
    <w:p w14:paraId="6E6E0E45" w14:textId="287CBB6E" w:rsidR="00AD6A7E" w:rsidRPr="00E00F13" w:rsidRDefault="00AD6A7E" w:rsidP="006B5CAF">
      <w:pPr>
        <w:spacing w:after="0" w:line="360" w:lineRule="auto"/>
        <w:jc w:val="both"/>
        <w:rPr>
          <w:rFonts w:ascii="Arial" w:hAnsi="Arial" w:cs="Arial"/>
          <w:sz w:val="24"/>
          <w:szCs w:val="24"/>
        </w:rPr>
      </w:pPr>
      <w:r w:rsidRPr="00E00F13">
        <w:rPr>
          <w:rFonts w:ascii="Arial" w:hAnsi="Arial" w:cs="Arial"/>
          <w:sz w:val="24"/>
          <w:szCs w:val="24"/>
        </w:rPr>
        <w:t>En ellos s</w:t>
      </w:r>
      <w:r w:rsidR="00A22BD8" w:rsidRPr="00E00F13">
        <w:rPr>
          <w:rFonts w:ascii="Arial" w:hAnsi="Arial" w:cs="Arial"/>
          <w:sz w:val="24"/>
          <w:szCs w:val="24"/>
        </w:rPr>
        <w:t xml:space="preserve">e reconoce </w:t>
      </w:r>
      <w:r w:rsidR="008F34D4" w:rsidRPr="00E00F13">
        <w:rPr>
          <w:rFonts w:ascii="Arial" w:hAnsi="Arial" w:cs="Arial"/>
          <w:sz w:val="24"/>
          <w:szCs w:val="24"/>
        </w:rPr>
        <w:t>a</w:t>
      </w:r>
      <w:r w:rsidR="00A22BD8" w:rsidRPr="00E00F13">
        <w:rPr>
          <w:rFonts w:ascii="Arial" w:hAnsi="Arial" w:cs="Arial"/>
          <w:sz w:val="24"/>
          <w:szCs w:val="24"/>
        </w:rPr>
        <w:t>l agua como bien común y derecho humano fundamental</w:t>
      </w:r>
      <w:r w:rsidR="005A6364" w:rsidRPr="00E00F13">
        <w:rPr>
          <w:rFonts w:ascii="Arial" w:hAnsi="Arial" w:cs="Arial"/>
          <w:sz w:val="24"/>
          <w:szCs w:val="24"/>
        </w:rPr>
        <w:t xml:space="preserve">; se redefine la política de residuos sólidos en Colombia: pasa de un modelo centrado en disposición final a uno basado en economía circular, aprovechamiento, inclusión de recicladores y gestión territorial integrada; se dignifica la labor de los recicladores </w:t>
      </w:r>
      <w:r w:rsidR="005A6364" w:rsidRPr="00E00F13">
        <w:rPr>
          <w:rFonts w:ascii="Arial" w:hAnsi="Arial" w:cs="Arial"/>
          <w:sz w:val="24"/>
          <w:szCs w:val="24"/>
        </w:rPr>
        <w:lastRenderedPageBreak/>
        <w:t xml:space="preserve">de oficio; se </w:t>
      </w:r>
      <w:r w:rsidR="000E21E9" w:rsidRPr="00E00F13">
        <w:rPr>
          <w:rFonts w:ascii="Arial" w:hAnsi="Arial" w:cs="Arial"/>
          <w:sz w:val="24"/>
          <w:szCs w:val="24"/>
        </w:rPr>
        <w:t>defin</w:t>
      </w:r>
      <w:r w:rsidR="005A6364" w:rsidRPr="00E00F13">
        <w:rPr>
          <w:rFonts w:ascii="Arial" w:hAnsi="Arial" w:cs="Arial"/>
          <w:sz w:val="24"/>
          <w:szCs w:val="24"/>
        </w:rPr>
        <w:t>en</w:t>
      </w:r>
      <w:r w:rsidR="000E21E9" w:rsidRPr="00E00F13">
        <w:rPr>
          <w:rFonts w:ascii="Arial" w:hAnsi="Arial" w:cs="Arial"/>
          <w:sz w:val="24"/>
          <w:szCs w:val="24"/>
        </w:rPr>
        <w:t xml:space="preserve"> las condiciones hacia el aseguramiento del mínimo vital de agua para el consumo humano y el saneamiento básico, que incluye </w:t>
      </w:r>
      <w:r w:rsidR="003364B5" w:rsidRPr="00E00F13">
        <w:rPr>
          <w:rFonts w:ascii="Arial" w:hAnsi="Arial" w:cs="Arial"/>
          <w:sz w:val="24"/>
          <w:szCs w:val="24"/>
        </w:rPr>
        <w:t xml:space="preserve">el manejo y aprovechamiento de residuos </w:t>
      </w:r>
      <w:r w:rsidR="000E21E9" w:rsidRPr="00E00F13">
        <w:rPr>
          <w:rFonts w:ascii="Arial" w:hAnsi="Arial" w:cs="Arial"/>
          <w:sz w:val="24"/>
          <w:szCs w:val="24"/>
        </w:rPr>
        <w:t>y</w:t>
      </w:r>
      <w:r w:rsidR="003364B5" w:rsidRPr="00E00F13">
        <w:rPr>
          <w:rFonts w:ascii="Arial" w:hAnsi="Arial" w:cs="Arial"/>
          <w:sz w:val="24"/>
          <w:szCs w:val="24"/>
        </w:rPr>
        <w:t xml:space="preserve"> </w:t>
      </w:r>
      <w:r w:rsidR="00E85E0C" w:rsidRPr="00E00F13">
        <w:rPr>
          <w:rFonts w:ascii="Arial" w:hAnsi="Arial" w:cs="Arial"/>
          <w:sz w:val="24"/>
          <w:szCs w:val="24"/>
        </w:rPr>
        <w:t>orienta las acciones de política hacia</w:t>
      </w:r>
      <w:r w:rsidR="003364B5" w:rsidRPr="00E00F13">
        <w:rPr>
          <w:rFonts w:ascii="Arial" w:hAnsi="Arial" w:cs="Arial"/>
          <w:sz w:val="24"/>
          <w:szCs w:val="24"/>
        </w:rPr>
        <w:t xml:space="preserve"> la economía circular</w:t>
      </w:r>
      <w:r w:rsidR="005A6364" w:rsidRPr="00E00F13">
        <w:rPr>
          <w:rFonts w:ascii="Arial" w:hAnsi="Arial" w:cs="Arial"/>
          <w:sz w:val="24"/>
          <w:szCs w:val="24"/>
        </w:rPr>
        <w:t>, entre otros asuntos fundamentales.</w:t>
      </w:r>
      <w:r w:rsidR="00820382" w:rsidRPr="00E00F13">
        <w:rPr>
          <w:rFonts w:ascii="Arial" w:hAnsi="Arial" w:cs="Arial"/>
          <w:sz w:val="24"/>
          <w:szCs w:val="24"/>
        </w:rPr>
        <w:t xml:space="preserve"> </w:t>
      </w:r>
    </w:p>
    <w:p w14:paraId="4B529A41" w14:textId="77777777" w:rsidR="00AD6A7E" w:rsidRPr="00E00F13" w:rsidRDefault="00AD6A7E" w:rsidP="006B5CAF">
      <w:pPr>
        <w:spacing w:after="0" w:line="360" w:lineRule="auto"/>
        <w:jc w:val="both"/>
        <w:rPr>
          <w:rFonts w:ascii="Arial" w:hAnsi="Arial" w:cs="Arial"/>
          <w:sz w:val="24"/>
          <w:szCs w:val="24"/>
        </w:rPr>
      </w:pPr>
    </w:p>
    <w:p w14:paraId="2303D914" w14:textId="350FB613" w:rsidR="003364B5" w:rsidRPr="00E00F13" w:rsidRDefault="00296C02" w:rsidP="006B5CAF">
      <w:pPr>
        <w:spacing w:after="0" w:line="360" w:lineRule="auto"/>
        <w:jc w:val="both"/>
        <w:rPr>
          <w:rFonts w:ascii="Arial" w:hAnsi="Arial" w:cs="Arial"/>
          <w:sz w:val="24"/>
          <w:szCs w:val="24"/>
        </w:rPr>
      </w:pPr>
      <w:r w:rsidRPr="00E00F13">
        <w:rPr>
          <w:rFonts w:ascii="Arial" w:hAnsi="Arial" w:cs="Arial"/>
          <w:sz w:val="24"/>
          <w:szCs w:val="24"/>
        </w:rPr>
        <w:t xml:space="preserve">Uno de los decretos </w:t>
      </w:r>
      <w:r w:rsidR="009737C5" w:rsidRPr="00E00F13">
        <w:rPr>
          <w:rFonts w:ascii="Arial" w:hAnsi="Arial" w:cs="Arial"/>
          <w:sz w:val="24"/>
          <w:szCs w:val="24"/>
        </w:rPr>
        <w:t>fundamentales</w:t>
      </w:r>
      <w:r w:rsidRPr="00E00F13">
        <w:rPr>
          <w:rFonts w:ascii="Arial" w:hAnsi="Arial" w:cs="Arial"/>
          <w:sz w:val="24"/>
          <w:szCs w:val="24"/>
        </w:rPr>
        <w:t xml:space="preserve"> en este cambio político </w:t>
      </w:r>
      <w:r w:rsidR="009737C5" w:rsidRPr="00E00F13">
        <w:rPr>
          <w:rFonts w:ascii="Arial" w:hAnsi="Arial" w:cs="Arial"/>
          <w:sz w:val="24"/>
          <w:szCs w:val="24"/>
        </w:rPr>
        <w:t>es el 1381 de 2024</w:t>
      </w:r>
      <w:r w:rsidR="00AD6A7E" w:rsidRPr="00E00F13">
        <w:rPr>
          <w:rFonts w:ascii="Arial" w:hAnsi="Arial" w:cs="Arial"/>
          <w:sz w:val="24"/>
          <w:szCs w:val="24"/>
        </w:rPr>
        <w:t>, que</w:t>
      </w:r>
      <w:r w:rsidR="009737C5" w:rsidRPr="00E00F13">
        <w:rPr>
          <w:rFonts w:ascii="Arial" w:hAnsi="Arial" w:cs="Arial"/>
          <w:sz w:val="24"/>
          <w:szCs w:val="24"/>
        </w:rPr>
        <w:t xml:space="preserve"> </w:t>
      </w:r>
      <w:r w:rsidR="00AD6A7E" w:rsidRPr="00E00F13">
        <w:rPr>
          <w:rFonts w:ascii="Arial" w:hAnsi="Arial" w:cs="Arial"/>
          <w:sz w:val="24"/>
          <w:szCs w:val="24"/>
        </w:rPr>
        <w:t>c</w:t>
      </w:r>
      <w:r w:rsidR="009737C5" w:rsidRPr="00E00F13">
        <w:rPr>
          <w:rFonts w:ascii="Arial" w:hAnsi="Arial" w:cs="Arial"/>
          <w:sz w:val="24"/>
          <w:szCs w:val="24"/>
        </w:rPr>
        <w:t>onstituye un avance clave para la dignificación de los recicladores de oficio. Valida su papel esencial en la gestión de residuos sólidos y en la economía circular, y también promueve medidas concretas para garantizar su inclusión social, económica y organizativa, así como el acceso a condiciones de trabajo más justas y seguras. De este modo, el decreto fortalece su reconocimiento como actores fundamentales del servicio público de aseo y contribuye a la construcción de un modelo más equitativo y sostenible.</w:t>
      </w:r>
    </w:p>
    <w:p w14:paraId="361DE02C" w14:textId="77777777" w:rsidR="00820382" w:rsidRPr="00E00F13" w:rsidRDefault="00820382" w:rsidP="006B5CAF">
      <w:pPr>
        <w:spacing w:after="0" w:line="360" w:lineRule="auto"/>
        <w:jc w:val="both"/>
        <w:rPr>
          <w:rFonts w:ascii="Arial" w:hAnsi="Arial" w:cs="Arial"/>
          <w:sz w:val="24"/>
          <w:szCs w:val="24"/>
        </w:rPr>
      </w:pPr>
    </w:p>
    <w:p w14:paraId="146CC988" w14:textId="078CA970" w:rsidR="00144C70" w:rsidRPr="00E00F13" w:rsidRDefault="00144C70" w:rsidP="000E0345">
      <w:pPr>
        <w:spacing w:after="0" w:line="360" w:lineRule="auto"/>
        <w:jc w:val="both"/>
        <w:rPr>
          <w:rFonts w:ascii="Arial" w:hAnsi="Arial" w:cs="Arial"/>
          <w:sz w:val="24"/>
          <w:szCs w:val="24"/>
        </w:rPr>
      </w:pPr>
      <w:r w:rsidRPr="00E00F13">
        <w:rPr>
          <w:rFonts w:ascii="Arial" w:hAnsi="Arial" w:cs="Arial"/>
          <w:sz w:val="24"/>
          <w:szCs w:val="24"/>
        </w:rPr>
        <w:t>E</w:t>
      </w:r>
      <w:r w:rsidR="005A6364" w:rsidRPr="00E00F13">
        <w:rPr>
          <w:rFonts w:ascii="Arial" w:hAnsi="Arial" w:cs="Arial"/>
          <w:sz w:val="24"/>
          <w:szCs w:val="24"/>
        </w:rPr>
        <w:t>n este sentido, e</w:t>
      </w:r>
      <w:r w:rsidRPr="00E00F13">
        <w:rPr>
          <w:rFonts w:ascii="Arial" w:hAnsi="Arial" w:cs="Arial"/>
          <w:sz w:val="24"/>
          <w:szCs w:val="24"/>
        </w:rPr>
        <w:t xml:space="preserve">l cambio de </w:t>
      </w:r>
      <w:r w:rsidR="00A07FDD" w:rsidRPr="00E00F13">
        <w:rPr>
          <w:rFonts w:ascii="Arial" w:hAnsi="Arial" w:cs="Arial"/>
          <w:sz w:val="24"/>
          <w:szCs w:val="24"/>
        </w:rPr>
        <w:t xml:space="preserve">visión </w:t>
      </w:r>
      <w:r w:rsidR="00642A1B" w:rsidRPr="00E00F13">
        <w:rPr>
          <w:rFonts w:ascii="Arial" w:hAnsi="Arial" w:cs="Arial"/>
          <w:sz w:val="24"/>
          <w:szCs w:val="24"/>
        </w:rPr>
        <w:t xml:space="preserve">tanto en vivienda como en agua </w:t>
      </w:r>
      <w:r w:rsidR="005A6364" w:rsidRPr="00E00F13">
        <w:rPr>
          <w:rFonts w:ascii="Arial" w:hAnsi="Arial" w:cs="Arial"/>
          <w:sz w:val="24"/>
          <w:szCs w:val="24"/>
        </w:rPr>
        <w:t xml:space="preserve">apta </w:t>
      </w:r>
      <w:r w:rsidR="00642A1B" w:rsidRPr="00E00F13">
        <w:rPr>
          <w:rFonts w:ascii="Arial" w:hAnsi="Arial" w:cs="Arial"/>
          <w:sz w:val="24"/>
          <w:szCs w:val="24"/>
        </w:rPr>
        <w:t>para el consumo humano y saneamiento básico</w:t>
      </w:r>
      <w:r w:rsidRPr="00E00F13">
        <w:rPr>
          <w:rFonts w:ascii="Arial" w:hAnsi="Arial" w:cs="Arial"/>
          <w:sz w:val="24"/>
          <w:szCs w:val="24"/>
        </w:rPr>
        <w:t xml:space="preserve"> significa:</w:t>
      </w:r>
    </w:p>
    <w:p w14:paraId="7E04FA22" w14:textId="41AB2CDD" w:rsidR="000E0345" w:rsidRPr="00E00F13" w:rsidRDefault="000E0345" w:rsidP="005E33C6">
      <w:pPr>
        <w:numPr>
          <w:ilvl w:val="0"/>
          <w:numId w:val="10"/>
        </w:numPr>
        <w:spacing w:after="0" w:line="360" w:lineRule="auto"/>
        <w:jc w:val="both"/>
        <w:rPr>
          <w:rFonts w:ascii="Arial" w:hAnsi="Arial" w:cs="Arial"/>
          <w:sz w:val="24"/>
          <w:szCs w:val="24"/>
        </w:rPr>
      </w:pPr>
      <w:r w:rsidRPr="00E00F13">
        <w:rPr>
          <w:rFonts w:ascii="Arial" w:hAnsi="Arial" w:cs="Arial"/>
          <w:sz w:val="24"/>
          <w:szCs w:val="24"/>
        </w:rPr>
        <w:t>Que la política de vivienda y de agua</w:t>
      </w:r>
      <w:r w:rsidR="00B97391" w:rsidRPr="00E00F13">
        <w:rPr>
          <w:rFonts w:ascii="Arial" w:hAnsi="Arial" w:cs="Arial"/>
          <w:sz w:val="24"/>
          <w:szCs w:val="24"/>
        </w:rPr>
        <w:t xml:space="preserve"> para el consumo humano</w:t>
      </w:r>
      <w:r w:rsidRPr="00E00F13">
        <w:rPr>
          <w:rFonts w:ascii="Arial" w:hAnsi="Arial" w:cs="Arial"/>
          <w:sz w:val="24"/>
          <w:szCs w:val="24"/>
        </w:rPr>
        <w:t xml:space="preserve"> deja de ser solo un instrumento económico para pasar a ser un proceso social de coproducción del hábitat.</w:t>
      </w:r>
    </w:p>
    <w:p w14:paraId="637D1C3E" w14:textId="77777777" w:rsidR="00B97391" w:rsidRPr="00E00F13" w:rsidRDefault="00B97391" w:rsidP="005E33C6">
      <w:pPr>
        <w:numPr>
          <w:ilvl w:val="0"/>
          <w:numId w:val="10"/>
        </w:numPr>
        <w:spacing w:after="0" w:line="360" w:lineRule="auto"/>
        <w:jc w:val="both"/>
        <w:rPr>
          <w:rFonts w:ascii="Arial" w:hAnsi="Arial" w:cs="Arial"/>
          <w:sz w:val="24"/>
          <w:szCs w:val="24"/>
        </w:rPr>
      </w:pPr>
      <w:r w:rsidRPr="00E00F13">
        <w:rPr>
          <w:rFonts w:ascii="Arial" w:hAnsi="Arial" w:cs="Arial"/>
          <w:sz w:val="24"/>
          <w:szCs w:val="24"/>
        </w:rPr>
        <w:t>Respetar e incorporar las múltiples formas de vivir y producir vivienda y hábitat según el territorio, la cultura, las materialidades y las prácticas sociales.</w:t>
      </w:r>
    </w:p>
    <w:p w14:paraId="05AA96A8" w14:textId="5029DF9D" w:rsidR="00B97391" w:rsidRPr="00E00F13" w:rsidRDefault="00B97391" w:rsidP="005E33C6">
      <w:pPr>
        <w:numPr>
          <w:ilvl w:val="0"/>
          <w:numId w:val="10"/>
        </w:numPr>
        <w:spacing w:after="0" w:line="360" w:lineRule="auto"/>
        <w:jc w:val="both"/>
        <w:rPr>
          <w:rFonts w:ascii="Arial" w:hAnsi="Arial" w:cs="Arial"/>
          <w:sz w:val="24"/>
          <w:szCs w:val="24"/>
        </w:rPr>
      </w:pPr>
      <w:r w:rsidRPr="00E00F13">
        <w:rPr>
          <w:rFonts w:ascii="Arial" w:hAnsi="Arial" w:cs="Arial"/>
          <w:sz w:val="24"/>
          <w:szCs w:val="24"/>
        </w:rPr>
        <w:t>Fortalecer a la comunidad organizada para lograr procesos de autogestión</w:t>
      </w:r>
      <w:r w:rsidR="006B1B74" w:rsidRPr="00E00F13">
        <w:rPr>
          <w:rFonts w:ascii="Arial" w:hAnsi="Arial" w:cs="Arial"/>
          <w:sz w:val="24"/>
          <w:szCs w:val="24"/>
        </w:rPr>
        <w:t xml:space="preserve"> y</w:t>
      </w:r>
      <w:r w:rsidR="00501479" w:rsidRPr="00E00F13">
        <w:rPr>
          <w:rFonts w:ascii="Arial" w:hAnsi="Arial" w:cs="Arial"/>
          <w:sz w:val="24"/>
          <w:szCs w:val="24"/>
        </w:rPr>
        <w:t xml:space="preserve"> desarrollar proyectos que permitan y mejoren el acceso</w:t>
      </w:r>
      <w:r w:rsidR="006B1B74" w:rsidRPr="00E00F13">
        <w:rPr>
          <w:rFonts w:ascii="Arial" w:hAnsi="Arial" w:cs="Arial"/>
          <w:sz w:val="24"/>
          <w:szCs w:val="24"/>
        </w:rPr>
        <w:t xml:space="preserve"> agua para el consumo humano y el saneamiento básico</w:t>
      </w:r>
      <w:r w:rsidRPr="00E00F13">
        <w:rPr>
          <w:rFonts w:ascii="Arial" w:hAnsi="Arial" w:cs="Arial"/>
          <w:sz w:val="24"/>
          <w:szCs w:val="24"/>
        </w:rPr>
        <w:t>.</w:t>
      </w:r>
    </w:p>
    <w:p w14:paraId="3175B03E" w14:textId="25276AF2" w:rsidR="00144C70" w:rsidRPr="00E00F13" w:rsidRDefault="000E0345" w:rsidP="005E33C6">
      <w:pPr>
        <w:numPr>
          <w:ilvl w:val="0"/>
          <w:numId w:val="10"/>
        </w:numPr>
        <w:spacing w:after="0" w:line="360" w:lineRule="auto"/>
        <w:jc w:val="both"/>
        <w:rPr>
          <w:rFonts w:ascii="Arial" w:hAnsi="Arial" w:cs="Arial"/>
          <w:sz w:val="24"/>
          <w:szCs w:val="24"/>
        </w:rPr>
      </w:pPr>
      <w:r w:rsidRPr="00E00F13">
        <w:rPr>
          <w:rFonts w:ascii="Arial" w:hAnsi="Arial" w:cs="Arial"/>
          <w:sz w:val="24"/>
          <w:szCs w:val="24"/>
        </w:rPr>
        <w:t>Pa</w:t>
      </w:r>
      <w:r w:rsidR="00144C70" w:rsidRPr="00E00F13">
        <w:rPr>
          <w:rFonts w:ascii="Arial" w:hAnsi="Arial" w:cs="Arial"/>
          <w:sz w:val="24"/>
          <w:szCs w:val="24"/>
        </w:rPr>
        <w:t>sar de un Estado pagador —centrado en subsidios individuales y en la relación con el sistema financiero— a un Estado acompañante, que gestiona, facilita y produce soluciones</w:t>
      </w:r>
      <w:r w:rsidR="00764BD0" w:rsidRPr="00E00F13">
        <w:rPr>
          <w:rFonts w:ascii="Arial" w:hAnsi="Arial" w:cs="Arial"/>
          <w:sz w:val="24"/>
          <w:szCs w:val="24"/>
        </w:rPr>
        <w:t xml:space="preserve"> de vivienda</w:t>
      </w:r>
      <w:r w:rsidR="00144C70" w:rsidRPr="00E00F13">
        <w:rPr>
          <w:rFonts w:ascii="Arial" w:hAnsi="Arial" w:cs="Arial"/>
          <w:sz w:val="24"/>
          <w:szCs w:val="24"/>
        </w:rPr>
        <w:t xml:space="preserve"> con las comunida</w:t>
      </w:r>
      <w:r w:rsidR="00764BD0" w:rsidRPr="00E00F13">
        <w:rPr>
          <w:rFonts w:ascii="Arial" w:hAnsi="Arial" w:cs="Arial"/>
          <w:sz w:val="24"/>
          <w:szCs w:val="24"/>
        </w:rPr>
        <w:t>des.</w:t>
      </w:r>
    </w:p>
    <w:p w14:paraId="46404F11" w14:textId="70F5B88D" w:rsidR="00144C70" w:rsidRPr="00E00F13" w:rsidRDefault="00144C70" w:rsidP="005E33C6">
      <w:pPr>
        <w:numPr>
          <w:ilvl w:val="0"/>
          <w:numId w:val="10"/>
        </w:numPr>
        <w:spacing w:after="0" w:line="360" w:lineRule="auto"/>
        <w:jc w:val="both"/>
        <w:rPr>
          <w:rFonts w:ascii="Arial" w:hAnsi="Arial" w:cs="Arial"/>
          <w:sz w:val="24"/>
          <w:szCs w:val="24"/>
        </w:rPr>
      </w:pPr>
      <w:r w:rsidRPr="00E00F13">
        <w:rPr>
          <w:rFonts w:ascii="Arial" w:hAnsi="Arial" w:cs="Arial"/>
          <w:sz w:val="24"/>
          <w:szCs w:val="24"/>
        </w:rPr>
        <w:t>Redefinir el rol del Ministerio como facilitador, articulador y garante de condiciones para la autogestión</w:t>
      </w:r>
      <w:r w:rsidR="000E0345" w:rsidRPr="00E00F13">
        <w:rPr>
          <w:rFonts w:ascii="Arial" w:hAnsi="Arial" w:cs="Arial"/>
          <w:sz w:val="24"/>
          <w:szCs w:val="24"/>
        </w:rPr>
        <w:t xml:space="preserve"> y no como mero tramitador</w:t>
      </w:r>
      <w:r w:rsidRPr="00E00F13">
        <w:rPr>
          <w:rFonts w:ascii="Arial" w:hAnsi="Arial" w:cs="Arial"/>
          <w:sz w:val="24"/>
          <w:szCs w:val="24"/>
        </w:rPr>
        <w:t xml:space="preserve">. </w:t>
      </w:r>
    </w:p>
    <w:p w14:paraId="1CC09FCA" w14:textId="0CF4124C" w:rsidR="000E0345" w:rsidRPr="00E00F13" w:rsidRDefault="000E0345" w:rsidP="005E33C6">
      <w:pPr>
        <w:numPr>
          <w:ilvl w:val="0"/>
          <w:numId w:val="10"/>
        </w:numPr>
        <w:spacing w:after="0" w:line="360" w:lineRule="auto"/>
        <w:jc w:val="both"/>
        <w:rPr>
          <w:rFonts w:ascii="Arial" w:hAnsi="Arial" w:cs="Arial"/>
          <w:sz w:val="24"/>
          <w:szCs w:val="24"/>
        </w:rPr>
      </w:pPr>
      <w:r w:rsidRPr="00E00F13">
        <w:rPr>
          <w:rFonts w:ascii="Arial" w:hAnsi="Arial" w:cs="Arial"/>
          <w:sz w:val="24"/>
          <w:szCs w:val="24"/>
        </w:rPr>
        <w:lastRenderedPageBreak/>
        <w:t>Reconocer el proceso comunitario y no únicamente</w:t>
      </w:r>
      <w:r w:rsidR="00B97391" w:rsidRPr="00E00F13">
        <w:rPr>
          <w:rFonts w:ascii="Arial" w:hAnsi="Arial" w:cs="Arial"/>
          <w:sz w:val="24"/>
          <w:szCs w:val="24"/>
        </w:rPr>
        <w:t xml:space="preserve"> la casa</w:t>
      </w:r>
      <w:r w:rsidR="00764BD0" w:rsidRPr="00E00F13">
        <w:rPr>
          <w:rFonts w:ascii="Arial" w:hAnsi="Arial" w:cs="Arial"/>
          <w:sz w:val="24"/>
          <w:szCs w:val="24"/>
        </w:rPr>
        <w:t xml:space="preserve">, </w:t>
      </w:r>
      <w:r w:rsidR="006B1B74" w:rsidRPr="00E00F13">
        <w:rPr>
          <w:rFonts w:ascii="Arial" w:hAnsi="Arial" w:cs="Arial"/>
          <w:sz w:val="24"/>
          <w:szCs w:val="24"/>
        </w:rPr>
        <w:t>el acueducto</w:t>
      </w:r>
      <w:r w:rsidR="00764BD0" w:rsidRPr="00E00F13">
        <w:rPr>
          <w:rFonts w:ascii="Arial" w:hAnsi="Arial" w:cs="Arial"/>
          <w:sz w:val="24"/>
          <w:szCs w:val="24"/>
        </w:rPr>
        <w:t>, el alcantarilla</w:t>
      </w:r>
      <w:r w:rsidR="006749F8" w:rsidRPr="00E00F13">
        <w:rPr>
          <w:rFonts w:ascii="Arial" w:hAnsi="Arial" w:cs="Arial"/>
          <w:sz w:val="24"/>
          <w:szCs w:val="24"/>
        </w:rPr>
        <w:t>do</w:t>
      </w:r>
      <w:r w:rsidR="00764BD0" w:rsidRPr="00E00F13">
        <w:rPr>
          <w:rFonts w:ascii="Arial" w:hAnsi="Arial" w:cs="Arial"/>
          <w:sz w:val="24"/>
          <w:szCs w:val="24"/>
        </w:rPr>
        <w:t xml:space="preserve"> o los sistemas de disposición de residuos</w:t>
      </w:r>
      <w:r w:rsidR="006B1B74" w:rsidRPr="00E00F13">
        <w:rPr>
          <w:rFonts w:ascii="Arial" w:hAnsi="Arial" w:cs="Arial"/>
          <w:sz w:val="24"/>
          <w:szCs w:val="24"/>
        </w:rPr>
        <w:t xml:space="preserve"> </w:t>
      </w:r>
      <w:r w:rsidR="00B97391" w:rsidRPr="00E00F13">
        <w:rPr>
          <w:rFonts w:ascii="Arial" w:hAnsi="Arial" w:cs="Arial"/>
          <w:sz w:val="24"/>
          <w:szCs w:val="24"/>
        </w:rPr>
        <w:t>como</w:t>
      </w:r>
      <w:r w:rsidRPr="00E00F13">
        <w:rPr>
          <w:rFonts w:ascii="Arial" w:hAnsi="Arial" w:cs="Arial"/>
          <w:sz w:val="24"/>
          <w:szCs w:val="24"/>
        </w:rPr>
        <w:t xml:space="preserve"> producto final. </w:t>
      </w:r>
    </w:p>
    <w:p w14:paraId="0642F154" w14:textId="5BF9E158" w:rsidR="00296C02" w:rsidRPr="00E00F13" w:rsidRDefault="00296C02" w:rsidP="00296C02">
      <w:pPr>
        <w:numPr>
          <w:ilvl w:val="0"/>
          <w:numId w:val="10"/>
        </w:numPr>
        <w:spacing w:after="0" w:line="360" w:lineRule="auto"/>
        <w:jc w:val="both"/>
        <w:rPr>
          <w:rFonts w:ascii="Arial" w:hAnsi="Arial" w:cs="Arial"/>
          <w:sz w:val="24"/>
          <w:szCs w:val="24"/>
        </w:rPr>
      </w:pPr>
      <w:r w:rsidRPr="00E00F13">
        <w:rPr>
          <w:rFonts w:ascii="Arial" w:hAnsi="Arial" w:cs="Arial"/>
          <w:sz w:val="24"/>
          <w:szCs w:val="24"/>
        </w:rPr>
        <w:t xml:space="preserve">Reconocer a los recicladores de oficio como sujetos de especial protección y establecer acciones afirmativas orientadas a superar las condiciones históricas de exclusión en las que han desarrollado su labor. </w:t>
      </w:r>
    </w:p>
    <w:p w14:paraId="33DCCC47" w14:textId="1F038DFE" w:rsidR="009737C5" w:rsidRPr="00E00F13" w:rsidRDefault="009737C5" w:rsidP="00296C02">
      <w:pPr>
        <w:numPr>
          <w:ilvl w:val="0"/>
          <w:numId w:val="10"/>
        </w:numPr>
        <w:spacing w:after="0" w:line="360" w:lineRule="auto"/>
        <w:jc w:val="both"/>
        <w:rPr>
          <w:rFonts w:ascii="Arial" w:hAnsi="Arial" w:cs="Arial"/>
          <w:sz w:val="24"/>
          <w:szCs w:val="24"/>
        </w:rPr>
      </w:pPr>
      <w:r w:rsidRPr="00E00F13">
        <w:rPr>
          <w:rFonts w:ascii="Helvetica" w:hAnsi="Helvetica" w:cs="Helvetica"/>
          <w:sz w:val="24"/>
          <w:szCs w:val="24"/>
          <w:lang w:val="es-ES_tradnl"/>
        </w:rPr>
        <w:t>Reconocer el cambio climático en el mejoramiento de vivienda, así como un factor económico adicional para hogares con miembros con movilidad reducida y en el evento de que el transporte de materiales sea de difícil acceso.</w:t>
      </w:r>
    </w:p>
    <w:p w14:paraId="712AF780" w14:textId="4C23A3F2" w:rsidR="005B4C5F" w:rsidRPr="00E00F13" w:rsidRDefault="000E0345" w:rsidP="005B4C5F">
      <w:pPr>
        <w:numPr>
          <w:ilvl w:val="0"/>
          <w:numId w:val="10"/>
        </w:numPr>
        <w:spacing w:after="0" w:line="360" w:lineRule="auto"/>
        <w:jc w:val="both"/>
        <w:rPr>
          <w:rFonts w:ascii="Arial" w:hAnsi="Arial" w:cs="Arial"/>
          <w:sz w:val="24"/>
          <w:szCs w:val="24"/>
        </w:rPr>
      </w:pPr>
      <w:r w:rsidRPr="00E00F13">
        <w:rPr>
          <w:rFonts w:ascii="Arial" w:hAnsi="Arial" w:cs="Arial"/>
          <w:sz w:val="24"/>
          <w:szCs w:val="24"/>
        </w:rPr>
        <w:t>Reconocer l</w:t>
      </w:r>
      <w:r w:rsidR="00144C70" w:rsidRPr="00E00F13">
        <w:rPr>
          <w:rFonts w:ascii="Arial" w:hAnsi="Arial" w:cs="Arial"/>
          <w:sz w:val="24"/>
          <w:szCs w:val="24"/>
        </w:rPr>
        <w:t xml:space="preserve">a </w:t>
      </w:r>
      <w:r w:rsidR="00EB0767" w:rsidRPr="00E00F13">
        <w:rPr>
          <w:rFonts w:ascii="Arial" w:hAnsi="Arial" w:cs="Arial"/>
          <w:sz w:val="24"/>
          <w:szCs w:val="24"/>
        </w:rPr>
        <w:t>Asistencia Técnica</w:t>
      </w:r>
      <w:r w:rsidR="00144C70" w:rsidRPr="00E00F13">
        <w:rPr>
          <w:rFonts w:ascii="Arial" w:hAnsi="Arial" w:cs="Arial"/>
          <w:sz w:val="24"/>
          <w:szCs w:val="24"/>
        </w:rPr>
        <w:t xml:space="preserve"> Integral </w:t>
      </w:r>
      <w:r w:rsidRPr="00E00F13">
        <w:rPr>
          <w:rFonts w:ascii="Arial" w:hAnsi="Arial" w:cs="Arial"/>
          <w:sz w:val="24"/>
          <w:szCs w:val="24"/>
        </w:rPr>
        <w:t xml:space="preserve">como la que </w:t>
      </w:r>
      <w:r w:rsidR="00B97391" w:rsidRPr="00E00F13">
        <w:rPr>
          <w:rFonts w:ascii="Arial" w:hAnsi="Arial" w:cs="Arial"/>
          <w:sz w:val="24"/>
          <w:szCs w:val="24"/>
        </w:rPr>
        <w:t>promueve</w:t>
      </w:r>
      <w:r w:rsidR="00144C70" w:rsidRPr="00E00F13">
        <w:rPr>
          <w:rFonts w:ascii="Arial" w:hAnsi="Arial" w:cs="Arial"/>
          <w:sz w:val="24"/>
          <w:szCs w:val="24"/>
        </w:rPr>
        <w:t xml:space="preserve"> esta transición, al </w:t>
      </w:r>
      <w:r w:rsidR="006749F8" w:rsidRPr="00E00F13">
        <w:rPr>
          <w:rFonts w:ascii="Arial" w:hAnsi="Arial" w:cs="Arial"/>
          <w:sz w:val="24"/>
          <w:szCs w:val="24"/>
        </w:rPr>
        <w:t>reconocer</w:t>
      </w:r>
      <w:r w:rsidR="00144C70" w:rsidRPr="00E00F13">
        <w:rPr>
          <w:rFonts w:ascii="Arial" w:hAnsi="Arial" w:cs="Arial"/>
          <w:sz w:val="24"/>
          <w:szCs w:val="24"/>
        </w:rPr>
        <w:t xml:space="preserve"> la realidad social</w:t>
      </w:r>
      <w:r w:rsidR="006749F8" w:rsidRPr="00E00F13">
        <w:rPr>
          <w:rFonts w:ascii="Arial" w:hAnsi="Arial" w:cs="Arial"/>
          <w:sz w:val="24"/>
          <w:szCs w:val="24"/>
        </w:rPr>
        <w:t xml:space="preserve"> y su diversidad</w:t>
      </w:r>
      <w:r w:rsidR="00D63598" w:rsidRPr="00E00F13">
        <w:rPr>
          <w:rFonts w:ascii="Arial" w:hAnsi="Arial" w:cs="Arial"/>
          <w:sz w:val="24"/>
          <w:szCs w:val="24"/>
        </w:rPr>
        <w:t xml:space="preserve"> </w:t>
      </w:r>
      <w:r w:rsidR="006749F8" w:rsidRPr="00E00F13">
        <w:rPr>
          <w:rFonts w:ascii="Arial" w:hAnsi="Arial" w:cs="Arial"/>
          <w:sz w:val="24"/>
          <w:szCs w:val="24"/>
        </w:rPr>
        <w:t xml:space="preserve">en la construcción de la normatividad. </w:t>
      </w:r>
    </w:p>
    <w:p w14:paraId="7BE757B7" w14:textId="07984CBA" w:rsidR="00A40EFB" w:rsidRPr="00E00F13" w:rsidRDefault="009147B8" w:rsidP="00A40EFB">
      <w:pPr>
        <w:pStyle w:val="NormalWeb"/>
        <w:spacing w:line="360" w:lineRule="auto"/>
        <w:jc w:val="both"/>
        <w:rPr>
          <w:rFonts w:ascii="Arial" w:hAnsi="Arial" w:cs="Arial"/>
        </w:rPr>
      </w:pPr>
      <w:r w:rsidRPr="00E00F13">
        <w:rPr>
          <w:rFonts w:ascii="Arial" w:hAnsi="Arial" w:cs="Arial"/>
        </w:rPr>
        <w:t>En un Estado social de derecho se debe permitir diferentes formas de producir la vivienda y de gestionar el agua</w:t>
      </w:r>
      <w:r w:rsidR="00D63598" w:rsidRPr="00E00F13">
        <w:rPr>
          <w:rFonts w:ascii="Arial" w:hAnsi="Arial" w:cs="Arial"/>
        </w:rPr>
        <w:t>, entendiendo que existen múltiples realidades territoriales y socioculturales a las que se debe dar respuesta. E</w:t>
      </w:r>
      <w:r w:rsidRPr="00E00F13">
        <w:rPr>
          <w:rFonts w:ascii="Arial" w:hAnsi="Arial" w:cs="Arial"/>
        </w:rPr>
        <w:t>sa es la premisa fundamental y el cambio de paradigma y de donde parte la adecuación institucional del Ministerio.</w:t>
      </w:r>
    </w:p>
    <w:p w14:paraId="6A4C7173" w14:textId="77777777" w:rsidR="00FA5989" w:rsidRPr="00E00F13" w:rsidRDefault="00FA5989" w:rsidP="00C676BA">
      <w:pPr>
        <w:pStyle w:val="Ttulo2"/>
        <w:rPr>
          <w:color w:val="auto"/>
        </w:rPr>
      </w:pPr>
      <w:bookmarkStart w:id="20" w:name="_Toc234242771"/>
      <w:r w:rsidRPr="00E00F13">
        <w:rPr>
          <w:color w:val="auto"/>
        </w:rPr>
        <w:t>Adecuación institucional: avances y límites</w:t>
      </w:r>
      <w:bookmarkEnd w:id="20"/>
    </w:p>
    <w:p w14:paraId="7DA62722" w14:textId="78C42261" w:rsidR="00A93A91" w:rsidRPr="00E00F13" w:rsidRDefault="001E714F" w:rsidP="002F4A69">
      <w:pPr>
        <w:spacing w:after="0" w:line="360" w:lineRule="auto"/>
        <w:jc w:val="both"/>
        <w:rPr>
          <w:rFonts w:ascii="Arial" w:hAnsi="Arial" w:cs="Arial"/>
          <w:kern w:val="2"/>
          <w:sz w:val="24"/>
          <w:szCs w:val="24"/>
          <w14:ligatures w14:val="standardContextual"/>
        </w:rPr>
      </w:pPr>
      <w:r w:rsidRPr="00E00F13">
        <w:rPr>
          <w:rFonts w:ascii="Arial" w:hAnsi="Arial" w:cs="Arial"/>
          <w:kern w:val="2"/>
          <w:sz w:val="24"/>
          <w:szCs w:val="24"/>
          <w14:ligatures w14:val="standardContextual"/>
        </w:rPr>
        <w:t>En e</w:t>
      </w:r>
      <w:r w:rsidR="00A93A91" w:rsidRPr="00E00F13">
        <w:rPr>
          <w:rFonts w:ascii="Arial" w:hAnsi="Arial" w:cs="Arial"/>
          <w:kern w:val="2"/>
          <w:sz w:val="24"/>
          <w:szCs w:val="24"/>
          <w14:ligatures w14:val="standardContextual"/>
        </w:rPr>
        <w:t>l presente gobierno el MVCT ha estado en medio de la tensión entre dos lógicas: la</w:t>
      </w:r>
      <w:r w:rsidRPr="00E00F13">
        <w:rPr>
          <w:rFonts w:ascii="Arial" w:hAnsi="Arial" w:cs="Arial"/>
          <w:kern w:val="2"/>
          <w:sz w:val="24"/>
          <w:szCs w:val="24"/>
          <w14:ligatures w14:val="standardContextual"/>
        </w:rPr>
        <w:t xml:space="preserve"> individual basada en</w:t>
      </w:r>
      <w:r w:rsidR="00A93A91" w:rsidRPr="00E00F13">
        <w:rPr>
          <w:rFonts w:ascii="Arial" w:hAnsi="Arial" w:cs="Arial"/>
          <w:kern w:val="2"/>
          <w:sz w:val="24"/>
          <w:szCs w:val="24"/>
          <w14:ligatures w14:val="standardContextual"/>
        </w:rPr>
        <w:t xml:space="preserve"> </w:t>
      </w:r>
      <w:r w:rsidRPr="00E00F13">
        <w:rPr>
          <w:rFonts w:ascii="Arial" w:hAnsi="Arial" w:cs="Arial"/>
          <w:kern w:val="2"/>
          <w:sz w:val="24"/>
          <w:szCs w:val="24"/>
          <w14:ligatures w14:val="standardContextual"/>
        </w:rPr>
        <w:t>un sistema de</w:t>
      </w:r>
      <w:r w:rsidR="00A93A91" w:rsidRPr="00E00F13">
        <w:rPr>
          <w:rFonts w:ascii="Arial" w:hAnsi="Arial" w:cs="Arial"/>
          <w:kern w:val="2"/>
          <w:sz w:val="24"/>
          <w:szCs w:val="24"/>
          <w14:ligatures w14:val="standardContextual"/>
        </w:rPr>
        <w:t xml:space="preserve"> subsidios versus la </w:t>
      </w:r>
      <w:r w:rsidRPr="00E00F13">
        <w:rPr>
          <w:rFonts w:ascii="Arial" w:hAnsi="Arial" w:cs="Arial"/>
          <w:kern w:val="2"/>
          <w:sz w:val="24"/>
          <w:szCs w:val="24"/>
          <w14:ligatures w14:val="standardContextual"/>
        </w:rPr>
        <w:t xml:space="preserve">comunitaria que parte </w:t>
      </w:r>
      <w:r w:rsidR="00A93A91" w:rsidRPr="00E00F13">
        <w:rPr>
          <w:rFonts w:ascii="Arial" w:hAnsi="Arial" w:cs="Arial"/>
          <w:kern w:val="2"/>
          <w:sz w:val="24"/>
          <w:szCs w:val="24"/>
          <w14:ligatures w14:val="standardContextual"/>
        </w:rPr>
        <w:t>del proyecto</w:t>
      </w:r>
      <w:r w:rsidRPr="00E00F13">
        <w:rPr>
          <w:rFonts w:ascii="Arial" w:hAnsi="Arial" w:cs="Arial"/>
          <w:kern w:val="2"/>
          <w:sz w:val="24"/>
          <w:szCs w:val="24"/>
          <w14:ligatures w14:val="standardContextual"/>
        </w:rPr>
        <w:t xml:space="preserve"> habitacional</w:t>
      </w:r>
      <w:r w:rsidR="00A93A91" w:rsidRPr="00E00F13">
        <w:rPr>
          <w:rFonts w:ascii="Arial" w:hAnsi="Arial" w:cs="Arial"/>
          <w:kern w:val="2"/>
          <w:sz w:val="24"/>
          <w:szCs w:val="24"/>
          <w14:ligatures w14:val="standardContextual"/>
        </w:rPr>
        <w:t xml:space="preserve"> </w:t>
      </w:r>
      <w:r w:rsidRPr="00E00F13">
        <w:rPr>
          <w:rFonts w:ascii="Arial" w:hAnsi="Arial" w:cs="Arial"/>
          <w:kern w:val="2"/>
          <w:sz w:val="24"/>
          <w:szCs w:val="24"/>
          <w14:ligatures w14:val="standardContextual"/>
        </w:rPr>
        <w:t>como articulador y</w:t>
      </w:r>
      <w:r w:rsidR="00A93A91" w:rsidRPr="00E00F13">
        <w:rPr>
          <w:rFonts w:ascii="Arial" w:hAnsi="Arial" w:cs="Arial"/>
          <w:kern w:val="2"/>
          <w:sz w:val="24"/>
          <w:szCs w:val="24"/>
          <w14:ligatures w14:val="standardContextual"/>
        </w:rPr>
        <w:t xml:space="preserve"> conc</w:t>
      </w:r>
      <w:r w:rsidRPr="00E00F13">
        <w:rPr>
          <w:rFonts w:ascii="Arial" w:hAnsi="Arial" w:cs="Arial"/>
          <w:kern w:val="2"/>
          <w:sz w:val="24"/>
          <w:szCs w:val="24"/>
          <w14:ligatures w14:val="standardContextual"/>
        </w:rPr>
        <w:t>ibe,</w:t>
      </w:r>
      <w:r w:rsidR="00A93A91" w:rsidRPr="00E00F13">
        <w:rPr>
          <w:rFonts w:ascii="Arial" w:hAnsi="Arial" w:cs="Arial"/>
          <w:kern w:val="2"/>
          <w:sz w:val="24"/>
          <w:szCs w:val="24"/>
          <w14:ligatures w14:val="standardContextual"/>
        </w:rPr>
        <w:t xml:space="preserve"> más que la vivienda por sí sola</w:t>
      </w:r>
      <w:r w:rsidRPr="00E00F13">
        <w:rPr>
          <w:rFonts w:ascii="Arial" w:hAnsi="Arial" w:cs="Arial"/>
          <w:kern w:val="2"/>
          <w:sz w:val="24"/>
          <w:szCs w:val="24"/>
          <w14:ligatures w14:val="standardContextual"/>
        </w:rPr>
        <w:t>, la construcción de un</w:t>
      </w:r>
      <w:r w:rsidR="00A93A91" w:rsidRPr="00E00F13">
        <w:rPr>
          <w:rFonts w:ascii="Arial" w:hAnsi="Arial" w:cs="Arial"/>
          <w:kern w:val="2"/>
          <w:sz w:val="24"/>
          <w:szCs w:val="24"/>
          <w14:ligatures w14:val="standardContextual"/>
        </w:rPr>
        <w:t xml:space="preserve"> hábitat. Y lo que ha venido haciendo en estos últimos años </w:t>
      </w:r>
      <w:r w:rsidR="00E85E0C" w:rsidRPr="00E00F13">
        <w:rPr>
          <w:rFonts w:ascii="Arial" w:hAnsi="Arial" w:cs="Arial"/>
          <w:kern w:val="2"/>
          <w:sz w:val="24"/>
          <w:szCs w:val="24"/>
          <w14:ligatures w14:val="standardContextual"/>
        </w:rPr>
        <w:t>(2022-2025)</w:t>
      </w:r>
      <w:r w:rsidR="00A93A91" w:rsidRPr="00E00F13">
        <w:rPr>
          <w:rFonts w:ascii="Arial" w:hAnsi="Arial" w:cs="Arial"/>
          <w:kern w:val="2"/>
          <w:sz w:val="24"/>
          <w:szCs w:val="24"/>
          <w14:ligatures w14:val="standardContextual"/>
        </w:rPr>
        <w:t xml:space="preserve"> es generar el marco institucional, normativo y social para romper con esa tensión y optar por </w:t>
      </w:r>
      <w:r w:rsidRPr="00E00F13">
        <w:rPr>
          <w:rFonts w:ascii="Arial" w:hAnsi="Arial" w:cs="Arial"/>
          <w:kern w:val="2"/>
          <w:sz w:val="24"/>
          <w:szCs w:val="24"/>
          <w14:ligatures w14:val="standardContextual"/>
        </w:rPr>
        <w:t>una</w:t>
      </w:r>
      <w:r w:rsidR="00A93A91" w:rsidRPr="00E00F13">
        <w:rPr>
          <w:rFonts w:ascii="Arial" w:hAnsi="Arial" w:cs="Arial"/>
          <w:kern w:val="2"/>
          <w:sz w:val="24"/>
          <w:szCs w:val="24"/>
          <w14:ligatures w14:val="standardContextual"/>
        </w:rPr>
        <w:t xml:space="preserve"> visión del hábitat</w:t>
      </w:r>
      <w:r w:rsidRPr="00E00F13">
        <w:rPr>
          <w:rFonts w:ascii="Arial" w:hAnsi="Arial" w:cs="Arial"/>
          <w:kern w:val="2"/>
          <w:sz w:val="24"/>
          <w:szCs w:val="24"/>
          <w14:ligatures w14:val="standardContextual"/>
        </w:rPr>
        <w:t xml:space="preserve"> que</w:t>
      </w:r>
      <w:r w:rsidR="00A93A91" w:rsidRPr="00E00F13">
        <w:rPr>
          <w:rFonts w:ascii="Arial" w:hAnsi="Arial" w:cs="Arial"/>
          <w:kern w:val="2"/>
          <w:sz w:val="24"/>
          <w:szCs w:val="24"/>
          <w14:ligatures w14:val="standardContextual"/>
        </w:rPr>
        <w:t xml:space="preserve"> reconoce las características poblacionales, culturales, estructurales y sociales de Colombia de una manera integral.</w:t>
      </w:r>
    </w:p>
    <w:p w14:paraId="4B321983" w14:textId="1767E6E4" w:rsidR="00A93A91" w:rsidRPr="00E00F13" w:rsidRDefault="00A93A91" w:rsidP="00915EA3">
      <w:pPr>
        <w:pStyle w:val="NormalWeb"/>
        <w:spacing w:line="360" w:lineRule="auto"/>
        <w:jc w:val="both"/>
        <w:rPr>
          <w:rFonts w:ascii="Arial" w:hAnsi="Arial" w:cs="Arial"/>
        </w:rPr>
      </w:pPr>
      <w:r w:rsidRPr="00E00F13">
        <w:rPr>
          <w:rFonts w:ascii="Arial" w:hAnsi="Arial" w:cs="Arial"/>
        </w:rPr>
        <w:t>En el caso de la vivienda en Colombia, el subsidio ha contemplado la ejecución de una solución habitacional de manera individual, en la medida en que ese subsidio ha estado anclado a un determinad</w:t>
      </w:r>
      <w:r w:rsidR="003C003B" w:rsidRPr="00E00F13">
        <w:rPr>
          <w:rFonts w:ascii="Arial" w:hAnsi="Arial" w:cs="Arial"/>
        </w:rPr>
        <w:t>o documento</w:t>
      </w:r>
      <w:r w:rsidRPr="00E00F13">
        <w:rPr>
          <w:rFonts w:ascii="Arial" w:hAnsi="Arial" w:cs="Arial"/>
        </w:rPr>
        <w:t xml:space="preserve"> de identidad. No obstante, la </w:t>
      </w:r>
      <w:r w:rsidRPr="00E00F13">
        <w:rPr>
          <w:rFonts w:ascii="Arial" w:hAnsi="Arial" w:cs="Arial"/>
        </w:rPr>
        <w:lastRenderedPageBreak/>
        <w:t>realidad territorial no es individualizada, y menos en los procesos de autogestión, que son los que han primado en el país. La lógica de los procesos de autogestión es otra</w:t>
      </w:r>
      <w:r w:rsidR="003C003B" w:rsidRPr="00E00F13">
        <w:rPr>
          <w:rFonts w:ascii="Arial" w:hAnsi="Arial" w:cs="Arial"/>
        </w:rPr>
        <w:t xml:space="preserve"> y su foco está en </w:t>
      </w:r>
      <w:r w:rsidRPr="00E00F13">
        <w:rPr>
          <w:rFonts w:ascii="Arial" w:hAnsi="Arial" w:cs="Arial"/>
        </w:rPr>
        <w:t>la producción del espacio en manos diversas y comunitarias. Lo que se traduce en un choque entre distintas estructuras: la de la vivienda unitaria y la del desarrollo del hábitat. En su concepción, el hábitat está vinculad</w:t>
      </w:r>
      <w:r w:rsidR="003C003B" w:rsidRPr="00E00F13">
        <w:rPr>
          <w:rFonts w:ascii="Arial" w:hAnsi="Arial" w:cs="Arial"/>
        </w:rPr>
        <w:t>o</w:t>
      </w:r>
      <w:r w:rsidRPr="00E00F13">
        <w:rPr>
          <w:rFonts w:ascii="Arial" w:hAnsi="Arial" w:cs="Arial"/>
        </w:rPr>
        <w:t xml:space="preserve"> a la realidad territorial de gentes que se juntan para llegar no solo a la solución individual, sino a la solución </w:t>
      </w:r>
      <w:r w:rsidR="00E85E0C" w:rsidRPr="00E00F13">
        <w:rPr>
          <w:rFonts w:ascii="Arial" w:hAnsi="Arial" w:cs="Arial"/>
        </w:rPr>
        <w:t>colectiva</w:t>
      </w:r>
      <w:r w:rsidRPr="00E00F13">
        <w:rPr>
          <w:rFonts w:ascii="Arial" w:hAnsi="Arial" w:cs="Arial"/>
        </w:rPr>
        <w:t>, como el acceso a otro tipo de recursos de manera comunitaria, de servicios públicos, de redes, de equipamientos, en un contexto donde la historia y las dinámicas son eminentemente comunitarias.</w:t>
      </w:r>
    </w:p>
    <w:p w14:paraId="7B581830" w14:textId="21F85033" w:rsidR="005B4C5F" w:rsidRPr="00E00F13" w:rsidRDefault="00FA5989" w:rsidP="005B4C5F">
      <w:pPr>
        <w:pStyle w:val="NormalWeb"/>
        <w:spacing w:line="360" w:lineRule="auto"/>
        <w:jc w:val="both"/>
        <w:rPr>
          <w:rFonts w:ascii="Arial" w:hAnsi="Arial" w:cs="Arial"/>
        </w:rPr>
      </w:pPr>
      <w:r w:rsidRPr="00E00F13">
        <w:rPr>
          <w:rFonts w:ascii="Arial" w:hAnsi="Arial" w:cs="Arial"/>
        </w:rPr>
        <w:t xml:space="preserve">El cambio de </w:t>
      </w:r>
      <w:r w:rsidR="003C003B" w:rsidRPr="00E00F13">
        <w:rPr>
          <w:rFonts w:ascii="Arial" w:hAnsi="Arial" w:cs="Arial"/>
        </w:rPr>
        <w:t>visión</w:t>
      </w:r>
      <w:r w:rsidR="00915EA3" w:rsidRPr="00E00F13">
        <w:rPr>
          <w:rFonts w:ascii="Arial" w:hAnsi="Arial" w:cs="Arial"/>
        </w:rPr>
        <w:t xml:space="preserve"> </w:t>
      </w:r>
      <w:r w:rsidR="00B97391" w:rsidRPr="00E00F13">
        <w:rPr>
          <w:rFonts w:ascii="Arial" w:hAnsi="Arial" w:cs="Arial"/>
        </w:rPr>
        <w:t>ha implicado</w:t>
      </w:r>
      <w:r w:rsidR="00915EA3" w:rsidRPr="00E00F13">
        <w:rPr>
          <w:rFonts w:ascii="Arial" w:hAnsi="Arial" w:cs="Arial"/>
        </w:rPr>
        <w:t xml:space="preserve"> la adecuación institucional</w:t>
      </w:r>
      <w:r w:rsidR="00734ACF" w:rsidRPr="00E00F13">
        <w:rPr>
          <w:rFonts w:ascii="Arial" w:hAnsi="Arial" w:cs="Arial"/>
        </w:rPr>
        <w:t xml:space="preserve"> desde 202</w:t>
      </w:r>
      <w:r w:rsidR="003C003B" w:rsidRPr="00E00F13">
        <w:rPr>
          <w:rFonts w:ascii="Arial" w:hAnsi="Arial" w:cs="Arial"/>
        </w:rPr>
        <w:t>2</w:t>
      </w:r>
      <w:r w:rsidR="00734ACF" w:rsidRPr="00E00F13">
        <w:rPr>
          <w:rFonts w:ascii="Arial" w:hAnsi="Arial" w:cs="Arial"/>
        </w:rPr>
        <w:t>. E</w:t>
      </w:r>
      <w:r w:rsidR="00915EA3" w:rsidRPr="00E00F13">
        <w:rPr>
          <w:rFonts w:ascii="Arial" w:hAnsi="Arial" w:cs="Arial"/>
        </w:rPr>
        <w:t xml:space="preserve">s decir, </w:t>
      </w:r>
      <w:r w:rsidR="003C003B" w:rsidRPr="00E00F13">
        <w:rPr>
          <w:rFonts w:ascii="Arial" w:hAnsi="Arial" w:cs="Arial"/>
        </w:rPr>
        <w:t>el Estado no podía</w:t>
      </w:r>
      <w:r w:rsidR="00915EA3" w:rsidRPr="00E00F13">
        <w:rPr>
          <w:rFonts w:ascii="Arial" w:hAnsi="Arial" w:cs="Arial"/>
        </w:rPr>
        <w:t xml:space="preserve"> abordar una realidad social y elaborar una propuesta programática desde el rol de gobernar, si no adecua</w:t>
      </w:r>
      <w:r w:rsidR="003C003B" w:rsidRPr="00E00F13">
        <w:rPr>
          <w:rFonts w:ascii="Arial" w:hAnsi="Arial" w:cs="Arial"/>
        </w:rPr>
        <w:t>b</w:t>
      </w:r>
      <w:r w:rsidR="00915EA3" w:rsidRPr="00E00F13">
        <w:rPr>
          <w:rFonts w:ascii="Arial" w:hAnsi="Arial" w:cs="Arial"/>
        </w:rPr>
        <w:t>a institucionalmente sus entidades</w:t>
      </w:r>
      <w:r w:rsidR="003C003B" w:rsidRPr="00E00F13">
        <w:rPr>
          <w:rFonts w:ascii="Arial" w:hAnsi="Arial" w:cs="Arial"/>
        </w:rPr>
        <w:t>.</w:t>
      </w:r>
    </w:p>
    <w:p w14:paraId="671FC8BE" w14:textId="30B1F478" w:rsidR="005B4C5F" w:rsidRPr="00E00F13" w:rsidRDefault="005B4C5F" w:rsidP="005B4C5F">
      <w:pPr>
        <w:pStyle w:val="NormalWeb"/>
        <w:spacing w:line="360" w:lineRule="auto"/>
        <w:jc w:val="both"/>
        <w:rPr>
          <w:rFonts w:ascii="Arial" w:hAnsi="Arial" w:cs="Arial"/>
        </w:rPr>
      </w:pPr>
      <w:r w:rsidRPr="00E00F13">
        <w:rPr>
          <w:rFonts w:ascii="Arial" w:hAnsi="Arial" w:cs="Arial"/>
        </w:rPr>
        <w:t>El M</w:t>
      </w:r>
      <w:r w:rsidR="00E85E0C" w:rsidRPr="00E00F13">
        <w:rPr>
          <w:rFonts w:ascii="Arial" w:hAnsi="Arial" w:cs="Arial"/>
        </w:rPr>
        <w:t>inisterio de Vivienda, Ciudad y Territorio</w:t>
      </w:r>
      <w:r w:rsidRPr="00E00F13">
        <w:rPr>
          <w:rFonts w:ascii="Arial" w:hAnsi="Arial" w:cs="Arial"/>
        </w:rPr>
        <w:t xml:space="preserve"> emprendió así un proceso de adecuación institucional para poder implementar el cambio</w:t>
      </w:r>
      <w:r w:rsidR="003C003B" w:rsidRPr="00E00F13">
        <w:rPr>
          <w:rFonts w:ascii="Arial" w:hAnsi="Arial" w:cs="Arial"/>
        </w:rPr>
        <w:t xml:space="preserve"> de visión</w:t>
      </w:r>
      <w:r w:rsidRPr="00E00F13">
        <w:rPr>
          <w:rFonts w:ascii="Arial" w:hAnsi="Arial" w:cs="Arial"/>
        </w:rPr>
        <w:t>. Entre otras acciones, realizó:</w:t>
      </w:r>
    </w:p>
    <w:p w14:paraId="183E2F4F" w14:textId="37CA6CE2" w:rsidR="001D4B8A" w:rsidRPr="00E00F13" w:rsidRDefault="001D4B8A" w:rsidP="005E33C6">
      <w:pPr>
        <w:pStyle w:val="NormalWeb"/>
        <w:numPr>
          <w:ilvl w:val="0"/>
          <w:numId w:val="5"/>
        </w:numPr>
        <w:spacing w:line="360" w:lineRule="auto"/>
        <w:jc w:val="both"/>
        <w:rPr>
          <w:rFonts w:ascii="Arial" w:hAnsi="Arial" w:cs="Arial"/>
        </w:rPr>
      </w:pPr>
      <w:r w:rsidRPr="00E00F13">
        <w:rPr>
          <w:rFonts w:ascii="Arial" w:hAnsi="Arial" w:cs="Arial"/>
        </w:rPr>
        <w:t>ajuste</w:t>
      </w:r>
      <w:r w:rsidR="00E85E0C" w:rsidRPr="00E00F13">
        <w:rPr>
          <w:rFonts w:ascii="Arial" w:hAnsi="Arial" w:cs="Arial"/>
        </w:rPr>
        <w:t>s</w:t>
      </w:r>
      <w:r w:rsidRPr="00E00F13">
        <w:rPr>
          <w:rFonts w:ascii="Arial" w:hAnsi="Arial" w:cs="Arial"/>
        </w:rPr>
        <w:t xml:space="preserve"> normativo</w:t>
      </w:r>
      <w:r w:rsidR="00E85E0C" w:rsidRPr="00E00F13">
        <w:rPr>
          <w:rFonts w:ascii="Arial" w:hAnsi="Arial" w:cs="Arial"/>
        </w:rPr>
        <w:t>s</w:t>
      </w:r>
      <w:r w:rsidRPr="00E00F13">
        <w:rPr>
          <w:rFonts w:ascii="Arial" w:hAnsi="Arial" w:cs="Arial"/>
        </w:rPr>
        <w:t xml:space="preserve"> </w:t>
      </w:r>
    </w:p>
    <w:p w14:paraId="49651B62" w14:textId="4A8D4B92" w:rsidR="005B4C5F" w:rsidRPr="00E00F13" w:rsidRDefault="005B4C5F" w:rsidP="005E33C6">
      <w:pPr>
        <w:pStyle w:val="NormalWeb"/>
        <w:numPr>
          <w:ilvl w:val="0"/>
          <w:numId w:val="5"/>
        </w:numPr>
        <w:spacing w:line="360" w:lineRule="auto"/>
        <w:jc w:val="both"/>
        <w:rPr>
          <w:rFonts w:ascii="Arial" w:hAnsi="Arial" w:cs="Arial"/>
        </w:rPr>
      </w:pPr>
      <w:r w:rsidRPr="00E00F13">
        <w:rPr>
          <w:rFonts w:ascii="Arial" w:hAnsi="Arial" w:cs="Arial"/>
        </w:rPr>
        <w:t>ajuste</w:t>
      </w:r>
      <w:r w:rsidR="00E85E0C" w:rsidRPr="00E00F13">
        <w:rPr>
          <w:rFonts w:ascii="Arial" w:hAnsi="Arial" w:cs="Arial"/>
        </w:rPr>
        <w:t>s</w:t>
      </w:r>
      <w:r w:rsidRPr="00E00F13">
        <w:rPr>
          <w:rFonts w:ascii="Arial" w:hAnsi="Arial" w:cs="Arial"/>
        </w:rPr>
        <w:t xml:space="preserve"> </w:t>
      </w:r>
      <w:r w:rsidR="00E85E0C" w:rsidRPr="00E00F13">
        <w:rPr>
          <w:rFonts w:ascii="Arial" w:hAnsi="Arial" w:cs="Arial"/>
        </w:rPr>
        <w:t>en la</w:t>
      </w:r>
      <w:r w:rsidRPr="00E00F13">
        <w:rPr>
          <w:rFonts w:ascii="Arial" w:hAnsi="Arial" w:cs="Arial"/>
        </w:rPr>
        <w:t xml:space="preserve"> arquitectura administrativa</w:t>
      </w:r>
      <w:r w:rsidR="00734ACF" w:rsidRPr="00E00F13">
        <w:rPr>
          <w:rFonts w:ascii="Arial" w:hAnsi="Arial" w:cs="Arial"/>
        </w:rPr>
        <w:t>;</w:t>
      </w:r>
    </w:p>
    <w:p w14:paraId="2F4C450B" w14:textId="3C002C0F" w:rsidR="00734ACF" w:rsidRPr="00E00F13" w:rsidRDefault="00734ACF" w:rsidP="005E33C6">
      <w:pPr>
        <w:pStyle w:val="NormalWeb"/>
        <w:numPr>
          <w:ilvl w:val="0"/>
          <w:numId w:val="5"/>
        </w:numPr>
        <w:spacing w:line="360" w:lineRule="auto"/>
        <w:jc w:val="both"/>
        <w:rPr>
          <w:rFonts w:ascii="Arial" w:hAnsi="Arial" w:cs="Arial"/>
        </w:rPr>
      </w:pPr>
      <w:r w:rsidRPr="00E00F13">
        <w:rPr>
          <w:rFonts w:ascii="Arial" w:hAnsi="Arial" w:cs="Arial"/>
        </w:rPr>
        <w:t>nuevas herramientas normativas;</w:t>
      </w:r>
    </w:p>
    <w:p w14:paraId="588EF44F" w14:textId="77777777" w:rsidR="00EB0767" w:rsidRPr="00E00F13" w:rsidRDefault="005B4C5F" w:rsidP="005E33C6">
      <w:pPr>
        <w:pStyle w:val="NormalWeb"/>
        <w:numPr>
          <w:ilvl w:val="0"/>
          <w:numId w:val="5"/>
        </w:numPr>
        <w:spacing w:line="360" w:lineRule="auto"/>
        <w:jc w:val="both"/>
        <w:rPr>
          <w:rFonts w:ascii="Arial" w:hAnsi="Arial" w:cs="Arial"/>
        </w:rPr>
      </w:pPr>
      <w:r w:rsidRPr="00E00F13">
        <w:rPr>
          <w:rFonts w:ascii="Arial" w:hAnsi="Arial" w:cs="Arial"/>
        </w:rPr>
        <w:t>reformulación de roles</w:t>
      </w:r>
      <w:r w:rsidR="00734ACF" w:rsidRPr="00E00F13">
        <w:rPr>
          <w:rFonts w:ascii="Arial" w:hAnsi="Arial" w:cs="Arial"/>
        </w:rPr>
        <w:t>;</w:t>
      </w:r>
    </w:p>
    <w:p w14:paraId="031B0CC2" w14:textId="075E34EE" w:rsidR="00915EA3" w:rsidRPr="00E00F13" w:rsidRDefault="005B4C5F" w:rsidP="00915EA3">
      <w:pPr>
        <w:pStyle w:val="NormalWeb"/>
        <w:numPr>
          <w:ilvl w:val="0"/>
          <w:numId w:val="5"/>
        </w:numPr>
        <w:spacing w:line="360" w:lineRule="auto"/>
        <w:jc w:val="both"/>
        <w:rPr>
          <w:rFonts w:ascii="Arial" w:hAnsi="Arial" w:cs="Arial"/>
        </w:rPr>
      </w:pPr>
      <w:r w:rsidRPr="00E00F13">
        <w:rPr>
          <w:rFonts w:ascii="Arial" w:hAnsi="Arial" w:cs="Arial"/>
        </w:rPr>
        <w:t xml:space="preserve">puesta en marcha de la </w:t>
      </w:r>
      <w:r w:rsidR="00EB0767" w:rsidRPr="00E00F13">
        <w:rPr>
          <w:rFonts w:ascii="Arial" w:hAnsi="Arial" w:cs="Arial"/>
        </w:rPr>
        <w:t>Asistencia Técnica Integral</w:t>
      </w:r>
      <w:r w:rsidRPr="00E00F13">
        <w:rPr>
          <w:rFonts w:ascii="Arial" w:hAnsi="Arial" w:cs="Arial"/>
        </w:rPr>
        <w:t>.</w:t>
      </w:r>
    </w:p>
    <w:p w14:paraId="0B07648C" w14:textId="53D3452B" w:rsidR="00915EA3" w:rsidRPr="00E00F13" w:rsidRDefault="00915EA3" w:rsidP="00915EA3">
      <w:pPr>
        <w:pStyle w:val="NormalWeb"/>
        <w:spacing w:line="360" w:lineRule="auto"/>
        <w:jc w:val="both"/>
        <w:rPr>
          <w:rFonts w:ascii="Arial" w:hAnsi="Arial" w:cs="Arial"/>
        </w:rPr>
      </w:pPr>
      <w:r w:rsidRPr="00E00F13">
        <w:rPr>
          <w:rFonts w:ascii="Arial" w:hAnsi="Arial" w:cs="Arial"/>
        </w:rPr>
        <w:t xml:space="preserve">No es un asunto menor adecuar un ministerio. Los desarrollos normativos </w:t>
      </w:r>
      <w:r w:rsidR="00734ACF" w:rsidRPr="00E00F13">
        <w:rPr>
          <w:rFonts w:ascii="Arial" w:hAnsi="Arial" w:cs="Arial"/>
        </w:rPr>
        <w:t>fueron lo más complejo de</w:t>
      </w:r>
      <w:r w:rsidRPr="00E00F13">
        <w:rPr>
          <w:rFonts w:ascii="Arial" w:hAnsi="Arial" w:cs="Arial"/>
        </w:rPr>
        <w:t xml:space="preserve"> esta adecuación, </w:t>
      </w:r>
      <w:r w:rsidR="00734ACF" w:rsidRPr="00E00F13">
        <w:rPr>
          <w:rFonts w:ascii="Arial" w:hAnsi="Arial" w:cs="Arial"/>
        </w:rPr>
        <w:t xml:space="preserve">no solo por el tiempo que toma cambiar un solo decreto, sino por el </w:t>
      </w:r>
      <w:r w:rsidRPr="00E00F13">
        <w:rPr>
          <w:rFonts w:ascii="Arial" w:hAnsi="Arial" w:cs="Arial"/>
        </w:rPr>
        <w:t xml:space="preserve">complejo </w:t>
      </w:r>
      <w:r w:rsidR="00734ACF" w:rsidRPr="00E00F13">
        <w:rPr>
          <w:rFonts w:ascii="Arial" w:hAnsi="Arial" w:cs="Arial"/>
        </w:rPr>
        <w:t>proceso de la</w:t>
      </w:r>
      <w:r w:rsidRPr="00E00F13">
        <w:rPr>
          <w:rFonts w:ascii="Arial" w:hAnsi="Arial" w:cs="Arial"/>
        </w:rPr>
        <w:t xml:space="preserve"> articulación interna y externa</w:t>
      </w:r>
      <w:r w:rsidR="00734ACF" w:rsidRPr="00E00F13">
        <w:rPr>
          <w:rFonts w:ascii="Arial" w:hAnsi="Arial" w:cs="Arial"/>
        </w:rPr>
        <w:t xml:space="preserve"> para repensar la nueva normatividad en función del nuevo enfoque y paradigma. El tiempo que se tomó el MVCT fue de casi tres años</w:t>
      </w:r>
      <w:r w:rsidR="003C003B" w:rsidRPr="00E00F13">
        <w:rPr>
          <w:rFonts w:ascii="Arial" w:hAnsi="Arial" w:cs="Arial"/>
        </w:rPr>
        <w:t xml:space="preserve"> </w:t>
      </w:r>
      <w:r w:rsidR="00D64F32" w:rsidRPr="00E00F13">
        <w:rPr>
          <w:rFonts w:ascii="Arial" w:hAnsi="Arial" w:cs="Arial"/>
        </w:rPr>
        <w:t xml:space="preserve">para revisar todo su marco jurídico </w:t>
      </w:r>
      <w:proofErr w:type="gramStart"/>
      <w:r w:rsidR="00D64F32" w:rsidRPr="00E00F13">
        <w:rPr>
          <w:rFonts w:ascii="Arial" w:hAnsi="Arial" w:cs="Arial"/>
        </w:rPr>
        <w:t>que</w:t>
      </w:r>
      <w:proofErr w:type="gramEnd"/>
      <w:r w:rsidR="00D64F32" w:rsidRPr="00E00F13">
        <w:rPr>
          <w:rFonts w:ascii="Arial" w:hAnsi="Arial" w:cs="Arial"/>
        </w:rPr>
        <w:t xml:space="preserve"> en materia de agua</w:t>
      </w:r>
      <w:r w:rsidR="00EB0767" w:rsidRPr="00E00F13">
        <w:rPr>
          <w:rFonts w:ascii="Arial" w:hAnsi="Arial" w:cs="Arial"/>
        </w:rPr>
        <w:t>, saneamiento básico</w:t>
      </w:r>
      <w:r w:rsidR="00D64F32" w:rsidRPr="00E00F13">
        <w:rPr>
          <w:rFonts w:ascii="Arial" w:hAnsi="Arial" w:cs="Arial"/>
        </w:rPr>
        <w:t xml:space="preserve"> y de vivienda lo habían regido durante muchos años y cuya estructura ya estaba afianzada como un ministerio </w:t>
      </w:r>
      <w:r w:rsidR="00D64F32" w:rsidRPr="00E00F13">
        <w:rPr>
          <w:rFonts w:ascii="Arial" w:hAnsi="Arial" w:cs="Arial"/>
        </w:rPr>
        <w:lastRenderedPageBreak/>
        <w:t xml:space="preserve">simplemente tramitador y vinculado con el modelo de la bancarización y las grandes empresas privadas constructoras. </w:t>
      </w:r>
    </w:p>
    <w:p w14:paraId="1910E46D" w14:textId="6B116E71" w:rsidR="00CC68BA" w:rsidRPr="00E00F13" w:rsidRDefault="00915EA3" w:rsidP="1D068790">
      <w:pPr>
        <w:pStyle w:val="NormalWeb"/>
        <w:spacing w:line="360" w:lineRule="auto"/>
        <w:jc w:val="both"/>
        <w:rPr>
          <w:rFonts w:ascii="Arial" w:hAnsi="Arial" w:cs="Arial"/>
        </w:rPr>
      </w:pPr>
      <w:r w:rsidRPr="00E00F13">
        <w:rPr>
          <w:rFonts w:ascii="Arial" w:hAnsi="Arial" w:cs="Arial"/>
        </w:rPr>
        <w:t xml:space="preserve">El </w:t>
      </w:r>
      <w:r w:rsidR="00185D9E" w:rsidRPr="00E00F13">
        <w:rPr>
          <w:rFonts w:ascii="Arial" w:hAnsi="Arial" w:cs="Arial"/>
        </w:rPr>
        <w:t xml:space="preserve">nuevo </w:t>
      </w:r>
      <w:r w:rsidRPr="00E00F13">
        <w:rPr>
          <w:rFonts w:ascii="Arial" w:hAnsi="Arial" w:cs="Arial"/>
        </w:rPr>
        <w:t xml:space="preserve">paquete de desarrollo normativo del Ministerio deja </w:t>
      </w:r>
      <w:r w:rsidR="00185D9E" w:rsidRPr="00E00F13">
        <w:rPr>
          <w:rFonts w:ascii="Arial" w:hAnsi="Arial" w:cs="Arial"/>
        </w:rPr>
        <w:t xml:space="preserve">ahora </w:t>
      </w:r>
      <w:r w:rsidRPr="00E00F13">
        <w:rPr>
          <w:rFonts w:ascii="Arial" w:hAnsi="Arial" w:cs="Arial"/>
        </w:rPr>
        <w:t>mejores herramientas para un Estado social de derecho. Permite tener mejores herramientas en la lógica de entender la vivienda</w:t>
      </w:r>
      <w:r w:rsidR="00642A1B" w:rsidRPr="00E00F13">
        <w:rPr>
          <w:rFonts w:ascii="Arial" w:hAnsi="Arial" w:cs="Arial"/>
        </w:rPr>
        <w:t xml:space="preserve"> y el agua para el consumo humano</w:t>
      </w:r>
      <w:r w:rsidRPr="00E00F13">
        <w:rPr>
          <w:rFonts w:ascii="Arial" w:hAnsi="Arial" w:cs="Arial"/>
        </w:rPr>
        <w:t xml:space="preserve"> como lo que es: un proceso social.</w:t>
      </w:r>
    </w:p>
    <w:p w14:paraId="244C03F6" w14:textId="1CE3EB68" w:rsidR="00CC68BA" w:rsidRPr="00E00F13" w:rsidRDefault="7ACC6C88" w:rsidP="1D068790">
      <w:pPr>
        <w:spacing w:after="0" w:line="360" w:lineRule="auto"/>
        <w:jc w:val="both"/>
        <w:rPr>
          <w:rFonts w:ascii="Arial" w:eastAsia="Arial" w:hAnsi="Arial" w:cs="Arial"/>
          <w:sz w:val="24"/>
          <w:szCs w:val="24"/>
        </w:rPr>
      </w:pPr>
      <w:r w:rsidRPr="00E00F13">
        <w:rPr>
          <w:rFonts w:ascii="Arial" w:eastAsia="Arial" w:hAnsi="Arial" w:cs="Arial"/>
          <w:sz w:val="24"/>
          <w:szCs w:val="24"/>
        </w:rPr>
        <w:t xml:space="preserve">Una de las mayores transformaciones que ha tenido el MVCT durante el presente gobierno es entender y reconocer a las comunidades como centro de la construcción del hábitat y a los procesos sociales como catalizadores de la transformación territorial, siendo actores claves en el desarrollo de los programas de la oferta institucional.  </w:t>
      </w:r>
    </w:p>
    <w:p w14:paraId="4DB20476" w14:textId="5F0B4FEC" w:rsidR="00CC68BA" w:rsidRPr="00E00F13" w:rsidRDefault="7ACC6C88" w:rsidP="1D068790">
      <w:pPr>
        <w:spacing w:after="0" w:line="360" w:lineRule="auto"/>
        <w:jc w:val="both"/>
        <w:rPr>
          <w:rFonts w:ascii="Arial" w:eastAsia="Arial" w:hAnsi="Arial" w:cs="Arial"/>
          <w:sz w:val="24"/>
          <w:szCs w:val="24"/>
        </w:rPr>
      </w:pPr>
      <w:r w:rsidRPr="00E00F13">
        <w:rPr>
          <w:rFonts w:ascii="Arial" w:eastAsia="Arial" w:hAnsi="Arial" w:cs="Arial"/>
          <w:sz w:val="24"/>
          <w:szCs w:val="24"/>
        </w:rPr>
        <w:t xml:space="preserve"> </w:t>
      </w:r>
    </w:p>
    <w:p w14:paraId="162DFBFF" w14:textId="5683C168" w:rsidR="00CC68BA" w:rsidRPr="00E00F13" w:rsidRDefault="7ACC6C88" w:rsidP="1D068790">
      <w:pPr>
        <w:spacing w:after="0" w:line="360" w:lineRule="auto"/>
        <w:jc w:val="both"/>
        <w:rPr>
          <w:rFonts w:ascii="Arial" w:eastAsia="Arial" w:hAnsi="Arial" w:cs="Arial"/>
          <w:sz w:val="24"/>
          <w:szCs w:val="24"/>
        </w:rPr>
      </w:pPr>
      <w:r w:rsidRPr="00E00F13">
        <w:rPr>
          <w:rFonts w:ascii="Arial" w:eastAsia="Arial" w:hAnsi="Arial" w:cs="Arial"/>
          <w:sz w:val="24"/>
          <w:szCs w:val="24"/>
        </w:rPr>
        <w:t xml:space="preserve">A través de múltiples estrategias se dio lugar a un cambio donde deja de fomentarse la individualidad para darle paso a lo colectivo, se transforma el «yo» en un «nosotros». Y es desde esta transformación que cobra especial relevancia la Asistencia Técnica Integral (ATI) como un vehículo a través del cual tejemos redes de cooperación y cocreamos a partir del diálogo, reconociendo los saberes culturales y la diversidad del país. </w:t>
      </w:r>
    </w:p>
    <w:p w14:paraId="5001B0CA" w14:textId="1145F1D9" w:rsidR="00CC68BA" w:rsidRPr="00E00F13" w:rsidRDefault="7ACC6C88" w:rsidP="1D068790">
      <w:pPr>
        <w:spacing w:after="0" w:line="360" w:lineRule="auto"/>
        <w:jc w:val="both"/>
        <w:rPr>
          <w:rFonts w:ascii="Arial" w:eastAsia="Arial" w:hAnsi="Arial" w:cs="Arial"/>
          <w:sz w:val="24"/>
          <w:szCs w:val="24"/>
        </w:rPr>
      </w:pPr>
      <w:r w:rsidRPr="00E00F13">
        <w:rPr>
          <w:rFonts w:ascii="Arial" w:eastAsia="Arial" w:hAnsi="Arial" w:cs="Arial"/>
          <w:sz w:val="24"/>
          <w:szCs w:val="24"/>
        </w:rPr>
        <w:t xml:space="preserve"> </w:t>
      </w:r>
    </w:p>
    <w:p w14:paraId="517642DF" w14:textId="57A214E4" w:rsidR="00CC68BA" w:rsidRPr="00E00F13" w:rsidRDefault="7ACC6C88" w:rsidP="1D068790">
      <w:pPr>
        <w:spacing w:after="0" w:line="360" w:lineRule="auto"/>
        <w:jc w:val="both"/>
        <w:rPr>
          <w:rFonts w:ascii="Arial" w:eastAsia="Arial" w:hAnsi="Arial" w:cs="Arial"/>
          <w:sz w:val="24"/>
          <w:szCs w:val="24"/>
        </w:rPr>
      </w:pPr>
      <w:r w:rsidRPr="00E00F13">
        <w:rPr>
          <w:rFonts w:ascii="Arial" w:eastAsia="Arial" w:hAnsi="Arial" w:cs="Arial"/>
          <w:sz w:val="24"/>
          <w:szCs w:val="24"/>
        </w:rPr>
        <w:t>La Asistencia Técnica Integral es una estrategia metodológica, operativa e institucional del MVCT para atender, de manera integral, articulada y localizada, los desafíos en soluciones de vivienda, agua apta para el consumo humano y ordenamiento territorial en la diversidad de territorialidades del país. Para contribuir en la justicia social y territorial, busca cerrar la brecha entre la oferta sectorial y las dinámicas reales de las comunidades, y se consolida como un proceso continuo y adaptativo que explora y vincula, mediante el acompañamiento permanente, al Estado, a la comunidad y a los diferentes actores en los territorios. Su punto de partida es la corresponsabilidad, el reconocimiento de saberes locales y la pertinencia cultural y territorial, fundamentos de una gestión pública transformadora.</w:t>
      </w:r>
    </w:p>
    <w:p w14:paraId="35D498BD" w14:textId="77777777" w:rsidR="00E00F13" w:rsidRDefault="00E00F13" w:rsidP="00571CE3">
      <w:pPr>
        <w:pStyle w:val="Ttulo2"/>
        <w:rPr>
          <w:color w:val="auto"/>
        </w:rPr>
      </w:pPr>
    </w:p>
    <w:p w14:paraId="2AB2CEFE" w14:textId="6F4499FE" w:rsidR="00571CE3" w:rsidRPr="00E00F13" w:rsidRDefault="00571CE3" w:rsidP="00571CE3">
      <w:pPr>
        <w:pStyle w:val="Ttulo2"/>
        <w:rPr>
          <w:color w:val="auto"/>
        </w:rPr>
      </w:pPr>
      <w:bookmarkStart w:id="21" w:name="_Toc234242772"/>
      <w:r w:rsidRPr="00E00F13">
        <w:rPr>
          <w:color w:val="auto"/>
        </w:rPr>
        <w:t>Nuestro Hábitat Biodiverso y el ordenamiento del territorio alrededor del agua</w:t>
      </w:r>
      <w:bookmarkEnd w:id="21"/>
    </w:p>
    <w:p w14:paraId="28BBA5BD" w14:textId="77777777" w:rsidR="00571CE3" w:rsidRPr="00E00F13" w:rsidRDefault="00571CE3" w:rsidP="00571CE3">
      <w:pPr>
        <w:spacing w:after="0" w:line="360" w:lineRule="auto"/>
        <w:jc w:val="both"/>
        <w:rPr>
          <w:rFonts w:ascii="Arial" w:hAnsi="Arial" w:cs="Arial"/>
          <w:sz w:val="24"/>
          <w:szCs w:val="24"/>
        </w:rPr>
      </w:pPr>
      <w:r w:rsidRPr="00E00F13">
        <w:rPr>
          <w:rFonts w:ascii="Arial" w:hAnsi="Arial" w:cs="Arial"/>
          <w:sz w:val="24"/>
          <w:szCs w:val="24"/>
        </w:rPr>
        <w:t xml:space="preserve">En clave de Nuestro Hábitat Biodiverso, el Ministerio ha avanzado en la consolidación de una interpretación ajustada a las realidades nacionales, sintonizando decisiones normativas con las necesidades estructurales. Así mismo, ha logrado capitalizar el sentido del agua como un derecho humano y una ruta comunitaria de mejoramientos de vivienda, transformando la mirada sobre las necesidades </w:t>
      </w:r>
      <w:proofErr w:type="spellStart"/>
      <w:r w:rsidRPr="00E00F13">
        <w:rPr>
          <w:rFonts w:ascii="Arial" w:hAnsi="Arial" w:cs="Arial"/>
          <w:sz w:val="24"/>
          <w:szCs w:val="24"/>
        </w:rPr>
        <w:t>viviendistas</w:t>
      </w:r>
      <w:proofErr w:type="spellEnd"/>
      <w:r w:rsidRPr="00E00F13">
        <w:rPr>
          <w:rFonts w:ascii="Arial" w:hAnsi="Arial" w:cs="Arial"/>
          <w:sz w:val="24"/>
          <w:szCs w:val="24"/>
        </w:rPr>
        <w:t xml:space="preserve"> del país, aportando al cierre de brechas sociales en los territorios más vulnerables.</w:t>
      </w:r>
    </w:p>
    <w:p w14:paraId="41D217BB" w14:textId="77777777" w:rsidR="00571CE3" w:rsidRPr="00E00F13" w:rsidRDefault="00571CE3" w:rsidP="00571CE3">
      <w:pPr>
        <w:spacing w:after="0" w:line="360" w:lineRule="auto"/>
        <w:jc w:val="both"/>
        <w:rPr>
          <w:rFonts w:ascii="Arial" w:hAnsi="Arial" w:cs="Arial"/>
          <w:sz w:val="24"/>
          <w:szCs w:val="24"/>
        </w:rPr>
      </w:pPr>
    </w:p>
    <w:p w14:paraId="33E53322" w14:textId="77777777" w:rsidR="00571CE3" w:rsidRPr="00E00F13" w:rsidRDefault="00571CE3" w:rsidP="00571CE3">
      <w:pPr>
        <w:spacing w:after="0" w:line="360" w:lineRule="auto"/>
        <w:jc w:val="both"/>
        <w:rPr>
          <w:rFonts w:ascii="Arial" w:hAnsi="Arial" w:cs="Arial"/>
          <w:sz w:val="24"/>
          <w:szCs w:val="24"/>
        </w:rPr>
      </w:pPr>
      <w:r w:rsidRPr="00E00F13">
        <w:rPr>
          <w:rFonts w:ascii="Arial" w:hAnsi="Arial" w:cs="Arial"/>
          <w:sz w:val="24"/>
          <w:szCs w:val="24"/>
        </w:rPr>
        <w:t>Por lo tanto, el cambio de paradigma es impostergable ante el agotamiento del modelo tradicional y del surgimiento de nuevas realidades que hacen urgente la consolidación de una nueva mirada sobre el hábitat. La articulación entre la gestión comunitaria, el ordenamiento en torno al agua y la atención a la ruralidad dispersa es la manera de construir un desarrollo territorial justo y sostenible para el país.</w:t>
      </w:r>
    </w:p>
    <w:p w14:paraId="7AE75CCA" w14:textId="77777777" w:rsidR="00571CE3" w:rsidRPr="00E00F13" w:rsidRDefault="00571CE3" w:rsidP="00571CE3">
      <w:pPr>
        <w:spacing w:after="0" w:line="360" w:lineRule="auto"/>
        <w:jc w:val="both"/>
        <w:rPr>
          <w:rFonts w:ascii="Arial" w:hAnsi="Arial" w:cs="Arial"/>
          <w:sz w:val="24"/>
          <w:szCs w:val="24"/>
        </w:rPr>
      </w:pPr>
    </w:p>
    <w:p w14:paraId="2684A249" w14:textId="585C1CDC" w:rsidR="00CC68BA" w:rsidRPr="00E00F13" w:rsidRDefault="00571CE3" w:rsidP="00571CE3">
      <w:pPr>
        <w:spacing w:after="0" w:line="360" w:lineRule="auto"/>
        <w:jc w:val="both"/>
        <w:rPr>
          <w:rFonts w:ascii="Arial" w:hAnsi="Arial" w:cs="Arial"/>
          <w:sz w:val="24"/>
          <w:szCs w:val="24"/>
        </w:rPr>
      </w:pPr>
      <w:r w:rsidRPr="00E00F13">
        <w:rPr>
          <w:rFonts w:ascii="Arial" w:hAnsi="Arial" w:cs="Arial"/>
          <w:sz w:val="24"/>
          <w:szCs w:val="24"/>
          <w:lang w:val="es-ES_tradnl"/>
        </w:rPr>
        <w:t xml:space="preserve">Uno de los lineamientos fundamentales del hábitat biodiverso es el reconocimiento del Ordenamiento Territorial Alrededor del Agua (OTAA). Dicho ordenamiento se fundamenta en el reconocimiento de lo social, popular y democrático del territorio, así como de los cuerpos de agua y de su ciclo vital. El agua es el criterio unificador de todo arreglo socioespacial que busque transformar, mejorar, crear o construir hábitats. </w:t>
      </w:r>
      <w:r w:rsidRPr="00E00F13">
        <w:rPr>
          <w:rFonts w:ascii="Arial" w:hAnsi="Arial" w:cs="Arial"/>
          <w:sz w:val="24"/>
          <w:szCs w:val="24"/>
        </w:rPr>
        <w:t>En este contexto, se fortalecen las nociones de lo público, lo común y lo comunitario como referentes de sentido de las prácticas sociales e institucionales en los procesos de ordenamiento territorial y construcción del hábitat. El OTAA concibe al agua como punto de partida para repensar las dinámicas rurales, urbanas y urbano regionales; las transiciones energéticas y los sistemas de producción.</w:t>
      </w:r>
    </w:p>
    <w:p w14:paraId="0DD887BF" w14:textId="77777777" w:rsidR="00571CE3" w:rsidRPr="00E00F13" w:rsidRDefault="00571CE3" w:rsidP="00571CE3">
      <w:pPr>
        <w:spacing w:after="0" w:line="360" w:lineRule="auto"/>
        <w:jc w:val="both"/>
        <w:rPr>
          <w:rFonts w:ascii="Arial" w:hAnsi="Arial" w:cs="Arial"/>
          <w:sz w:val="24"/>
          <w:szCs w:val="24"/>
        </w:rPr>
      </w:pPr>
    </w:p>
    <w:p w14:paraId="0138B4D8" w14:textId="77777777" w:rsidR="00CC68BA" w:rsidRPr="00E00F13" w:rsidRDefault="00CC68BA" w:rsidP="00C676BA">
      <w:pPr>
        <w:pStyle w:val="Ttulo2"/>
        <w:rPr>
          <w:color w:val="auto"/>
        </w:rPr>
      </w:pPr>
      <w:bookmarkStart w:id="22" w:name="_Toc234242773"/>
      <w:r w:rsidRPr="00E00F13">
        <w:rPr>
          <w:color w:val="auto"/>
        </w:rPr>
        <w:t>Un paradigma en tensión</w:t>
      </w:r>
      <w:bookmarkEnd w:id="22"/>
    </w:p>
    <w:p w14:paraId="777E6F59" w14:textId="4D0AA086" w:rsidR="00CC68BA" w:rsidRPr="00E00F13" w:rsidRDefault="24E7AFC7" w:rsidP="00CC68BA">
      <w:pPr>
        <w:spacing w:after="0" w:line="360" w:lineRule="auto"/>
        <w:jc w:val="both"/>
        <w:rPr>
          <w:rFonts w:ascii="Arial" w:hAnsi="Arial" w:cs="Arial"/>
          <w:sz w:val="24"/>
          <w:szCs w:val="24"/>
        </w:rPr>
      </w:pPr>
      <w:r w:rsidRPr="00E00F13">
        <w:rPr>
          <w:rFonts w:ascii="Arial" w:hAnsi="Arial" w:cs="Arial"/>
          <w:sz w:val="24"/>
          <w:szCs w:val="24"/>
        </w:rPr>
        <w:t>L</w:t>
      </w:r>
      <w:r w:rsidR="00CC68BA" w:rsidRPr="00E00F13">
        <w:rPr>
          <w:rFonts w:ascii="Arial" w:hAnsi="Arial" w:cs="Arial"/>
          <w:sz w:val="24"/>
          <w:szCs w:val="24"/>
        </w:rPr>
        <w:t>os ajustes normativos e institucionales</w:t>
      </w:r>
      <w:r w:rsidR="14D03208" w:rsidRPr="00E00F13">
        <w:rPr>
          <w:rFonts w:ascii="Arial" w:hAnsi="Arial" w:cs="Arial"/>
          <w:sz w:val="24"/>
          <w:szCs w:val="24"/>
        </w:rPr>
        <w:t>,</w:t>
      </w:r>
      <w:r w:rsidR="5B2731E6" w:rsidRPr="00E00F13">
        <w:rPr>
          <w:rFonts w:ascii="Arial" w:hAnsi="Arial" w:cs="Arial"/>
          <w:sz w:val="24"/>
          <w:szCs w:val="24"/>
        </w:rPr>
        <w:t xml:space="preserve"> que buscan </w:t>
      </w:r>
      <w:r w:rsidR="00CC68BA" w:rsidRPr="00E00F13">
        <w:rPr>
          <w:rFonts w:ascii="Arial" w:hAnsi="Arial" w:cs="Arial"/>
          <w:sz w:val="24"/>
          <w:szCs w:val="24"/>
        </w:rPr>
        <w:t>situar a las comunidades organizadas como el elemento que articula esta nueva visión</w:t>
      </w:r>
      <w:r w:rsidR="1FF015CF" w:rsidRPr="00E00F13">
        <w:rPr>
          <w:rFonts w:ascii="Arial" w:hAnsi="Arial" w:cs="Arial"/>
          <w:sz w:val="24"/>
          <w:szCs w:val="24"/>
        </w:rPr>
        <w:t>, han tenido una serie de</w:t>
      </w:r>
      <w:r w:rsidR="00CC68BA" w:rsidRPr="00E00F13">
        <w:rPr>
          <w:rFonts w:ascii="Arial" w:hAnsi="Arial" w:cs="Arial"/>
          <w:sz w:val="24"/>
          <w:szCs w:val="24"/>
        </w:rPr>
        <w:t xml:space="preserve"> dificultades para su implementación. La consolidación de un nuevo paradigma para la vivienda, el hábitat y el acceso </w:t>
      </w:r>
      <w:r w:rsidR="53F0F7CF" w:rsidRPr="00E00F13">
        <w:rPr>
          <w:rFonts w:ascii="Arial" w:hAnsi="Arial" w:cs="Arial"/>
          <w:sz w:val="24"/>
          <w:szCs w:val="24"/>
        </w:rPr>
        <w:t xml:space="preserve">al </w:t>
      </w:r>
      <w:r w:rsidR="00CC68BA" w:rsidRPr="00E00F13">
        <w:rPr>
          <w:rFonts w:ascii="Arial" w:hAnsi="Arial" w:cs="Arial"/>
          <w:sz w:val="24"/>
          <w:szCs w:val="24"/>
        </w:rPr>
        <w:t xml:space="preserve">agua avanza en medio de tensiones </w:t>
      </w:r>
      <w:r w:rsidR="00CC68BA" w:rsidRPr="00E00F13">
        <w:rPr>
          <w:rFonts w:ascii="Arial" w:hAnsi="Arial" w:cs="Arial"/>
          <w:sz w:val="24"/>
          <w:szCs w:val="24"/>
        </w:rPr>
        <w:lastRenderedPageBreak/>
        <w:t>profundas. Por un lado, se reconoce a las comunidades organizadas como el eje articulador de las transformaciones territoriales y, en este sentido, el Ministerio ha impulsado importantes ajustes normativos e institucionales orientados a integrar la participación social en la planificación, gestión y sostenibilidad de las soluciones habitacionales</w:t>
      </w:r>
      <w:r w:rsidR="1AE6BE46" w:rsidRPr="00E00F13">
        <w:rPr>
          <w:rFonts w:ascii="Arial" w:hAnsi="Arial" w:cs="Arial"/>
          <w:sz w:val="24"/>
          <w:szCs w:val="24"/>
        </w:rPr>
        <w:t>,</w:t>
      </w:r>
      <w:r w:rsidR="00CC68BA" w:rsidRPr="00E00F13">
        <w:rPr>
          <w:rFonts w:ascii="Arial" w:hAnsi="Arial" w:cs="Arial"/>
          <w:sz w:val="24"/>
          <w:szCs w:val="24"/>
        </w:rPr>
        <w:t xml:space="preserve"> de agua</w:t>
      </w:r>
      <w:r w:rsidR="67BFD22E" w:rsidRPr="00E00F13">
        <w:rPr>
          <w:rFonts w:ascii="Arial" w:hAnsi="Arial" w:cs="Arial"/>
          <w:sz w:val="24"/>
          <w:szCs w:val="24"/>
        </w:rPr>
        <w:t xml:space="preserve"> y saneamiento básico</w:t>
      </w:r>
      <w:r w:rsidR="00CC68BA" w:rsidRPr="00E00F13">
        <w:rPr>
          <w:rFonts w:ascii="Arial" w:hAnsi="Arial" w:cs="Arial"/>
          <w:sz w:val="24"/>
          <w:szCs w:val="24"/>
        </w:rPr>
        <w:t>. Por otro lado, existe una notable tensión para materializar esta nueva visión, que enfrenta obstáculos persistentes: capacidades institucionales dispares, p</w:t>
      </w:r>
      <w:r w:rsidR="4D1E3DB2" w:rsidRPr="00E00F13">
        <w:rPr>
          <w:rFonts w:ascii="Arial" w:hAnsi="Arial" w:cs="Arial"/>
          <w:sz w:val="24"/>
          <w:szCs w:val="24"/>
        </w:rPr>
        <w:t xml:space="preserve">olíticas </w:t>
      </w:r>
      <w:r w:rsidR="35A66778" w:rsidRPr="00E00F13">
        <w:rPr>
          <w:rFonts w:ascii="Arial" w:hAnsi="Arial" w:cs="Arial"/>
          <w:sz w:val="24"/>
          <w:szCs w:val="24"/>
        </w:rPr>
        <w:t>establecidas en el sector y sus modelos de operación</w:t>
      </w:r>
      <w:r w:rsidR="00CC68BA" w:rsidRPr="00E00F13">
        <w:rPr>
          <w:rFonts w:ascii="Arial" w:hAnsi="Arial" w:cs="Arial"/>
          <w:sz w:val="24"/>
          <w:szCs w:val="24"/>
        </w:rPr>
        <w:t xml:space="preserve">, </w:t>
      </w:r>
      <w:r w:rsidR="4CE10805" w:rsidRPr="00E00F13">
        <w:rPr>
          <w:rFonts w:ascii="Arial" w:hAnsi="Arial" w:cs="Arial"/>
          <w:sz w:val="24"/>
          <w:szCs w:val="24"/>
        </w:rPr>
        <w:t>unas prácticas institucionales que lo alejan</w:t>
      </w:r>
      <w:r w:rsidR="00CC68BA" w:rsidRPr="00E00F13">
        <w:rPr>
          <w:rFonts w:ascii="Arial" w:hAnsi="Arial" w:cs="Arial"/>
          <w:sz w:val="24"/>
          <w:szCs w:val="24"/>
        </w:rPr>
        <w:t xml:space="preserve"> de </w:t>
      </w:r>
      <w:r w:rsidR="4CE10805" w:rsidRPr="00E00F13">
        <w:rPr>
          <w:rFonts w:ascii="Arial" w:hAnsi="Arial" w:cs="Arial"/>
          <w:sz w:val="24"/>
          <w:szCs w:val="24"/>
        </w:rPr>
        <w:t xml:space="preserve">la comunidad </w:t>
      </w:r>
      <w:r w:rsidR="00CC68BA" w:rsidRPr="00E00F13">
        <w:rPr>
          <w:rFonts w:ascii="Arial" w:hAnsi="Arial" w:cs="Arial"/>
          <w:sz w:val="24"/>
          <w:szCs w:val="24"/>
        </w:rPr>
        <w:t>y los desafíos propios para garantizar que los procesos comunitarios incidan de manera efectiva en las decisiones públicas.</w:t>
      </w:r>
    </w:p>
    <w:p w14:paraId="4882AD77" w14:textId="77777777" w:rsidR="00CC68BA" w:rsidRPr="00E00F13" w:rsidRDefault="00CC68BA" w:rsidP="00CC68BA">
      <w:pPr>
        <w:spacing w:after="0" w:line="360" w:lineRule="auto"/>
        <w:jc w:val="both"/>
        <w:rPr>
          <w:rFonts w:ascii="Arial" w:hAnsi="Arial" w:cs="Arial"/>
          <w:sz w:val="24"/>
          <w:szCs w:val="24"/>
        </w:rPr>
      </w:pPr>
    </w:p>
    <w:p w14:paraId="584590C3" w14:textId="634B14F3" w:rsidR="00CC68BA" w:rsidRPr="00E00F13" w:rsidRDefault="00CC68BA" w:rsidP="00CC68BA">
      <w:pPr>
        <w:spacing w:after="0" w:line="360" w:lineRule="auto"/>
        <w:jc w:val="both"/>
        <w:rPr>
          <w:rFonts w:ascii="Arial" w:hAnsi="Arial" w:cs="Arial"/>
          <w:sz w:val="24"/>
          <w:szCs w:val="24"/>
        </w:rPr>
      </w:pPr>
      <w:r w:rsidRPr="00E00F13">
        <w:rPr>
          <w:rFonts w:ascii="Arial" w:hAnsi="Arial" w:cs="Arial"/>
          <w:sz w:val="24"/>
          <w:szCs w:val="24"/>
        </w:rPr>
        <w:t>A</w:t>
      </w:r>
      <w:r w:rsidR="7024A6DB" w:rsidRPr="00E00F13">
        <w:rPr>
          <w:rFonts w:ascii="Arial" w:hAnsi="Arial" w:cs="Arial"/>
          <w:sz w:val="24"/>
          <w:szCs w:val="24"/>
        </w:rPr>
        <w:t xml:space="preserve"> pesar de lo expresado</w:t>
      </w:r>
      <w:r w:rsidRPr="00E00F13">
        <w:rPr>
          <w:rFonts w:ascii="Arial" w:hAnsi="Arial" w:cs="Arial"/>
          <w:sz w:val="24"/>
          <w:szCs w:val="24"/>
        </w:rPr>
        <w:t>, el Ministerio ha asumido el compromiso de avanzar hacia modelos de gestión que reconozcan la diversidad territ</w:t>
      </w:r>
      <w:r w:rsidR="001018B2" w:rsidRPr="00E00F13">
        <w:rPr>
          <w:rFonts w:ascii="Arial" w:hAnsi="Arial" w:cs="Arial"/>
          <w:sz w:val="24"/>
          <w:szCs w:val="24"/>
        </w:rPr>
        <w:t>o</w:t>
      </w:r>
      <w:r w:rsidRPr="00E00F13">
        <w:rPr>
          <w:rFonts w:ascii="Arial" w:hAnsi="Arial" w:cs="Arial"/>
          <w:sz w:val="24"/>
          <w:szCs w:val="24"/>
        </w:rPr>
        <w:t>rial</w:t>
      </w:r>
      <w:r w:rsidR="001018B2" w:rsidRPr="00E00F13">
        <w:rPr>
          <w:rFonts w:ascii="Arial" w:hAnsi="Arial" w:cs="Arial"/>
          <w:sz w:val="24"/>
          <w:szCs w:val="24"/>
        </w:rPr>
        <w:t xml:space="preserve"> y el ordenamiento alrededor del agua</w:t>
      </w:r>
      <w:r w:rsidRPr="00E00F13">
        <w:rPr>
          <w:rFonts w:ascii="Arial" w:hAnsi="Arial" w:cs="Arial"/>
          <w:sz w:val="24"/>
          <w:szCs w:val="24"/>
        </w:rPr>
        <w:t xml:space="preserve"> y</w:t>
      </w:r>
      <w:r w:rsidR="001018B2" w:rsidRPr="00E00F13">
        <w:rPr>
          <w:rFonts w:ascii="Arial" w:hAnsi="Arial" w:cs="Arial"/>
          <w:sz w:val="24"/>
          <w:szCs w:val="24"/>
        </w:rPr>
        <w:t xml:space="preserve"> que</w:t>
      </w:r>
      <w:r w:rsidRPr="00E00F13">
        <w:rPr>
          <w:rFonts w:ascii="Arial" w:hAnsi="Arial" w:cs="Arial"/>
          <w:sz w:val="24"/>
          <w:szCs w:val="24"/>
        </w:rPr>
        <w:t xml:space="preserve"> fortalezcan el papel protagónico de las comunidades. Por ello, este documento se presenta como un esfuerzo por esclarecer los avances, las tensiones y los retos pendientes para hacer viable una política de vivienda</w:t>
      </w:r>
      <w:r w:rsidR="2C6A9AFB" w:rsidRPr="00E00F13">
        <w:rPr>
          <w:rFonts w:ascii="Arial" w:hAnsi="Arial" w:cs="Arial"/>
          <w:sz w:val="24"/>
          <w:szCs w:val="24"/>
        </w:rPr>
        <w:t>,</w:t>
      </w:r>
      <w:r w:rsidRPr="00E00F13">
        <w:rPr>
          <w:rFonts w:ascii="Arial" w:hAnsi="Arial" w:cs="Arial"/>
          <w:sz w:val="24"/>
          <w:szCs w:val="24"/>
        </w:rPr>
        <w:t xml:space="preserve"> agua</w:t>
      </w:r>
      <w:r w:rsidR="00F53DD0" w:rsidRPr="00E00F13">
        <w:rPr>
          <w:rFonts w:ascii="Arial" w:hAnsi="Arial" w:cs="Arial"/>
          <w:sz w:val="24"/>
          <w:szCs w:val="24"/>
        </w:rPr>
        <w:t xml:space="preserve"> para el consumo humano y el saneamiento básico</w:t>
      </w:r>
      <w:r w:rsidRPr="00E00F13">
        <w:rPr>
          <w:rFonts w:ascii="Arial" w:hAnsi="Arial" w:cs="Arial"/>
          <w:sz w:val="24"/>
          <w:szCs w:val="24"/>
        </w:rPr>
        <w:t xml:space="preserve"> que sea realmente integral, participativa y coherente con las realidades locales del país.</w:t>
      </w:r>
    </w:p>
    <w:p w14:paraId="5ECF685A" w14:textId="77777777" w:rsidR="00F53DD0" w:rsidRPr="00E00F13" w:rsidRDefault="00F53DD0" w:rsidP="00CC68BA">
      <w:pPr>
        <w:spacing w:after="0" w:line="360" w:lineRule="auto"/>
        <w:jc w:val="both"/>
        <w:rPr>
          <w:rFonts w:ascii="Arial" w:hAnsi="Arial" w:cs="Arial"/>
          <w:sz w:val="24"/>
          <w:szCs w:val="24"/>
        </w:rPr>
      </w:pPr>
    </w:p>
    <w:p w14:paraId="5F414B8C" w14:textId="652F3E39" w:rsidR="00CC68BA" w:rsidRPr="00E00F13" w:rsidRDefault="00CC68BA" w:rsidP="00CC68BA">
      <w:pPr>
        <w:spacing w:after="0" w:line="360" w:lineRule="auto"/>
        <w:jc w:val="both"/>
        <w:rPr>
          <w:rFonts w:ascii="Arial" w:hAnsi="Arial" w:cs="Arial"/>
          <w:sz w:val="24"/>
          <w:szCs w:val="24"/>
        </w:rPr>
      </w:pPr>
      <w:r w:rsidRPr="00E00F13">
        <w:rPr>
          <w:rFonts w:ascii="Arial" w:hAnsi="Arial" w:cs="Arial"/>
          <w:sz w:val="24"/>
          <w:szCs w:val="24"/>
        </w:rPr>
        <w:t xml:space="preserve">Los </w:t>
      </w:r>
      <w:r w:rsidRPr="00E00F13">
        <w:rPr>
          <w:rFonts w:ascii="Arial" w:hAnsi="Arial" w:cs="Arial"/>
          <w:i/>
          <w:iCs/>
          <w:sz w:val="24"/>
          <w:szCs w:val="24"/>
        </w:rPr>
        <w:t>Lineamientos de política Nuestro Hábitat Biodiverso</w:t>
      </w:r>
      <w:r w:rsidRPr="00E00F13">
        <w:rPr>
          <w:rFonts w:ascii="Arial" w:hAnsi="Arial" w:cs="Arial"/>
          <w:sz w:val="24"/>
          <w:szCs w:val="24"/>
        </w:rPr>
        <w:t xml:space="preserve"> reflejan la visión de un proceso aún en transformación y en tensión entre un modelo anterior y uno nuevo </w:t>
      </w:r>
      <w:r w:rsidR="00776A6E" w:rsidRPr="00E00F13">
        <w:rPr>
          <w:rFonts w:ascii="Arial" w:hAnsi="Arial" w:cs="Arial"/>
          <w:sz w:val="24"/>
          <w:szCs w:val="24"/>
        </w:rPr>
        <w:t>que hace</w:t>
      </w:r>
      <w:r w:rsidRPr="00E00F13">
        <w:rPr>
          <w:rFonts w:ascii="Arial" w:hAnsi="Arial" w:cs="Arial"/>
          <w:sz w:val="24"/>
          <w:szCs w:val="24"/>
        </w:rPr>
        <w:t xml:space="preserve"> énfasis en mayor apropiación territorial</w:t>
      </w:r>
      <w:r w:rsidR="00581651" w:rsidRPr="00E00F13">
        <w:rPr>
          <w:rFonts w:ascii="Arial" w:hAnsi="Arial" w:cs="Arial"/>
          <w:sz w:val="24"/>
          <w:szCs w:val="24"/>
        </w:rPr>
        <w:t>,</w:t>
      </w:r>
      <w:r w:rsidRPr="00E00F13">
        <w:rPr>
          <w:rFonts w:ascii="Arial" w:hAnsi="Arial" w:cs="Arial"/>
          <w:sz w:val="24"/>
          <w:szCs w:val="24"/>
        </w:rPr>
        <w:t xml:space="preserve"> gestión participativa y contextualizada.</w:t>
      </w:r>
      <w:r w:rsidR="00F53DD0" w:rsidRPr="00E00F13">
        <w:rPr>
          <w:rFonts w:ascii="Arial" w:hAnsi="Arial" w:cs="Arial"/>
          <w:sz w:val="24"/>
          <w:szCs w:val="24"/>
        </w:rPr>
        <w:t xml:space="preserve"> </w:t>
      </w:r>
      <w:r w:rsidRPr="00E00F13">
        <w:rPr>
          <w:rFonts w:ascii="Arial" w:hAnsi="Arial" w:cs="Arial"/>
          <w:sz w:val="24"/>
          <w:szCs w:val="24"/>
        </w:rPr>
        <w:t>Esta transformación organizacional reconoce obstáculos internos para adoptar nuevas políticas</w:t>
      </w:r>
      <w:r w:rsidR="00ED393F" w:rsidRPr="00E00F13">
        <w:rPr>
          <w:rFonts w:ascii="Arial" w:hAnsi="Arial" w:cs="Arial"/>
          <w:sz w:val="24"/>
          <w:szCs w:val="24"/>
        </w:rPr>
        <w:t>, así como</w:t>
      </w:r>
      <w:r w:rsidRPr="00E00F13">
        <w:rPr>
          <w:rFonts w:ascii="Arial" w:hAnsi="Arial" w:cs="Arial"/>
          <w:sz w:val="24"/>
          <w:szCs w:val="24"/>
        </w:rPr>
        <w:t xml:space="preserve"> la importancia de formar equipos </w:t>
      </w:r>
      <w:r w:rsidR="00776A6E" w:rsidRPr="00E00F13">
        <w:rPr>
          <w:rFonts w:ascii="Arial" w:hAnsi="Arial" w:cs="Arial"/>
          <w:sz w:val="24"/>
          <w:szCs w:val="24"/>
        </w:rPr>
        <w:t xml:space="preserve">que </w:t>
      </w:r>
      <w:r w:rsidR="001018B2" w:rsidRPr="00E00F13">
        <w:rPr>
          <w:rFonts w:ascii="Arial" w:hAnsi="Arial" w:cs="Arial"/>
          <w:sz w:val="24"/>
          <w:szCs w:val="24"/>
        </w:rPr>
        <w:t>reconozcan y apalanquen</w:t>
      </w:r>
      <w:r w:rsidR="00776A6E" w:rsidRPr="00E00F13">
        <w:rPr>
          <w:rFonts w:ascii="Arial" w:hAnsi="Arial" w:cs="Arial"/>
          <w:sz w:val="24"/>
          <w:szCs w:val="24"/>
        </w:rPr>
        <w:t xml:space="preserve"> estos</w:t>
      </w:r>
      <w:r w:rsidR="001018B2" w:rsidRPr="00E00F13">
        <w:rPr>
          <w:rFonts w:ascii="Arial" w:hAnsi="Arial" w:cs="Arial"/>
          <w:sz w:val="24"/>
          <w:szCs w:val="24"/>
        </w:rPr>
        <w:t xml:space="preserve"> nuevos</w:t>
      </w:r>
      <w:r w:rsidR="00776A6E" w:rsidRPr="00E00F13">
        <w:rPr>
          <w:rFonts w:ascii="Arial" w:hAnsi="Arial" w:cs="Arial"/>
          <w:sz w:val="24"/>
          <w:szCs w:val="24"/>
        </w:rPr>
        <w:t xml:space="preserve"> lineamientos y cambios de visión</w:t>
      </w:r>
      <w:r w:rsidR="001018B2" w:rsidRPr="00E00F13">
        <w:rPr>
          <w:rFonts w:ascii="Arial" w:hAnsi="Arial" w:cs="Arial"/>
          <w:sz w:val="24"/>
          <w:szCs w:val="24"/>
        </w:rPr>
        <w:t>, entendiendo</w:t>
      </w:r>
      <w:r w:rsidRPr="00E00F13">
        <w:rPr>
          <w:rFonts w:ascii="Arial" w:hAnsi="Arial" w:cs="Arial"/>
          <w:sz w:val="24"/>
          <w:szCs w:val="24"/>
        </w:rPr>
        <w:t xml:space="preserve"> la diversidad cultural y organizativa en los territorios, especialmente en contextos rurales y étnicos.</w:t>
      </w:r>
      <w:r w:rsidR="191A689E" w:rsidRPr="00E00F13">
        <w:rPr>
          <w:rFonts w:ascii="Arial" w:hAnsi="Arial" w:cs="Arial"/>
          <w:sz w:val="24"/>
          <w:szCs w:val="24"/>
        </w:rPr>
        <w:t xml:space="preserve"> </w:t>
      </w:r>
      <w:r w:rsidRPr="00E00F13">
        <w:rPr>
          <w:rFonts w:ascii="Arial" w:hAnsi="Arial" w:cs="Arial"/>
          <w:sz w:val="24"/>
          <w:szCs w:val="24"/>
        </w:rPr>
        <w:t xml:space="preserve">Por ello, la adecuación sigue en proceso. Se avanzó en nuevas normativas y marcos metodológicos, pero el Estado todavía no cuenta con la plataforma institucional completa para ejecutar proyectos de autogestión a escala. </w:t>
      </w:r>
    </w:p>
    <w:p w14:paraId="473C899A" w14:textId="77777777" w:rsidR="00F53DD0" w:rsidRPr="00E00F13" w:rsidRDefault="00F53DD0" w:rsidP="00CC68BA">
      <w:pPr>
        <w:spacing w:after="0" w:line="360" w:lineRule="auto"/>
        <w:jc w:val="both"/>
        <w:rPr>
          <w:rFonts w:ascii="Arial" w:hAnsi="Arial" w:cs="Arial"/>
          <w:sz w:val="24"/>
          <w:szCs w:val="24"/>
        </w:rPr>
      </w:pPr>
    </w:p>
    <w:p w14:paraId="7052E3B3" w14:textId="79ED967A" w:rsidR="00A0221C" w:rsidRPr="00E00F13" w:rsidRDefault="00170FDE" w:rsidP="003E23A9">
      <w:pPr>
        <w:spacing w:after="0" w:line="360" w:lineRule="auto"/>
        <w:jc w:val="both"/>
        <w:rPr>
          <w:rFonts w:ascii="Arial" w:hAnsi="Arial" w:cs="Arial"/>
          <w:sz w:val="24"/>
          <w:szCs w:val="24"/>
        </w:rPr>
      </w:pPr>
      <w:r w:rsidRPr="00E00F13">
        <w:rPr>
          <w:rFonts w:ascii="Arial" w:hAnsi="Arial" w:cs="Arial"/>
          <w:sz w:val="24"/>
          <w:szCs w:val="24"/>
        </w:rPr>
        <w:lastRenderedPageBreak/>
        <w:t>Este documento</w:t>
      </w:r>
      <w:r w:rsidR="00F53DD0" w:rsidRPr="00E00F13">
        <w:rPr>
          <w:rFonts w:ascii="Arial" w:hAnsi="Arial" w:cs="Arial"/>
          <w:sz w:val="24"/>
          <w:szCs w:val="24"/>
        </w:rPr>
        <w:t xml:space="preserve"> tiene como</w:t>
      </w:r>
      <w:r w:rsidR="00CC68BA" w:rsidRPr="00E00F13">
        <w:rPr>
          <w:rFonts w:ascii="Arial" w:hAnsi="Arial" w:cs="Arial"/>
          <w:sz w:val="24"/>
          <w:szCs w:val="24"/>
        </w:rPr>
        <w:t xml:space="preserve"> propósito identificar los cursos de acción que </w:t>
      </w:r>
      <w:r w:rsidR="00F53DD0" w:rsidRPr="00E00F13">
        <w:rPr>
          <w:rFonts w:ascii="Arial" w:hAnsi="Arial" w:cs="Arial"/>
          <w:sz w:val="24"/>
          <w:szCs w:val="24"/>
        </w:rPr>
        <w:t>quedan faltando</w:t>
      </w:r>
      <w:r w:rsidR="00CC68BA" w:rsidRPr="00E00F13">
        <w:rPr>
          <w:rFonts w:ascii="Arial" w:hAnsi="Arial" w:cs="Arial"/>
          <w:sz w:val="24"/>
          <w:szCs w:val="24"/>
        </w:rPr>
        <w:t xml:space="preserve"> y, en especial, </w:t>
      </w:r>
      <w:r w:rsidR="00F53DD0" w:rsidRPr="00E00F13">
        <w:rPr>
          <w:rFonts w:ascii="Arial" w:hAnsi="Arial" w:cs="Arial"/>
          <w:sz w:val="24"/>
          <w:szCs w:val="24"/>
        </w:rPr>
        <w:t xml:space="preserve">proponer </w:t>
      </w:r>
      <w:r w:rsidR="00CC68BA" w:rsidRPr="00E00F13">
        <w:rPr>
          <w:rFonts w:ascii="Arial" w:hAnsi="Arial" w:cs="Arial"/>
          <w:sz w:val="24"/>
          <w:szCs w:val="24"/>
        </w:rPr>
        <w:t>recomendaciones</w:t>
      </w:r>
      <w:r w:rsidR="00F53DD0" w:rsidRPr="00E00F13">
        <w:rPr>
          <w:rFonts w:ascii="Arial" w:hAnsi="Arial" w:cs="Arial"/>
          <w:sz w:val="24"/>
          <w:szCs w:val="24"/>
        </w:rPr>
        <w:t xml:space="preserve"> estratégicas</w:t>
      </w:r>
      <w:r w:rsidR="00CC68BA" w:rsidRPr="00E00F13">
        <w:rPr>
          <w:rFonts w:ascii="Arial" w:hAnsi="Arial" w:cs="Arial"/>
          <w:sz w:val="24"/>
          <w:szCs w:val="24"/>
        </w:rPr>
        <w:t xml:space="preserve"> dirigidas a los próximos gobiernos.</w:t>
      </w:r>
      <w:r w:rsidR="3A3373E0" w:rsidRPr="00E00F13">
        <w:rPr>
          <w:rFonts w:ascii="Arial" w:hAnsi="Arial" w:cs="Arial"/>
          <w:sz w:val="24"/>
          <w:szCs w:val="24"/>
        </w:rPr>
        <w:t xml:space="preserve"> </w:t>
      </w:r>
      <w:r w:rsidR="3068B444" w:rsidRPr="00E00F13">
        <w:rPr>
          <w:rFonts w:ascii="Arial" w:hAnsi="Arial" w:cs="Arial"/>
          <w:sz w:val="24"/>
          <w:szCs w:val="24"/>
        </w:rPr>
        <w:t>Se concibe</w:t>
      </w:r>
      <w:r w:rsidR="00CC68BA" w:rsidRPr="00E00F13">
        <w:rPr>
          <w:rFonts w:ascii="Arial" w:hAnsi="Arial" w:cs="Arial"/>
          <w:sz w:val="24"/>
          <w:szCs w:val="24"/>
        </w:rPr>
        <w:t xml:space="preserve"> como un instrumento de carácter estratégico, que contiene los criterios y lineamientos de políticas del Ministerio de Vivienda, Ciudad y Territorio para </w:t>
      </w:r>
      <w:r w:rsidR="33B3A715" w:rsidRPr="00E00F13">
        <w:rPr>
          <w:rFonts w:ascii="Arial" w:hAnsi="Arial" w:cs="Arial"/>
          <w:sz w:val="24"/>
          <w:szCs w:val="24"/>
        </w:rPr>
        <w:t>orientar</w:t>
      </w:r>
      <w:r w:rsidR="00CC68BA" w:rsidRPr="00E00F13">
        <w:rPr>
          <w:rFonts w:ascii="Arial" w:hAnsi="Arial" w:cs="Arial"/>
          <w:sz w:val="24"/>
          <w:szCs w:val="24"/>
        </w:rPr>
        <w:t xml:space="preserve"> las acciones institucionales</w:t>
      </w:r>
      <w:r w:rsidR="00F53DD0" w:rsidRPr="00E00F13">
        <w:rPr>
          <w:rFonts w:ascii="Arial" w:hAnsi="Arial" w:cs="Arial"/>
          <w:sz w:val="24"/>
          <w:szCs w:val="24"/>
        </w:rPr>
        <w:t xml:space="preserve">. </w:t>
      </w:r>
      <w:r w:rsidR="00CC68BA" w:rsidRPr="00E00F13">
        <w:rPr>
          <w:rFonts w:ascii="Arial" w:hAnsi="Arial" w:cs="Arial"/>
          <w:sz w:val="24"/>
          <w:szCs w:val="24"/>
        </w:rPr>
        <w:t>A partir de este documento se establece una hoja de ruta sobre los avances alcanzados en los últimos tres años y sobre los desafíos pendientes y tensiones existentes para consolidar una transformación completa en la política de hábitat en el país.</w:t>
      </w:r>
    </w:p>
    <w:p w14:paraId="408BA4B3" w14:textId="4F4881CC" w:rsidR="00F14196" w:rsidRDefault="00F14196" w:rsidP="003F26BE">
      <w:pPr>
        <w:spacing w:after="0" w:line="360" w:lineRule="auto"/>
        <w:jc w:val="both"/>
        <w:rPr>
          <w:rFonts w:ascii="Arial" w:hAnsi="Arial" w:cs="Arial"/>
          <w:sz w:val="24"/>
          <w:szCs w:val="24"/>
        </w:rPr>
      </w:pPr>
    </w:p>
    <w:p w14:paraId="353C1A1F" w14:textId="77777777" w:rsidR="00E00F13" w:rsidRDefault="00E00F13" w:rsidP="003F26BE">
      <w:pPr>
        <w:spacing w:after="0" w:line="360" w:lineRule="auto"/>
        <w:jc w:val="both"/>
        <w:rPr>
          <w:rFonts w:ascii="Arial" w:hAnsi="Arial" w:cs="Arial"/>
          <w:sz w:val="24"/>
          <w:szCs w:val="24"/>
        </w:rPr>
      </w:pPr>
    </w:p>
    <w:p w14:paraId="2ACB94A1" w14:textId="77777777" w:rsidR="00E00F13" w:rsidRDefault="00E00F13" w:rsidP="003F26BE">
      <w:pPr>
        <w:spacing w:after="0" w:line="360" w:lineRule="auto"/>
        <w:jc w:val="both"/>
        <w:rPr>
          <w:rFonts w:ascii="Arial" w:hAnsi="Arial" w:cs="Arial"/>
          <w:sz w:val="24"/>
          <w:szCs w:val="24"/>
        </w:rPr>
      </w:pPr>
    </w:p>
    <w:p w14:paraId="35945533" w14:textId="77777777" w:rsidR="00E00F13" w:rsidRDefault="00E00F13" w:rsidP="003F26BE">
      <w:pPr>
        <w:spacing w:after="0" w:line="360" w:lineRule="auto"/>
        <w:jc w:val="both"/>
        <w:rPr>
          <w:rFonts w:ascii="Arial" w:hAnsi="Arial" w:cs="Arial"/>
          <w:sz w:val="24"/>
          <w:szCs w:val="24"/>
        </w:rPr>
      </w:pPr>
    </w:p>
    <w:p w14:paraId="679DF496" w14:textId="77777777" w:rsidR="00E00F13" w:rsidRDefault="00E00F13" w:rsidP="003F26BE">
      <w:pPr>
        <w:spacing w:after="0" w:line="360" w:lineRule="auto"/>
        <w:jc w:val="both"/>
        <w:rPr>
          <w:rFonts w:ascii="Arial" w:hAnsi="Arial" w:cs="Arial"/>
          <w:sz w:val="24"/>
          <w:szCs w:val="24"/>
        </w:rPr>
      </w:pPr>
    </w:p>
    <w:p w14:paraId="457CE13F" w14:textId="77777777" w:rsidR="00E00F13" w:rsidRDefault="00E00F13" w:rsidP="003F26BE">
      <w:pPr>
        <w:spacing w:after="0" w:line="360" w:lineRule="auto"/>
        <w:jc w:val="both"/>
        <w:rPr>
          <w:rFonts w:ascii="Arial" w:hAnsi="Arial" w:cs="Arial"/>
          <w:sz w:val="24"/>
          <w:szCs w:val="24"/>
        </w:rPr>
      </w:pPr>
    </w:p>
    <w:p w14:paraId="5FAB0D6B" w14:textId="77777777" w:rsidR="00E00F13" w:rsidRDefault="00E00F13" w:rsidP="003F26BE">
      <w:pPr>
        <w:spacing w:after="0" w:line="360" w:lineRule="auto"/>
        <w:jc w:val="both"/>
        <w:rPr>
          <w:rFonts w:ascii="Arial" w:hAnsi="Arial" w:cs="Arial"/>
          <w:sz w:val="24"/>
          <w:szCs w:val="24"/>
        </w:rPr>
      </w:pPr>
    </w:p>
    <w:p w14:paraId="39D28C42" w14:textId="77777777" w:rsidR="00E00F13" w:rsidRDefault="00E00F13" w:rsidP="003F26BE">
      <w:pPr>
        <w:spacing w:after="0" w:line="360" w:lineRule="auto"/>
        <w:jc w:val="both"/>
        <w:rPr>
          <w:rFonts w:ascii="Arial" w:hAnsi="Arial" w:cs="Arial"/>
          <w:sz w:val="24"/>
          <w:szCs w:val="24"/>
        </w:rPr>
      </w:pPr>
    </w:p>
    <w:p w14:paraId="13E887BC" w14:textId="77777777" w:rsidR="00E00F13" w:rsidRDefault="00E00F13" w:rsidP="003F26BE">
      <w:pPr>
        <w:spacing w:after="0" w:line="360" w:lineRule="auto"/>
        <w:jc w:val="both"/>
        <w:rPr>
          <w:rFonts w:ascii="Arial" w:hAnsi="Arial" w:cs="Arial"/>
          <w:sz w:val="24"/>
          <w:szCs w:val="24"/>
        </w:rPr>
      </w:pPr>
    </w:p>
    <w:p w14:paraId="1C05D132" w14:textId="77777777" w:rsidR="00E00F13" w:rsidRDefault="00E00F13" w:rsidP="003F26BE">
      <w:pPr>
        <w:spacing w:after="0" w:line="360" w:lineRule="auto"/>
        <w:jc w:val="both"/>
        <w:rPr>
          <w:rFonts w:ascii="Arial" w:hAnsi="Arial" w:cs="Arial"/>
          <w:sz w:val="24"/>
          <w:szCs w:val="24"/>
        </w:rPr>
      </w:pPr>
    </w:p>
    <w:p w14:paraId="0C39467D" w14:textId="77777777" w:rsidR="00E00F13" w:rsidRDefault="00E00F13" w:rsidP="003F26BE">
      <w:pPr>
        <w:spacing w:after="0" w:line="360" w:lineRule="auto"/>
        <w:jc w:val="both"/>
        <w:rPr>
          <w:rFonts w:ascii="Arial" w:hAnsi="Arial" w:cs="Arial"/>
          <w:sz w:val="24"/>
          <w:szCs w:val="24"/>
        </w:rPr>
      </w:pPr>
    </w:p>
    <w:p w14:paraId="3D4F3657" w14:textId="77777777" w:rsidR="00E00F13" w:rsidRDefault="00E00F13" w:rsidP="003F26BE">
      <w:pPr>
        <w:spacing w:after="0" w:line="360" w:lineRule="auto"/>
        <w:jc w:val="both"/>
        <w:rPr>
          <w:rFonts w:ascii="Arial" w:hAnsi="Arial" w:cs="Arial"/>
          <w:sz w:val="24"/>
          <w:szCs w:val="24"/>
        </w:rPr>
      </w:pPr>
    </w:p>
    <w:p w14:paraId="633E1195" w14:textId="77777777" w:rsidR="00E00F13" w:rsidRDefault="00E00F13" w:rsidP="003F26BE">
      <w:pPr>
        <w:spacing w:after="0" w:line="360" w:lineRule="auto"/>
        <w:jc w:val="both"/>
        <w:rPr>
          <w:rFonts w:ascii="Arial" w:hAnsi="Arial" w:cs="Arial"/>
          <w:sz w:val="24"/>
          <w:szCs w:val="24"/>
        </w:rPr>
      </w:pPr>
    </w:p>
    <w:p w14:paraId="3D5A0F8C" w14:textId="77777777" w:rsidR="00E00F13" w:rsidRDefault="00E00F13" w:rsidP="003F26BE">
      <w:pPr>
        <w:spacing w:after="0" w:line="360" w:lineRule="auto"/>
        <w:jc w:val="both"/>
        <w:rPr>
          <w:rFonts w:ascii="Arial" w:hAnsi="Arial" w:cs="Arial"/>
          <w:sz w:val="24"/>
          <w:szCs w:val="24"/>
        </w:rPr>
      </w:pPr>
    </w:p>
    <w:p w14:paraId="1A2BC8F8" w14:textId="77777777" w:rsidR="00E00F13" w:rsidRDefault="00E00F13" w:rsidP="003F26BE">
      <w:pPr>
        <w:spacing w:after="0" w:line="360" w:lineRule="auto"/>
        <w:jc w:val="both"/>
        <w:rPr>
          <w:rFonts w:ascii="Arial" w:hAnsi="Arial" w:cs="Arial"/>
          <w:sz w:val="24"/>
          <w:szCs w:val="24"/>
        </w:rPr>
      </w:pPr>
    </w:p>
    <w:p w14:paraId="10DFC835" w14:textId="77777777" w:rsidR="00B4157C" w:rsidRDefault="00B4157C" w:rsidP="003F26BE">
      <w:pPr>
        <w:spacing w:after="0" w:line="360" w:lineRule="auto"/>
        <w:jc w:val="both"/>
        <w:rPr>
          <w:rFonts w:ascii="Arial" w:hAnsi="Arial" w:cs="Arial"/>
          <w:sz w:val="24"/>
          <w:szCs w:val="24"/>
        </w:rPr>
      </w:pPr>
    </w:p>
    <w:p w14:paraId="33DD4B42" w14:textId="77777777" w:rsidR="00B4157C" w:rsidRDefault="00B4157C" w:rsidP="003F26BE">
      <w:pPr>
        <w:spacing w:after="0" w:line="360" w:lineRule="auto"/>
        <w:jc w:val="both"/>
        <w:rPr>
          <w:rFonts w:ascii="Arial" w:hAnsi="Arial" w:cs="Arial"/>
          <w:sz w:val="24"/>
          <w:szCs w:val="24"/>
        </w:rPr>
      </w:pPr>
    </w:p>
    <w:p w14:paraId="5D939284" w14:textId="77777777" w:rsidR="00B4157C" w:rsidRDefault="00B4157C" w:rsidP="003F26BE">
      <w:pPr>
        <w:spacing w:after="0" w:line="360" w:lineRule="auto"/>
        <w:jc w:val="both"/>
        <w:rPr>
          <w:rFonts w:ascii="Arial" w:hAnsi="Arial" w:cs="Arial"/>
          <w:sz w:val="24"/>
          <w:szCs w:val="24"/>
        </w:rPr>
      </w:pPr>
    </w:p>
    <w:p w14:paraId="2787DCF0" w14:textId="77777777" w:rsidR="00B4157C" w:rsidRDefault="00B4157C" w:rsidP="003F26BE">
      <w:pPr>
        <w:spacing w:after="0" w:line="360" w:lineRule="auto"/>
        <w:jc w:val="both"/>
        <w:rPr>
          <w:rFonts w:ascii="Arial" w:hAnsi="Arial" w:cs="Arial"/>
          <w:sz w:val="24"/>
          <w:szCs w:val="24"/>
        </w:rPr>
      </w:pPr>
    </w:p>
    <w:p w14:paraId="2B03AEE3" w14:textId="77777777" w:rsidR="00E00F13" w:rsidRDefault="00E00F13" w:rsidP="003F26BE">
      <w:pPr>
        <w:spacing w:after="0" w:line="360" w:lineRule="auto"/>
        <w:jc w:val="both"/>
        <w:rPr>
          <w:rFonts w:ascii="Arial" w:hAnsi="Arial" w:cs="Arial"/>
          <w:sz w:val="24"/>
          <w:szCs w:val="24"/>
        </w:rPr>
      </w:pPr>
    </w:p>
    <w:p w14:paraId="239778DD" w14:textId="77777777" w:rsidR="00E00F13" w:rsidRPr="00E00F13" w:rsidRDefault="00E00F13" w:rsidP="003F26BE">
      <w:pPr>
        <w:spacing w:after="0" w:line="360" w:lineRule="auto"/>
        <w:jc w:val="both"/>
        <w:rPr>
          <w:rFonts w:ascii="Arial" w:hAnsi="Arial" w:cs="Arial"/>
          <w:sz w:val="24"/>
          <w:szCs w:val="24"/>
        </w:rPr>
      </w:pPr>
    </w:p>
    <w:p w14:paraId="107694F4" w14:textId="04A97142" w:rsidR="003F26BE" w:rsidRPr="00E00F13" w:rsidRDefault="005379BE" w:rsidP="00F46356">
      <w:pPr>
        <w:pStyle w:val="Ttulo1"/>
        <w:jc w:val="both"/>
        <w:rPr>
          <w:color w:val="auto"/>
        </w:rPr>
      </w:pPr>
      <w:bookmarkStart w:id="23" w:name="_Toc234242774"/>
      <w:r w:rsidRPr="00E00F13">
        <w:rPr>
          <w:color w:val="auto"/>
        </w:rPr>
        <w:lastRenderedPageBreak/>
        <w:t>1.</w:t>
      </w:r>
      <w:r w:rsidR="00F46356" w:rsidRPr="00E00F13">
        <w:rPr>
          <w:color w:val="auto"/>
        </w:rPr>
        <w:t xml:space="preserve"> </w:t>
      </w:r>
      <w:r w:rsidR="00AC315E" w:rsidRPr="00E00F13">
        <w:rPr>
          <w:color w:val="auto"/>
        </w:rPr>
        <w:t>Los problemas de la política pública de vivienda y agua</w:t>
      </w:r>
      <w:r w:rsidR="00D57124" w:rsidRPr="00E00F13">
        <w:rPr>
          <w:color w:val="auto"/>
        </w:rPr>
        <w:t xml:space="preserve"> y saneamiento básico</w:t>
      </w:r>
      <w:r w:rsidR="00AC315E" w:rsidRPr="00E00F13">
        <w:rPr>
          <w:color w:val="auto"/>
        </w:rPr>
        <w:t xml:space="preserve"> para transitar hacia el hábitat</w:t>
      </w:r>
      <w:bookmarkEnd w:id="23"/>
    </w:p>
    <w:p w14:paraId="08ACCF59" w14:textId="77777777" w:rsidR="005D7E9E" w:rsidRPr="00E00F13" w:rsidRDefault="005D7E9E" w:rsidP="005D7E9E">
      <w:pPr>
        <w:rPr>
          <w:rFonts w:ascii="Arial" w:hAnsi="Arial" w:cs="Arial"/>
          <w:sz w:val="24"/>
          <w:szCs w:val="24"/>
        </w:rPr>
      </w:pPr>
    </w:p>
    <w:p w14:paraId="580AC893" w14:textId="5DA9A282" w:rsidR="00D6313C" w:rsidRPr="00E00F13" w:rsidRDefault="00391A55" w:rsidP="00C3412E">
      <w:pPr>
        <w:pStyle w:val="Ttulo2"/>
        <w:rPr>
          <w:rFonts w:ascii="Arial" w:hAnsi="Arial" w:cs="Arial"/>
          <w:color w:val="auto"/>
        </w:rPr>
      </w:pPr>
      <w:bookmarkStart w:id="24" w:name="_Toc234242775"/>
      <w:r w:rsidRPr="00E00F13">
        <w:rPr>
          <w:color w:val="auto"/>
        </w:rPr>
        <w:t>1.1. La</w:t>
      </w:r>
      <w:r w:rsidR="00D57124" w:rsidRPr="00E00F13">
        <w:rPr>
          <w:color w:val="auto"/>
        </w:rPr>
        <w:t xml:space="preserve"> forma de operación: la</w:t>
      </w:r>
      <w:r w:rsidRPr="00E00F13">
        <w:rPr>
          <w:color w:val="auto"/>
        </w:rPr>
        <w:t xml:space="preserve"> vivienda </w:t>
      </w:r>
      <w:r w:rsidR="00AC315E" w:rsidRPr="00E00F13">
        <w:rPr>
          <w:color w:val="auto"/>
        </w:rPr>
        <w:t>convertida en el «yo»</w:t>
      </w:r>
      <w:bookmarkEnd w:id="24"/>
      <w:r w:rsidR="00B47D36" w:rsidRPr="00E00F13">
        <w:rPr>
          <w:color w:val="auto"/>
        </w:rPr>
        <w:t xml:space="preserve"> </w:t>
      </w:r>
    </w:p>
    <w:p w14:paraId="05CC890B" w14:textId="72F46E12" w:rsidR="006648A8" w:rsidRPr="00E00F13" w:rsidRDefault="006648A8" w:rsidP="006648A8">
      <w:pPr>
        <w:spacing w:after="0" w:line="360" w:lineRule="auto"/>
        <w:jc w:val="both"/>
        <w:rPr>
          <w:rFonts w:ascii="Arial" w:hAnsi="Arial" w:cs="Arial"/>
          <w:sz w:val="24"/>
          <w:szCs w:val="24"/>
        </w:rPr>
      </w:pPr>
      <w:r w:rsidRPr="00E00F13">
        <w:rPr>
          <w:rFonts w:ascii="Arial" w:hAnsi="Arial" w:cs="Arial"/>
          <w:sz w:val="24"/>
          <w:szCs w:val="24"/>
        </w:rPr>
        <w:t>Durante décadas, la política de vivienda en Colombia se ha orientado desde una lógica estrictamente habitacional y centrada en el mercado, no desde una comprensión integral del hábitat. Este enfoque redujo la acción pública a la producción de vivienda nueva casi como única solución, dejando por fuera el mejoramiento, la autogestión y las intervenciones en el entorno. Por eso este modelo ha sido catalogado como neoliberal: porque opera bajo la premisa de que el acceso depende del mercado y del fortalecimiento del subsidio individual.</w:t>
      </w:r>
    </w:p>
    <w:p w14:paraId="262FA140" w14:textId="0C49DFB5" w:rsidR="006648A8" w:rsidRPr="00E00F13" w:rsidRDefault="006648A8" w:rsidP="006648A8">
      <w:pPr>
        <w:spacing w:after="0" w:line="360" w:lineRule="auto"/>
        <w:jc w:val="both"/>
        <w:rPr>
          <w:rFonts w:ascii="Arial" w:hAnsi="Arial" w:cs="Arial"/>
          <w:sz w:val="24"/>
          <w:szCs w:val="24"/>
        </w:rPr>
      </w:pPr>
    </w:p>
    <w:p w14:paraId="292EBAB8" w14:textId="77777777" w:rsidR="006648A8" w:rsidRPr="00E00F13" w:rsidRDefault="006648A8" w:rsidP="006648A8">
      <w:pPr>
        <w:spacing w:after="0" w:line="360" w:lineRule="auto"/>
        <w:jc w:val="both"/>
        <w:rPr>
          <w:rFonts w:ascii="Arial" w:hAnsi="Arial" w:cs="Arial"/>
          <w:sz w:val="24"/>
          <w:szCs w:val="24"/>
        </w:rPr>
      </w:pPr>
      <w:r w:rsidRPr="00E00F13">
        <w:rPr>
          <w:rFonts w:ascii="Arial" w:hAnsi="Arial" w:cs="Arial"/>
          <w:sz w:val="24"/>
          <w:szCs w:val="24"/>
        </w:rPr>
        <w:t>El artículo 51 de la Constitución Política de Colombia consagra lo relativo al hábitat, al afirmar que todos los colombianos tienen derecho a una vivienda digna y que el Estado fijará las condiciones necesarias para hacer efectivo este derecho.</w:t>
      </w:r>
    </w:p>
    <w:p w14:paraId="00BDDB2C" w14:textId="77777777" w:rsidR="006648A8" w:rsidRPr="00E00F13" w:rsidRDefault="006648A8" w:rsidP="006648A8">
      <w:pPr>
        <w:spacing w:after="0" w:line="360" w:lineRule="auto"/>
        <w:jc w:val="both"/>
        <w:rPr>
          <w:rFonts w:ascii="Arial" w:hAnsi="Arial" w:cs="Arial"/>
          <w:sz w:val="24"/>
          <w:szCs w:val="24"/>
        </w:rPr>
      </w:pPr>
    </w:p>
    <w:p w14:paraId="0E8DCE8D" w14:textId="77777777" w:rsidR="006648A8" w:rsidRPr="00E00F13" w:rsidRDefault="006648A8" w:rsidP="006648A8">
      <w:pPr>
        <w:spacing w:after="0" w:line="360" w:lineRule="auto"/>
        <w:jc w:val="both"/>
        <w:rPr>
          <w:rFonts w:ascii="Arial" w:hAnsi="Arial" w:cs="Arial"/>
          <w:sz w:val="24"/>
          <w:szCs w:val="24"/>
        </w:rPr>
      </w:pPr>
      <w:r w:rsidRPr="00E00F13">
        <w:rPr>
          <w:rFonts w:ascii="Arial" w:hAnsi="Arial" w:cs="Arial"/>
          <w:sz w:val="24"/>
          <w:szCs w:val="24"/>
        </w:rPr>
        <w:t>Eso significa que el Estado fija las condiciones necesarias para hacer efectivo el derecho. Por lo tanto, pone las reglas del juego y establece las condiciones de ese mercado, con el objeto de garantizar el derecho. Significa también que promoverá planes de vivienda de interés social y sistemas de financiación a largo plazo, pero en las condiciones del mercado.</w:t>
      </w:r>
    </w:p>
    <w:p w14:paraId="7139A71A" w14:textId="77777777" w:rsidR="006648A8" w:rsidRPr="00E00F13" w:rsidRDefault="006648A8" w:rsidP="006648A8">
      <w:pPr>
        <w:spacing w:after="0" w:line="360" w:lineRule="auto"/>
        <w:jc w:val="both"/>
        <w:rPr>
          <w:rFonts w:ascii="Arial" w:hAnsi="Arial" w:cs="Arial"/>
          <w:sz w:val="24"/>
          <w:szCs w:val="24"/>
        </w:rPr>
      </w:pPr>
    </w:p>
    <w:p w14:paraId="4BCC7868" w14:textId="77777777" w:rsidR="006648A8" w:rsidRPr="00E00F13" w:rsidRDefault="006648A8" w:rsidP="006648A8">
      <w:pPr>
        <w:spacing w:after="0" w:line="360" w:lineRule="auto"/>
        <w:jc w:val="both"/>
        <w:rPr>
          <w:rFonts w:ascii="Arial" w:hAnsi="Arial" w:cs="Arial"/>
          <w:sz w:val="24"/>
          <w:szCs w:val="24"/>
        </w:rPr>
      </w:pPr>
      <w:r w:rsidRPr="00E00F13">
        <w:rPr>
          <w:rFonts w:ascii="Arial" w:hAnsi="Arial" w:cs="Arial"/>
          <w:sz w:val="24"/>
          <w:szCs w:val="24"/>
        </w:rPr>
        <w:t xml:space="preserve">Pero el Estado no se ha preocupado por fijar las condiciones del mercado y, en su lugar, dejó que el sector privado tome la delantera y sea quien determine qué tipo de viviendas se desarrollan y en qué condiciones, en qué municipios y cuál es el valor de ellas. Ha sido, en gran parte, una política elaborada por la Cámara Colombiana de la Construcción (Camacol) con el propósito económico de incentivar el sector.  </w:t>
      </w:r>
    </w:p>
    <w:p w14:paraId="7E341BD9" w14:textId="77777777" w:rsidR="006648A8" w:rsidRPr="00E00F13" w:rsidRDefault="006648A8" w:rsidP="006648A8">
      <w:pPr>
        <w:spacing w:after="0" w:line="360" w:lineRule="auto"/>
        <w:jc w:val="both"/>
        <w:rPr>
          <w:rFonts w:ascii="Arial" w:hAnsi="Arial" w:cs="Arial"/>
          <w:sz w:val="24"/>
          <w:szCs w:val="24"/>
        </w:rPr>
      </w:pPr>
    </w:p>
    <w:p w14:paraId="301D4D84" w14:textId="77777777" w:rsidR="006648A8" w:rsidRPr="00E00F13" w:rsidRDefault="006648A8" w:rsidP="006648A8">
      <w:pPr>
        <w:spacing w:after="0" w:line="360" w:lineRule="auto"/>
        <w:jc w:val="both"/>
        <w:rPr>
          <w:rFonts w:ascii="Arial" w:hAnsi="Arial" w:cs="Arial"/>
          <w:sz w:val="24"/>
          <w:szCs w:val="24"/>
        </w:rPr>
      </w:pPr>
      <w:r w:rsidRPr="00E00F13">
        <w:rPr>
          <w:rFonts w:ascii="Arial" w:hAnsi="Arial" w:cs="Arial"/>
          <w:sz w:val="24"/>
          <w:szCs w:val="24"/>
        </w:rPr>
        <w:t xml:space="preserve">Con el argumento de </w:t>
      </w:r>
      <w:proofErr w:type="gramStart"/>
      <w:r w:rsidRPr="00E00F13">
        <w:rPr>
          <w:rFonts w:ascii="Arial" w:hAnsi="Arial" w:cs="Arial"/>
          <w:sz w:val="24"/>
          <w:szCs w:val="24"/>
        </w:rPr>
        <w:t>que</w:t>
      </w:r>
      <w:proofErr w:type="gramEnd"/>
      <w:r w:rsidRPr="00E00F13">
        <w:rPr>
          <w:rFonts w:ascii="Arial" w:hAnsi="Arial" w:cs="Arial"/>
          <w:sz w:val="24"/>
          <w:szCs w:val="24"/>
        </w:rPr>
        <w:t xml:space="preserve"> si el sector constructor se ve afectado, será afectada la economía nacional y el Producto Interno Bruto. Aunque no es así, esa variable se </w:t>
      </w:r>
      <w:r w:rsidRPr="00E00F13">
        <w:rPr>
          <w:rFonts w:ascii="Arial" w:hAnsi="Arial" w:cs="Arial"/>
          <w:sz w:val="24"/>
          <w:szCs w:val="24"/>
        </w:rPr>
        <w:lastRenderedPageBreak/>
        <w:t>ha tomado como punto de partida en la negociación para que el Estado ponga en sus manos la política de vivienda social en el país. El Estado no ha fijado las condiciones; ha dejado que el privado las fije.</w:t>
      </w:r>
    </w:p>
    <w:p w14:paraId="6F339A31" w14:textId="77777777" w:rsidR="006648A8" w:rsidRPr="00E00F13" w:rsidRDefault="006648A8" w:rsidP="006648A8">
      <w:pPr>
        <w:spacing w:after="0" w:line="360" w:lineRule="auto"/>
        <w:jc w:val="both"/>
        <w:rPr>
          <w:rFonts w:ascii="Arial" w:hAnsi="Arial" w:cs="Arial"/>
          <w:sz w:val="24"/>
          <w:szCs w:val="24"/>
        </w:rPr>
      </w:pPr>
    </w:p>
    <w:p w14:paraId="0917D2DD" w14:textId="40E2A649" w:rsidR="006648A8" w:rsidRPr="00E00F13" w:rsidRDefault="006648A8" w:rsidP="006648A8">
      <w:pPr>
        <w:spacing w:after="0" w:line="360" w:lineRule="auto"/>
        <w:jc w:val="both"/>
        <w:rPr>
          <w:rFonts w:ascii="Arial" w:hAnsi="Arial" w:cs="Arial"/>
          <w:sz w:val="24"/>
          <w:szCs w:val="24"/>
        </w:rPr>
      </w:pPr>
      <w:r w:rsidRPr="00E00F13">
        <w:rPr>
          <w:rFonts w:ascii="Arial" w:hAnsi="Arial" w:cs="Arial"/>
          <w:sz w:val="24"/>
          <w:szCs w:val="24"/>
        </w:rPr>
        <w:t xml:space="preserve">Por su parte, el sector construcción ha desarrollado planes y programas, pero bajo una lógica de habilitación de la demanda más que de la oferta, precisamente porque el Estado no ha fijado las condiciones. </w:t>
      </w:r>
    </w:p>
    <w:p w14:paraId="12B20D04" w14:textId="77777777" w:rsidR="006648A8" w:rsidRPr="00E00F13" w:rsidRDefault="006648A8" w:rsidP="006648A8">
      <w:pPr>
        <w:spacing w:after="0" w:line="360" w:lineRule="auto"/>
        <w:jc w:val="both"/>
        <w:rPr>
          <w:rFonts w:ascii="Arial" w:hAnsi="Arial" w:cs="Arial"/>
          <w:sz w:val="24"/>
          <w:szCs w:val="24"/>
        </w:rPr>
      </w:pPr>
    </w:p>
    <w:p w14:paraId="53AA17C3" w14:textId="24BC5CB9" w:rsidR="006648A8" w:rsidRPr="00E00F13" w:rsidRDefault="006648A8" w:rsidP="006648A8">
      <w:pPr>
        <w:spacing w:after="0" w:line="360" w:lineRule="auto"/>
        <w:jc w:val="both"/>
        <w:rPr>
          <w:rFonts w:ascii="Arial" w:hAnsi="Arial" w:cs="Arial"/>
          <w:sz w:val="24"/>
          <w:szCs w:val="24"/>
        </w:rPr>
      </w:pPr>
      <w:r w:rsidRPr="00E00F13">
        <w:rPr>
          <w:rFonts w:ascii="Arial" w:hAnsi="Arial" w:cs="Arial"/>
          <w:sz w:val="24"/>
          <w:szCs w:val="24"/>
        </w:rPr>
        <w:t>El mecanismo funciona así: las familias deben demostrar pobreza para acceder al subsidio, pero luego deben demostrar capacidad de pago y estabilidad laboral para que un banco les apruebe un crédito. Esta contradicción estructural ha limitado el acceso real y ha concentrado la política en la vivienda como producto financiero. Es un modelo que se consolidó durante más de tres décadas y que en esta gestión el MVCT ha intentado transformar, enfrentando resistencias culturales e institucionales profundas. Persisten imaginarios asociados a programas como Mi Casa Ya, que reforzaron la idea del acceso bancario como vía casi única.</w:t>
      </w:r>
    </w:p>
    <w:p w14:paraId="693DD981" w14:textId="77777777" w:rsidR="006648A8" w:rsidRPr="00E00F13" w:rsidRDefault="006648A8" w:rsidP="006648A8">
      <w:pPr>
        <w:spacing w:after="0" w:line="360" w:lineRule="auto"/>
        <w:jc w:val="both"/>
        <w:rPr>
          <w:rFonts w:ascii="Arial" w:hAnsi="Arial" w:cs="Arial"/>
          <w:sz w:val="24"/>
          <w:szCs w:val="24"/>
        </w:rPr>
      </w:pPr>
    </w:p>
    <w:p w14:paraId="3EEBB9DC" w14:textId="4FCC458B" w:rsidR="006648A8" w:rsidRPr="00E00F13" w:rsidRDefault="006648A8" w:rsidP="003F26BE">
      <w:pPr>
        <w:spacing w:after="0" w:line="360" w:lineRule="auto"/>
        <w:jc w:val="both"/>
        <w:rPr>
          <w:rFonts w:ascii="Arial" w:hAnsi="Arial" w:cs="Arial"/>
          <w:sz w:val="24"/>
          <w:szCs w:val="24"/>
        </w:rPr>
      </w:pPr>
      <w:r w:rsidRPr="00E00F13">
        <w:rPr>
          <w:rFonts w:ascii="Arial" w:hAnsi="Arial" w:cs="Arial"/>
          <w:sz w:val="24"/>
          <w:szCs w:val="24"/>
        </w:rPr>
        <w:t>En contraste, Colombia tuvo en el pasado un modelo distinto: el subsidio a la oferta. Este permitía lotes para autoconstrucción, compra de materiales, mingas y procesos progresivos y autogestionarios de consolidación barrial. Ese enfoque se desmontó en los años noventa con la entrada del modelo neoliberal, que instaló la narrativa de que lo público era ineficiente y que la privatización era la solución en todos los sectores: vivienda, servicios públicos como agua y saneamiento básico, salud y educación.</w:t>
      </w:r>
    </w:p>
    <w:p w14:paraId="5CB862E0" w14:textId="77777777" w:rsidR="003F26BE" w:rsidRPr="00E00F13" w:rsidRDefault="003F26BE" w:rsidP="003F26BE">
      <w:pPr>
        <w:spacing w:after="0" w:line="360" w:lineRule="auto"/>
        <w:jc w:val="both"/>
        <w:rPr>
          <w:rFonts w:ascii="Arial" w:hAnsi="Arial" w:cs="Arial"/>
          <w:sz w:val="24"/>
          <w:szCs w:val="24"/>
        </w:rPr>
      </w:pPr>
    </w:p>
    <w:p w14:paraId="28B61C98" w14:textId="7A49CA69" w:rsidR="003F26BE" w:rsidRPr="00E00F13" w:rsidRDefault="003F26BE" w:rsidP="003F26BE">
      <w:pPr>
        <w:spacing w:after="0" w:line="360" w:lineRule="auto"/>
        <w:jc w:val="both"/>
        <w:rPr>
          <w:rFonts w:ascii="Arial" w:hAnsi="Arial" w:cs="Arial"/>
          <w:sz w:val="24"/>
          <w:szCs w:val="24"/>
        </w:rPr>
      </w:pPr>
      <w:r w:rsidRPr="00E00F13">
        <w:rPr>
          <w:rFonts w:ascii="Arial" w:hAnsi="Arial" w:cs="Arial"/>
          <w:sz w:val="24"/>
          <w:szCs w:val="24"/>
        </w:rPr>
        <w:t xml:space="preserve">En términos de la financiación ha ocurrido algo similar: </w:t>
      </w:r>
      <w:r w:rsidR="006648A8" w:rsidRPr="00E00F13">
        <w:rPr>
          <w:rFonts w:ascii="Arial" w:hAnsi="Arial" w:cs="Arial"/>
          <w:sz w:val="24"/>
          <w:szCs w:val="24"/>
        </w:rPr>
        <w:t xml:space="preserve">el Estado </w:t>
      </w:r>
      <w:r w:rsidRPr="00E00F13">
        <w:rPr>
          <w:rFonts w:ascii="Arial" w:hAnsi="Arial" w:cs="Arial"/>
          <w:sz w:val="24"/>
          <w:szCs w:val="24"/>
        </w:rPr>
        <w:t>no se ha involucrado realmente en establecer opciones claras de financiación que sean viables para todos los contextos poblacionales</w:t>
      </w:r>
      <w:r w:rsidR="006648A8" w:rsidRPr="00E00F13">
        <w:rPr>
          <w:rFonts w:ascii="Arial" w:hAnsi="Arial" w:cs="Arial"/>
          <w:sz w:val="24"/>
          <w:szCs w:val="24"/>
        </w:rPr>
        <w:t xml:space="preserve"> y territoriales</w:t>
      </w:r>
      <w:r w:rsidRPr="00E00F13">
        <w:rPr>
          <w:rFonts w:ascii="Arial" w:hAnsi="Arial" w:cs="Arial"/>
          <w:sz w:val="24"/>
          <w:szCs w:val="24"/>
        </w:rPr>
        <w:t xml:space="preserve"> existentes en el país. </w:t>
      </w:r>
    </w:p>
    <w:p w14:paraId="6D73B84D" w14:textId="77777777" w:rsidR="003F26BE" w:rsidRPr="00E00F13" w:rsidRDefault="003F26BE" w:rsidP="003F26BE">
      <w:pPr>
        <w:spacing w:after="0" w:line="360" w:lineRule="auto"/>
        <w:jc w:val="both"/>
        <w:rPr>
          <w:rFonts w:ascii="Arial" w:hAnsi="Arial" w:cs="Arial"/>
          <w:sz w:val="24"/>
          <w:szCs w:val="24"/>
        </w:rPr>
      </w:pPr>
    </w:p>
    <w:p w14:paraId="0B724DF3" w14:textId="77777777" w:rsidR="003F26BE" w:rsidRPr="00E00F13" w:rsidRDefault="003F26BE" w:rsidP="003F26BE">
      <w:pPr>
        <w:spacing w:after="0" w:line="360" w:lineRule="auto"/>
        <w:jc w:val="both"/>
        <w:rPr>
          <w:rFonts w:ascii="Arial" w:hAnsi="Arial" w:cs="Arial"/>
          <w:sz w:val="24"/>
          <w:szCs w:val="24"/>
        </w:rPr>
      </w:pPr>
      <w:r w:rsidRPr="00E00F13">
        <w:rPr>
          <w:rFonts w:ascii="Arial" w:hAnsi="Arial" w:cs="Arial"/>
          <w:sz w:val="24"/>
          <w:szCs w:val="24"/>
        </w:rPr>
        <w:t xml:space="preserve">La población a la cual se han dirigido históricamente los programas de vivienda social ha sido la que tiene empleo formal y capacidad de acceso a créditos o de </w:t>
      </w:r>
      <w:r w:rsidRPr="00E00F13">
        <w:rPr>
          <w:rFonts w:ascii="Arial" w:hAnsi="Arial" w:cs="Arial"/>
          <w:sz w:val="24"/>
          <w:szCs w:val="24"/>
        </w:rPr>
        <w:lastRenderedPageBreak/>
        <w:t>ahorro, y que, por ende, puede acceder a programas bancarizados, con las reglas actuales del mercado bancario.</w:t>
      </w:r>
    </w:p>
    <w:p w14:paraId="3B250D03" w14:textId="77777777" w:rsidR="003F26BE" w:rsidRPr="00E00F13" w:rsidRDefault="003F26BE" w:rsidP="003F26BE">
      <w:pPr>
        <w:spacing w:after="0" w:line="360" w:lineRule="auto"/>
        <w:jc w:val="both"/>
        <w:rPr>
          <w:rFonts w:ascii="Arial" w:hAnsi="Arial" w:cs="Arial"/>
          <w:sz w:val="24"/>
          <w:szCs w:val="24"/>
        </w:rPr>
      </w:pPr>
    </w:p>
    <w:p w14:paraId="17710C9A" w14:textId="77777777" w:rsidR="003F26BE" w:rsidRPr="00E00F13" w:rsidRDefault="003F26BE" w:rsidP="003F26BE">
      <w:pPr>
        <w:spacing w:after="0" w:line="360" w:lineRule="auto"/>
        <w:jc w:val="both"/>
        <w:rPr>
          <w:rFonts w:ascii="Arial" w:hAnsi="Arial" w:cs="Arial"/>
          <w:sz w:val="24"/>
          <w:szCs w:val="24"/>
        </w:rPr>
      </w:pPr>
      <w:r w:rsidRPr="00E00F13">
        <w:rPr>
          <w:rFonts w:ascii="Arial" w:hAnsi="Arial" w:cs="Arial"/>
          <w:sz w:val="24"/>
          <w:szCs w:val="24"/>
        </w:rPr>
        <w:t>En este esquema el mismo Estado ha limitado las formas asociativas al sector privado, sin involucrar a las economías populares, a las organizaciones sociales de vivienda, ni a actores que pueden generar nuevas y efectivas formas asociativas.</w:t>
      </w:r>
    </w:p>
    <w:p w14:paraId="66FD219F" w14:textId="77777777" w:rsidR="003F26BE" w:rsidRPr="00E00F13" w:rsidRDefault="003F26BE" w:rsidP="003F26BE">
      <w:pPr>
        <w:spacing w:after="0" w:line="360" w:lineRule="auto"/>
        <w:jc w:val="both"/>
        <w:rPr>
          <w:rFonts w:ascii="Arial" w:hAnsi="Arial" w:cs="Arial"/>
          <w:sz w:val="24"/>
          <w:szCs w:val="24"/>
        </w:rPr>
      </w:pPr>
    </w:p>
    <w:p w14:paraId="17FFBB03" w14:textId="77777777" w:rsidR="003F26BE" w:rsidRPr="00E00F13" w:rsidRDefault="003F26BE" w:rsidP="003F26BE">
      <w:pPr>
        <w:spacing w:after="0" w:line="360" w:lineRule="auto"/>
        <w:jc w:val="both"/>
        <w:rPr>
          <w:rFonts w:ascii="Arial" w:hAnsi="Arial" w:cs="Arial"/>
          <w:sz w:val="24"/>
          <w:szCs w:val="24"/>
        </w:rPr>
      </w:pPr>
      <w:r w:rsidRPr="00E00F13">
        <w:rPr>
          <w:rFonts w:ascii="Arial" w:hAnsi="Arial" w:cs="Arial"/>
          <w:sz w:val="24"/>
          <w:szCs w:val="24"/>
        </w:rPr>
        <w:t xml:space="preserve">Es así </w:t>
      </w:r>
      <w:proofErr w:type="gramStart"/>
      <w:r w:rsidRPr="00E00F13">
        <w:rPr>
          <w:rFonts w:ascii="Arial" w:hAnsi="Arial" w:cs="Arial"/>
          <w:sz w:val="24"/>
          <w:szCs w:val="24"/>
        </w:rPr>
        <w:t>que</w:t>
      </w:r>
      <w:proofErr w:type="gramEnd"/>
      <w:r w:rsidRPr="00E00F13">
        <w:rPr>
          <w:rFonts w:ascii="Arial" w:hAnsi="Arial" w:cs="Arial"/>
          <w:sz w:val="24"/>
          <w:szCs w:val="24"/>
        </w:rPr>
        <w:t xml:space="preserve"> las contradicciones han sido latentes, en tanto que el Estado, lejos de fijar las condiciones del mercado, ha jugado con las que ya existen y se ha limitado a generar oferta de vivienda bajo el esquema de hacer prevalecer las condiciones de quienes pueden acceder por razones económicas. </w:t>
      </w:r>
    </w:p>
    <w:p w14:paraId="48B62B4B" w14:textId="77777777" w:rsidR="003F26BE" w:rsidRPr="00E00F13" w:rsidRDefault="003F26BE" w:rsidP="003F26BE">
      <w:pPr>
        <w:spacing w:after="0" w:line="360" w:lineRule="auto"/>
        <w:jc w:val="both"/>
        <w:rPr>
          <w:rFonts w:ascii="Arial" w:hAnsi="Arial" w:cs="Arial"/>
          <w:sz w:val="24"/>
          <w:szCs w:val="24"/>
        </w:rPr>
      </w:pPr>
    </w:p>
    <w:p w14:paraId="518ACA3C" w14:textId="04F20D6A" w:rsidR="003F26BE" w:rsidRPr="00E00F13" w:rsidRDefault="003F26BE" w:rsidP="003F26BE">
      <w:pPr>
        <w:spacing w:after="0" w:line="360" w:lineRule="auto"/>
        <w:jc w:val="both"/>
        <w:rPr>
          <w:rFonts w:ascii="Arial" w:hAnsi="Arial" w:cs="Arial"/>
          <w:sz w:val="24"/>
          <w:szCs w:val="24"/>
        </w:rPr>
      </w:pPr>
      <w:r w:rsidRPr="00E00F13">
        <w:rPr>
          <w:rFonts w:ascii="Arial" w:hAnsi="Arial" w:cs="Arial"/>
          <w:sz w:val="24"/>
          <w:szCs w:val="24"/>
        </w:rPr>
        <w:t>La forma en la que se operaba partía de la habilitación del subsidio para que dentro de la oferta que el privado desarrollaba –que tenía un gran capital– las grandes constructoras generaran proyectos. Proyectos que les darían grandes utilidades y que no tenían</w:t>
      </w:r>
      <w:r w:rsidR="006648A8" w:rsidRPr="00E00F13">
        <w:rPr>
          <w:rFonts w:ascii="Arial" w:hAnsi="Arial" w:cs="Arial"/>
          <w:sz w:val="24"/>
          <w:szCs w:val="24"/>
        </w:rPr>
        <w:t xml:space="preserve"> </w:t>
      </w:r>
      <w:r w:rsidRPr="00E00F13">
        <w:rPr>
          <w:rFonts w:ascii="Arial" w:hAnsi="Arial" w:cs="Arial"/>
          <w:sz w:val="24"/>
          <w:szCs w:val="24"/>
        </w:rPr>
        <w:t>un enfoque social, sino comercial. Y sobre esos proyectos, lo que hacía el Estado era habilitar la demanda. Para habilitar la demanda –y que más personas pudieran acceder a esos proyectos que el privado estaba ofertando–, generaba subsidios que le permitían alcanzar el valor que se requería para la vivienda.</w:t>
      </w:r>
    </w:p>
    <w:p w14:paraId="547D3A16" w14:textId="77777777" w:rsidR="003F26BE" w:rsidRPr="00E00F13" w:rsidRDefault="003F26BE" w:rsidP="003F26BE">
      <w:pPr>
        <w:spacing w:after="0" w:line="360" w:lineRule="auto"/>
        <w:jc w:val="both"/>
        <w:rPr>
          <w:rFonts w:ascii="Arial" w:hAnsi="Arial" w:cs="Arial"/>
          <w:sz w:val="24"/>
          <w:szCs w:val="24"/>
        </w:rPr>
      </w:pPr>
    </w:p>
    <w:p w14:paraId="632A331C" w14:textId="77777777" w:rsidR="003F26BE" w:rsidRPr="00E00F13" w:rsidRDefault="003F26BE" w:rsidP="003F26BE">
      <w:pPr>
        <w:spacing w:after="0" w:line="360" w:lineRule="auto"/>
        <w:jc w:val="both"/>
        <w:rPr>
          <w:rFonts w:ascii="Arial" w:hAnsi="Arial" w:cs="Arial"/>
          <w:sz w:val="24"/>
          <w:szCs w:val="24"/>
        </w:rPr>
      </w:pPr>
      <w:r w:rsidRPr="00E00F13">
        <w:rPr>
          <w:rFonts w:ascii="Arial" w:hAnsi="Arial" w:cs="Arial"/>
          <w:sz w:val="24"/>
          <w:szCs w:val="24"/>
        </w:rPr>
        <w:t>Asimismo, para acceder a esos subsidios se debía cumplir con unas condiciones. La primera era que esa familia estuviera bancarizada. Lo que quiere decir que esa familia tenía capacidad de ahorro y tenía capacidad de crédito, porque el subsidio era complementario al crédito hipotecario.</w:t>
      </w:r>
    </w:p>
    <w:p w14:paraId="64F7A032" w14:textId="77777777" w:rsidR="003F26BE" w:rsidRPr="00E00F13" w:rsidRDefault="003F26BE" w:rsidP="003F26BE">
      <w:pPr>
        <w:spacing w:after="0" w:line="360" w:lineRule="auto"/>
        <w:jc w:val="both"/>
        <w:rPr>
          <w:rFonts w:ascii="Arial" w:hAnsi="Arial" w:cs="Arial"/>
          <w:sz w:val="24"/>
          <w:szCs w:val="24"/>
        </w:rPr>
      </w:pPr>
    </w:p>
    <w:p w14:paraId="4DCD9658" w14:textId="1208CE80" w:rsidR="003F26BE" w:rsidRPr="00E00F13" w:rsidRDefault="003F26BE" w:rsidP="003F26BE">
      <w:pPr>
        <w:spacing w:after="0" w:line="360" w:lineRule="auto"/>
        <w:jc w:val="both"/>
        <w:rPr>
          <w:rFonts w:ascii="Arial" w:hAnsi="Arial" w:cs="Arial"/>
          <w:sz w:val="24"/>
          <w:szCs w:val="24"/>
        </w:rPr>
      </w:pPr>
      <w:r w:rsidRPr="00E00F13">
        <w:rPr>
          <w:rFonts w:ascii="Arial" w:hAnsi="Arial" w:cs="Arial"/>
          <w:sz w:val="24"/>
          <w:szCs w:val="24"/>
        </w:rPr>
        <w:t xml:space="preserve">Al cumplirse el requisito de contar con acceso al crédito hipotecario se generaba un preaprobado, y al mismo tiempo un marcaje del subsidio </w:t>
      </w:r>
      <w:r w:rsidR="006648A8" w:rsidRPr="00E00F13">
        <w:rPr>
          <w:rFonts w:ascii="Arial" w:hAnsi="Arial" w:cs="Arial"/>
          <w:sz w:val="24"/>
          <w:szCs w:val="24"/>
        </w:rPr>
        <w:t>tanto por</w:t>
      </w:r>
      <w:r w:rsidRPr="00E00F13">
        <w:rPr>
          <w:rFonts w:ascii="Arial" w:hAnsi="Arial" w:cs="Arial"/>
          <w:sz w:val="24"/>
          <w:szCs w:val="24"/>
        </w:rPr>
        <w:t xml:space="preserve"> resultar habilitado </w:t>
      </w:r>
      <w:r w:rsidR="006648A8" w:rsidRPr="00E00F13">
        <w:rPr>
          <w:rFonts w:ascii="Arial" w:hAnsi="Arial" w:cs="Arial"/>
          <w:sz w:val="24"/>
          <w:szCs w:val="24"/>
        </w:rPr>
        <w:t>com</w:t>
      </w:r>
      <w:r w:rsidRPr="00E00F13">
        <w:rPr>
          <w:rFonts w:ascii="Arial" w:hAnsi="Arial" w:cs="Arial"/>
          <w:sz w:val="24"/>
          <w:szCs w:val="24"/>
        </w:rPr>
        <w:t xml:space="preserve">o no habilitado. </w:t>
      </w:r>
      <w:r w:rsidR="006648A8" w:rsidRPr="00E00F13">
        <w:rPr>
          <w:rFonts w:ascii="Arial" w:hAnsi="Arial" w:cs="Arial"/>
          <w:sz w:val="24"/>
          <w:szCs w:val="24"/>
        </w:rPr>
        <w:t>E</w:t>
      </w:r>
      <w:r w:rsidRPr="00E00F13">
        <w:rPr>
          <w:rFonts w:ascii="Arial" w:hAnsi="Arial" w:cs="Arial"/>
          <w:sz w:val="24"/>
          <w:szCs w:val="24"/>
        </w:rPr>
        <w:t xml:space="preserve">ste esquema estaba orientado hacia una franja cerrada de la población, que era la que podía llegar a esos valores. </w:t>
      </w:r>
    </w:p>
    <w:p w14:paraId="578BEA40" w14:textId="64DF5BD6" w:rsidR="004623AA" w:rsidRPr="00E00F13" w:rsidRDefault="004623AA" w:rsidP="004623AA">
      <w:pPr>
        <w:spacing w:after="0" w:line="360" w:lineRule="auto"/>
        <w:jc w:val="both"/>
        <w:rPr>
          <w:rFonts w:ascii="Arial" w:hAnsi="Arial" w:cs="Arial"/>
          <w:sz w:val="24"/>
          <w:szCs w:val="24"/>
        </w:rPr>
      </w:pPr>
    </w:p>
    <w:p w14:paraId="67D31448" w14:textId="587939D3" w:rsidR="00B47D36" w:rsidRPr="00E00F13" w:rsidRDefault="00B47D36" w:rsidP="00B47D36">
      <w:pPr>
        <w:pStyle w:val="Ttulo3"/>
        <w:rPr>
          <w:color w:val="auto"/>
        </w:rPr>
      </w:pPr>
      <w:bookmarkStart w:id="25" w:name="_Toc234242776"/>
      <w:r w:rsidRPr="00E00F13">
        <w:rPr>
          <w:color w:val="auto"/>
        </w:rPr>
        <w:lastRenderedPageBreak/>
        <w:t>Algunos datos y argumentos del sector privado que aún perduran</w:t>
      </w:r>
      <w:bookmarkEnd w:id="25"/>
    </w:p>
    <w:p w14:paraId="3CD1B2EC" w14:textId="0BD3B132" w:rsidR="005770E3" w:rsidRPr="00E00F13" w:rsidRDefault="009B5799" w:rsidP="005770E3">
      <w:pPr>
        <w:spacing w:after="0" w:line="360" w:lineRule="auto"/>
        <w:jc w:val="both"/>
        <w:rPr>
          <w:rFonts w:ascii="Arial" w:hAnsi="Arial" w:cs="Arial"/>
          <w:sz w:val="24"/>
          <w:szCs w:val="24"/>
        </w:rPr>
      </w:pPr>
      <w:r w:rsidRPr="00E00F13">
        <w:rPr>
          <w:rFonts w:ascii="Arial" w:hAnsi="Arial" w:cs="Arial"/>
          <w:sz w:val="24"/>
          <w:szCs w:val="24"/>
        </w:rPr>
        <w:t>Según el criterio de la Cámara Colombiana de la Construcción (Camacol)</w:t>
      </w:r>
      <w:r w:rsidR="004623AA" w:rsidRPr="00E00F13">
        <w:rPr>
          <w:rFonts w:ascii="Arial" w:hAnsi="Arial" w:cs="Arial"/>
          <w:sz w:val="24"/>
          <w:szCs w:val="24"/>
        </w:rPr>
        <w:t xml:space="preserve">, </w:t>
      </w:r>
      <w:r w:rsidR="00B47D36" w:rsidRPr="00E00F13">
        <w:rPr>
          <w:rFonts w:ascii="Arial" w:hAnsi="Arial" w:cs="Arial"/>
          <w:sz w:val="24"/>
          <w:szCs w:val="24"/>
        </w:rPr>
        <w:t xml:space="preserve">en la actualidad </w:t>
      </w:r>
      <w:r w:rsidR="004623AA" w:rsidRPr="00E00F13">
        <w:rPr>
          <w:rFonts w:ascii="Arial" w:hAnsi="Arial" w:cs="Arial"/>
          <w:sz w:val="24"/>
          <w:szCs w:val="24"/>
        </w:rPr>
        <w:t>la construcción atraviesa una contracción caracterizada por una caída drástica en ventas e iniciaciones desde 2023, anticipa</w:t>
      </w:r>
      <w:r w:rsidRPr="00E00F13">
        <w:rPr>
          <w:rFonts w:ascii="Arial" w:hAnsi="Arial" w:cs="Arial"/>
          <w:sz w:val="24"/>
          <w:szCs w:val="24"/>
        </w:rPr>
        <w:t>ndo</w:t>
      </w:r>
      <w:r w:rsidR="004623AA" w:rsidRPr="00E00F13">
        <w:rPr>
          <w:rFonts w:ascii="Arial" w:hAnsi="Arial" w:cs="Arial"/>
          <w:sz w:val="24"/>
          <w:szCs w:val="24"/>
        </w:rPr>
        <w:t xml:space="preserve"> un déficit de oferta y empleo para los próximos años. </w:t>
      </w:r>
      <w:r w:rsidR="005770E3" w:rsidRPr="00E00F13">
        <w:rPr>
          <w:rFonts w:ascii="Arial" w:hAnsi="Arial" w:cs="Arial"/>
          <w:sz w:val="24"/>
          <w:szCs w:val="24"/>
        </w:rPr>
        <w:t xml:space="preserve">En economía, la contracción se refiere a una disminución de la actividad económica durante un período determinado. Una contracción ocurre cuando la economía produce y mueve menos bienes y servicios que antes, lo que puede estar asociado a menor demanda, crisis financieras, políticas restrictivas o choques externos. </w:t>
      </w:r>
    </w:p>
    <w:p w14:paraId="023E9D52" w14:textId="77777777" w:rsidR="005770E3" w:rsidRPr="00E00F13" w:rsidRDefault="005770E3" w:rsidP="004623AA">
      <w:pPr>
        <w:spacing w:after="0" w:line="360" w:lineRule="auto"/>
        <w:jc w:val="both"/>
        <w:rPr>
          <w:rFonts w:ascii="Arial" w:hAnsi="Arial" w:cs="Arial"/>
          <w:sz w:val="24"/>
          <w:szCs w:val="24"/>
        </w:rPr>
      </w:pPr>
    </w:p>
    <w:p w14:paraId="0111A9ED" w14:textId="40CBB006" w:rsidR="004623AA" w:rsidRPr="00E00F13" w:rsidRDefault="009B5799" w:rsidP="004623AA">
      <w:pPr>
        <w:spacing w:after="0" w:line="360" w:lineRule="auto"/>
        <w:jc w:val="both"/>
        <w:rPr>
          <w:rFonts w:ascii="Arial" w:hAnsi="Arial" w:cs="Arial"/>
          <w:sz w:val="24"/>
          <w:szCs w:val="24"/>
        </w:rPr>
      </w:pPr>
      <w:r w:rsidRPr="00E00F13">
        <w:rPr>
          <w:rFonts w:ascii="Arial" w:hAnsi="Arial" w:cs="Arial"/>
          <w:sz w:val="24"/>
          <w:szCs w:val="24"/>
        </w:rPr>
        <w:t xml:space="preserve">La respuesta institucional indica </w:t>
      </w:r>
      <w:r w:rsidR="0007780E" w:rsidRPr="00E00F13">
        <w:rPr>
          <w:rFonts w:ascii="Arial" w:hAnsi="Arial" w:cs="Arial"/>
          <w:sz w:val="24"/>
          <w:szCs w:val="24"/>
        </w:rPr>
        <w:t>que,</w:t>
      </w:r>
      <w:r w:rsidRPr="00E00F13">
        <w:rPr>
          <w:rFonts w:ascii="Arial" w:hAnsi="Arial" w:cs="Arial"/>
          <w:sz w:val="24"/>
          <w:szCs w:val="24"/>
        </w:rPr>
        <w:t xml:space="preserve"> a</w:t>
      </w:r>
      <w:r w:rsidR="004623AA" w:rsidRPr="00E00F13">
        <w:rPr>
          <w:rFonts w:ascii="Arial" w:hAnsi="Arial" w:cs="Arial"/>
          <w:sz w:val="24"/>
          <w:szCs w:val="24"/>
        </w:rPr>
        <w:t>unque los costos de desarrollo siguen altos, el freno principal de la demanda ha sido el alza en las tasas de interés hipotecarias</w:t>
      </w:r>
      <w:r w:rsidRPr="00E00F13">
        <w:rPr>
          <w:rFonts w:ascii="Arial" w:hAnsi="Arial" w:cs="Arial"/>
          <w:sz w:val="24"/>
          <w:szCs w:val="24"/>
        </w:rPr>
        <w:t xml:space="preserve">, a lo que </w:t>
      </w:r>
      <w:r w:rsidR="004623AA" w:rsidRPr="00E00F13">
        <w:rPr>
          <w:rFonts w:ascii="Arial" w:hAnsi="Arial" w:cs="Arial"/>
          <w:sz w:val="24"/>
          <w:szCs w:val="24"/>
        </w:rPr>
        <w:t>se suma la transición demográfica marcada por la reducción de nacimientos y el tamaño de los hogares</w:t>
      </w:r>
      <w:r w:rsidRPr="00E00F13">
        <w:rPr>
          <w:rFonts w:ascii="Arial" w:hAnsi="Arial" w:cs="Arial"/>
          <w:sz w:val="24"/>
          <w:szCs w:val="24"/>
        </w:rPr>
        <w:t>. Esto</w:t>
      </w:r>
      <w:r w:rsidR="004623AA" w:rsidRPr="00E00F13">
        <w:rPr>
          <w:rFonts w:ascii="Arial" w:hAnsi="Arial" w:cs="Arial"/>
          <w:sz w:val="24"/>
          <w:szCs w:val="24"/>
        </w:rPr>
        <w:t xml:space="preserve"> exige reorientar la política de vivienda para atender la creciente demanda de hogares unipersonales y parejas sin hijos, en lugar de enfocarse exclusivamente en la familia tradicional.</w:t>
      </w:r>
    </w:p>
    <w:p w14:paraId="7347CC65" w14:textId="77777777" w:rsidR="004623AA" w:rsidRPr="00E00F13" w:rsidRDefault="004623AA" w:rsidP="004623AA">
      <w:pPr>
        <w:spacing w:after="0" w:line="360" w:lineRule="auto"/>
        <w:jc w:val="both"/>
        <w:rPr>
          <w:rFonts w:ascii="Arial" w:hAnsi="Arial" w:cs="Arial"/>
          <w:sz w:val="24"/>
          <w:szCs w:val="24"/>
        </w:rPr>
      </w:pPr>
    </w:p>
    <w:p w14:paraId="1DB08AE5" w14:textId="15ED0EC8" w:rsidR="004623AA" w:rsidRPr="00E00F13" w:rsidRDefault="009B5799" w:rsidP="004623AA">
      <w:pPr>
        <w:spacing w:after="0" w:line="360" w:lineRule="auto"/>
        <w:jc w:val="both"/>
        <w:rPr>
          <w:rFonts w:ascii="Arial" w:hAnsi="Arial" w:cs="Arial"/>
          <w:sz w:val="24"/>
          <w:szCs w:val="24"/>
        </w:rPr>
      </w:pPr>
      <w:r w:rsidRPr="00E00F13">
        <w:rPr>
          <w:rFonts w:ascii="Arial" w:hAnsi="Arial" w:cs="Arial"/>
          <w:sz w:val="24"/>
          <w:szCs w:val="24"/>
        </w:rPr>
        <w:t>El</w:t>
      </w:r>
      <w:r w:rsidR="004623AA" w:rsidRPr="00E00F13">
        <w:rPr>
          <w:rFonts w:ascii="Arial" w:hAnsi="Arial" w:cs="Arial"/>
          <w:sz w:val="24"/>
          <w:szCs w:val="24"/>
        </w:rPr>
        <w:t xml:space="preserve"> gremio reconoce avances puntuales impulsados mayoritariamente por la banca privada —con la reducción de tasas— y por los gobiernos locales, pero mantiene una postura crítica frente a la gestión del Gobierno </w:t>
      </w:r>
      <w:r w:rsidR="00C14028" w:rsidRPr="00E00F13">
        <w:rPr>
          <w:rFonts w:ascii="Arial" w:hAnsi="Arial" w:cs="Arial"/>
          <w:sz w:val="24"/>
          <w:szCs w:val="24"/>
        </w:rPr>
        <w:t>n</w:t>
      </w:r>
      <w:r w:rsidR="004623AA" w:rsidRPr="00E00F13">
        <w:rPr>
          <w:rFonts w:ascii="Arial" w:hAnsi="Arial" w:cs="Arial"/>
          <w:sz w:val="24"/>
          <w:szCs w:val="24"/>
        </w:rPr>
        <w:t xml:space="preserve">acional. Se señalan como problemáticos los cambios operativos en Mi Casa Ya, que aumentaron los desistimientos de compra, y la ausencia de un plan de reactivación similar a los implementados en crisis anteriores, en los que se generaban aportes directos al sector privado. En tal sentido, </w:t>
      </w:r>
      <w:r w:rsidR="00035F15" w:rsidRPr="00E00F13">
        <w:rPr>
          <w:rFonts w:ascii="Arial" w:hAnsi="Arial" w:cs="Arial"/>
          <w:sz w:val="24"/>
          <w:szCs w:val="24"/>
        </w:rPr>
        <w:t>C</w:t>
      </w:r>
      <w:r w:rsidR="00C14028" w:rsidRPr="00E00F13">
        <w:rPr>
          <w:rFonts w:ascii="Arial" w:hAnsi="Arial" w:cs="Arial"/>
          <w:sz w:val="24"/>
          <w:szCs w:val="24"/>
        </w:rPr>
        <w:t>amacol</w:t>
      </w:r>
      <w:r w:rsidR="004623AA" w:rsidRPr="00E00F13">
        <w:rPr>
          <w:rFonts w:ascii="Arial" w:hAnsi="Arial" w:cs="Arial"/>
          <w:sz w:val="24"/>
          <w:szCs w:val="24"/>
        </w:rPr>
        <w:t xml:space="preserve"> enfatiza la necesidad urgente de asegurar la disponibilidad presupuestal para subsidios y de crear mecanismos de cobertura a la tasa de interés para reactivar el mercado de manera efectiva.</w:t>
      </w:r>
    </w:p>
    <w:p w14:paraId="575E7308" w14:textId="77777777" w:rsidR="006648A8" w:rsidRPr="00E00F13" w:rsidRDefault="006648A8" w:rsidP="006648A8">
      <w:pPr>
        <w:spacing w:after="0" w:line="360" w:lineRule="auto"/>
        <w:jc w:val="both"/>
        <w:rPr>
          <w:rFonts w:ascii="Arial" w:hAnsi="Arial" w:cs="Arial"/>
          <w:sz w:val="24"/>
          <w:szCs w:val="24"/>
        </w:rPr>
      </w:pPr>
    </w:p>
    <w:p w14:paraId="5D6FE115" w14:textId="7BD560EB" w:rsidR="006648A8" w:rsidRPr="00E00F13" w:rsidRDefault="006648A8" w:rsidP="006648A8">
      <w:pPr>
        <w:spacing w:after="0" w:line="360" w:lineRule="auto"/>
        <w:jc w:val="both"/>
        <w:rPr>
          <w:rFonts w:ascii="Arial" w:hAnsi="Arial" w:cs="Arial"/>
          <w:sz w:val="24"/>
          <w:szCs w:val="24"/>
        </w:rPr>
      </w:pPr>
      <w:r w:rsidRPr="00E00F13">
        <w:rPr>
          <w:rFonts w:ascii="Arial" w:hAnsi="Arial" w:cs="Arial"/>
          <w:sz w:val="24"/>
          <w:szCs w:val="24"/>
        </w:rPr>
        <w:t xml:space="preserve">Con base en los informes económicos que entre 2023 y 2025 fueron producidos por </w:t>
      </w:r>
      <w:r w:rsidR="00AA6D01" w:rsidRPr="00E00F13">
        <w:rPr>
          <w:rFonts w:ascii="Arial" w:hAnsi="Arial" w:cs="Arial"/>
          <w:sz w:val="24"/>
          <w:szCs w:val="24"/>
        </w:rPr>
        <w:t>C</w:t>
      </w:r>
      <w:r w:rsidR="00C14028" w:rsidRPr="00E00F13">
        <w:rPr>
          <w:rFonts w:ascii="Arial" w:hAnsi="Arial" w:cs="Arial"/>
          <w:sz w:val="24"/>
          <w:szCs w:val="24"/>
        </w:rPr>
        <w:t>amacol</w:t>
      </w:r>
      <w:r w:rsidRPr="00E00F13">
        <w:rPr>
          <w:rFonts w:ascii="Arial" w:hAnsi="Arial" w:cs="Arial"/>
          <w:sz w:val="24"/>
          <w:szCs w:val="24"/>
        </w:rPr>
        <w:t xml:space="preserve">, para el gremio existe una crisis derivada de los impactos al sector económico de la </w:t>
      </w:r>
      <w:r w:rsidR="001B2127" w:rsidRPr="00E00F13">
        <w:rPr>
          <w:rFonts w:ascii="Arial" w:hAnsi="Arial" w:cs="Arial"/>
          <w:sz w:val="24"/>
          <w:szCs w:val="24"/>
        </w:rPr>
        <w:t>postpandemia</w:t>
      </w:r>
      <w:r w:rsidRPr="00E00F13">
        <w:rPr>
          <w:rFonts w:ascii="Arial" w:hAnsi="Arial" w:cs="Arial"/>
          <w:sz w:val="24"/>
          <w:szCs w:val="24"/>
        </w:rPr>
        <w:t xml:space="preserve">, que ha sido impulsada por una combinación de </w:t>
      </w:r>
      <w:r w:rsidRPr="00E00F13">
        <w:rPr>
          <w:rFonts w:ascii="Arial" w:hAnsi="Arial" w:cs="Arial"/>
          <w:sz w:val="24"/>
          <w:szCs w:val="24"/>
        </w:rPr>
        <w:lastRenderedPageBreak/>
        <w:t>condiciones macroeconómicas adversas, como la inflación persistente y las altas tasas de interés.</w:t>
      </w:r>
    </w:p>
    <w:p w14:paraId="281AC10A" w14:textId="77777777" w:rsidR="006648A8" w:rsidRPr="00E00F13" w:rsidRDefault="006648A8" w:rsidP="006648A8">
      <w:pPr>
        <w:spacing w:after="0" w:line="360" w:lineRule="auto"/>
        <w:jc w:val="both"/>
        <w:rPr>
          <w:rFonts w:ascii="Arial" w:hAnsi="Arial" w:cs="Arial"/>
          <w:sz w:val="24"/>
          <w:szCs w:val="24"/>
        </w:rPr>
      </w:pPr>
      <w:r w:rsidRPr="00E00F13">
        <w:rPr>
          <w:rFonts w:ascii="Arial" w:hAnsi="Arial" w:cs="Arial"/>
          <w:sz w:val="24"/>
          <w:szCs w:val="24"/>
        </w:rPr>
        <w:t xml:space="preserve"> </w:t>
      </w:r>
    </w:p>
    <w:p w14:paraId="256C7161" w14:textId="77777777" w:rsidR="006648A8" w:rsidRPr="00E00F13" w:rsidRDefault="006648A8" w:rsidP="006648A8">
      <w:pPr>
        <w:spacing w:after="0" w:line="360" w:lineRule="auto"/>
        <w:jc w:val="both"/>
        <w:rPr>
          <w:rFonts w:ascii="Arial" w:hAnsi="Arial" w:cs="Arial"/>
          <w:sz w:val="24"/>
          <w:szCs w:val="24"/>
        </w:rPr>
      </w:pPr>
      <w:r w:rsidRPr="00E00F13">
        <w:rPr>
          <w:rFonts w:ascii="Arial" w:hAnsi="Arial" w:cs="Arial"/>
          <w:sz w:val="24"/>
          <w:szCs w:val="24"/>
        </w:rPr>
        <w:t>Sobre los interrogantes en relación con los avances en la gestión gubernamental, la respuesta del sector es limitada. No reconocen progresos estructurales significativos en la política de vivienda nacional que haya logrado contrarrestar la crisis; por el contrario, se señala que las modificaciones operativas en programas como Mi Casa Ya contribuyeron a profundizar la caída del sector. Los únicos avances que se destacan explícitamente provienen de esfuerzos externos al Gobierno Nacional central, específicamente las reducciones de tasas lideradas por el sector financiero privado y las iniciativas de vivienda impulsadas por los gobiernos locales y regionales.</w:t>
      </w:r>
    </w:p>
    <w:p w14:paraId="1E6D04D0" w14:textId="77777777" w:rsidR="006648A8" w:rsidRPr="00E00F13" w:rsidRDefault="006648A8" w:rsidP="004623AA">
      <w:pPr>
        <w:spacing w:after="0" w:line="360" w:lineRule="auto"/>
        <w:jc w:val="both"/>
        <w:rPr>
          <w:rFonts w:ascii="Arial" w:hAnsi="Arial" w:cs="Arial"/>
          <w:sz w:val="24"/>
          <w:szCs w:val="24"/>
        </w:rPr>
      </w:pPr>
    </w:p>
    <w:p w14:paraId="70205948" w14:textId="65631B66" w:rsidR="00641226" w:rsidRPr="00E00F13" w:rsidRDefault="004623AA" w:rsidP="004623AA">
      <w:pPr>
        <w:spacing w:after="0" w:line="360" w:lineRule="auto"/>
        <w:jc w:val="both"/>
        <w:rPr>
          <w:rFonts w:ascii="Arial" w:hAnsi="Arial" w:cs="Arial"/>
          <w:sz w:val="24"/>
          <w:szCs w:val="24"/>
        </w:rPr>
      </w:pPr>
      <w:r w:rsidRPr="00E00F13">
        <w:rPr>
          <w:rFonts w:ascii="Arial" w:hAnsi="Arial" w:cs="Arial"/>
          <w:sz w:val="24"/>
          <w:szCs w:val="24"/>
        </w:rPr>
        <w:t xml:space="preserve">No </w:t>
      </w:r>
      <w:proofErr w:type="gramStart"/>
      <w:r w:rsidRPr="00E00F13">
        <w:rPr>
          <w:rFonts w:ascii="Arial" w:hAnsi="Arial" w:cs="Arial"/>
          <w:sz w:val="24"/>
          <w:szCs w:val="24"/>
        </w:rPr>
        <w:t>obstante</w:t>
      </w:r>
      <w:proofErr w:type="gramEnd"/>
      <w:r w:rsidRPr="00E00F13">
        <w:rPr>
          <w:rFonts w:ascii="Arial" w:hAnsi="Arial" w:cs="Arial"/>
          <w:sz w:val="24"/>
          <w:szCs w:val="24"/>
        </w:rPr>
        <w:t xml:space="preserve"> esta postura</w:t>
      </w:r>
      <w:r w:rsidR="001B2127" w:rsidRPr="00E00F13">
        <w:rPr>
          <w:rFonts w:ascii="Arial" w:hAnsi="Arial" w:cs="Arial"/>
          <w:sz w:val="24"/>
          <w:szCs w:val="24"/>
        </w:rPr>
        <w:t xml:space="preserve"> de </w:t>
      </w:r>
      <w:proofErr w:type="gramStart"/>
      <w:r w:rsidR="001B2127" w:rsidRPr="00E00F13">
        <w:rPr>
          <w:rFonts w:ascii="Arial" w:hAnsi="Arial" w:cs="Arial"/>
          <w:sz w:val="24"/>
          <w:szCs w:val="24"/>
        </w:rPr>
        <w:t>C</w:t>
      </w:r>
      <w:r w:rsidR="00641226" w:rsidRPr="00E00F13">
        <w:rPr>
          <w:rFonts w:ascii="Arial" w:hAnsi="Arial" w:cs="Arial"/>
          <w:sz w:val="24"/>
          <w:szCs w:val="24"/>
        </w:rPr>
        <w:t>amacol,</w:t>
      </w:r>
      <w:proofErr w:type="gramEnd"/>
      <w:r w:rsidRPr="00E00F13">
        <w:rPr>
          <w:rFonts w:ascii="Arial" w:hAnsi="Arial" w:cs="Arial"/>
          <w:sz w:val="24"/>
          <w:szCs w:val="24"/>
        </w:rPr>
        <w:t xml:space="preserve"> es necesario </w:t>
      </w:r>
      <w:r w:rsidR="00641226" w:rsidRPr="00E00F13">
        <w:rPr>
          <w:rFonts w:ascii="Arial" w:hAnsi="Arial" w:cs="Arial"/>
          <w:sz w:val="24"/>
          <w:szCs w:val="24"/>
        </w:rPr>
        <w:t>manifestar</w:t>
      </w:r>
      <w:r w:rsidRPr="00E00F13">
        <w:rPr>
          <w:rFonts w:ascii="Arial" w:hAnsi="Arial" w:cs="Arial"/>
          <w:sz w:val="24"/>
          <w:szCs w:val="24"/>
        </w:rPr>
        <w:t xml:space="preserve"> que la crisis de la capacidad de compra tiene una raíz clara en la coyuntura monetaria y en políticas globales. </w:t>
      </w:r>
    </w:p>
    <w:p w14:paraId="506174E8" w14:textId="77777777" w:rsidR="00641226" w:rsidRPr="00E00F13" w:rsidRDefault="00641226" w:rsidP="004623AA">
      <w:pPr>
        <w:spacing w:after="0" w:line="360" w:lineRule="auto"/>
        <w:jc w:val="both"/>
        <w:rPr>
          <w:rFonts w:ascii="Arial" w:hAnsi="Arial" w:cs="Arial"/>
          <w:sz w:val="24"/>
          <w:szCs w:val="24"/>
        </w:rPr>
      </w:pPr>
    </w:p>
    <w:p w14:paraId="18CD2399" w14:textId="5591AB32" w:rsidR="004623AA" w:rsidRPr="00E00F13" w:rsidRDefault="004623AA" w:rsidP="004623AA">
      <w:pPr>
        <w:spacing w:after="0" w:line="360" w:lineRule="auto"/>
        <w:jc w:val="both"/>
        <w:rPr>
          <w:rFonts w:ascii="Arial" w:hAnsi="Arial" w:cs="Arial"/>
          <w:sz w:val="24"/>
          <w:szCs w:val="24"/>
        </w:rPr>
      </w:pPr>
      <w:r w:rsidRPr="00E00F13">
        <w:rPr>
          <w:rFonts w:ascii="Arial" w:hAnsi="Arial" w:cs="Arial"/>
          <w:sz w:val="24"/>
          <w:szCs w:val="24"/>
        </w:rPr>
        <w:t>El drástico aumento de las tasas de interés hipotecarias en Colombia, señalado como el principal freno de la demanda, no fue un fenómeno aislado, sino un reflejo de las políticas restrictivas que la banca central internacional adoptó para contener la inflación global. Simultáneamente, el precio de los materiales de construcción se mantiene elevado porque insumos fundamentales como el acero y los energéticos se tasan en mercados internacionales, lo que impide que los costos de producción bajen al mismo ritmo que la inflación local.</w:t>
      </w:r>
    </w:p>
    <w:p w14:paraId="4DD746D9" w14:textId="77777777" w:rsidR="001A0776" w:rsidRPr="00E00F13" w:rsidRDefault="001A0776" w:rsidP="004623AA">
      <w:pPr>
        <w:spacing w:after="0" w:line="360" w:lineRule="auto"/>
        <w:jc w:val="both"/>
        <w:rPr>
          <w:rFonts w:ascii="Arial" w:hAnsi="Arial" w:cs="Arial"/>
          <w:sz w:val="24"/>
          <w:szCs w:val="24"/>
        </w:rPr>
      </w:pPr>
    </w:p>
    <w:p w14:paraId="1DD3C7B0" w14:textId="0B1D13EB" w:rsidR="001A0776" w:rsidRPr="00E00F13" w:rsidRDefault="001A0776" w:rsidP="004623AA">
      <w:pPr>
        <w:spacing w:after="0" w:line="360" w:lineRule="auto"/>
        <w:jc w:val="both"/>
        <w:rPr>
          <w:rFonts w:ascii="Arial" w:hAnsi="Arial" w:cs="Arial"/>
          <w:sz w:val="24"/>
          <w:szCs w:val="24"/>
        </w:rPr>
      </w:pPr>
      <w:r w:rsidRPr="00E00F13">
        <w:rPr>
          <w:rFonts w:ascii="Arial" w:hAnsi="Arial" w:cs="Arial"/>
          <w:sz w:val="24"/>
          <w:szCs w:val="24"/>
        </w:rPr>
        <w:t xml:space="preserve">Por su parte, </w:t>
      </w:r>
      <w:r w:rsidR="001A1AC8" w:rsidRPr="00E00F13">
        <w:rPr>
          <w:rFonts w:ascii="Arial" w:hAnsi="Arial" w:cs="Arial"/>
          <w:sz w:val="24"/>
          <w:szCs w:val="24"/>
        </w:rPr>
        <w:t xml:space="preserve">recientemente el país dio la discusión política sobre </w:t>
      </w:r>
      <w:r w:rsidRPr="00E00F13">
        <w:rPr>
          <w:rFonts w:ascii="Arial" w:hAnsi="Arial" w:cs="Arial"/>
          <w:sz w:val="24"/>
          <w:szCs w:val="24"/>
        </w:rPr>
        <w:t>la indexación del precio de la Vivienda de Interés Social (VIS) al Salario Mínimo Legal Mensual Vigente (SMLMV)</w:t>
      </w:r>
      <w:r w:rsidR="001A1AC8" w:rsidRPr="00E00F13">
        <w:rPr>
          <w:rFonts w:ascii="Arial" w:hAnsi="Arial" w:cs="Arial"/>
          <w:sz w:val="24"/>
          <w:szCs w:val="24"/>
        </w:rPr>
        <w:t>.</w:t>
      </w:r>
      <w:r w:rsidRPr="00E00F13">
        <w:rPr>
          <w:rFonts w:ascii="Arial" w:hAnsi="Arial" w:cs="Arial"/>
          <w:sz w:val="24"/>
          <w:szCs w:val="24"/>
        </w:rPr>
        <w:t xml:space="preserve"> </w:t>
      </w:r>
      <w:r w:rsidR="001A1AC8" w:rsidRPr="00E00F13">
        <w:rPr>
          <w:rFonts w:ascii="Arial" w:hAnsi="Arial" w:cs="Arial"/>
          <w:sz w:val="24"/>
          <w:szCs w:val="24"/>
        </w:rPr>
        <w:t xml:space="preserve">Esto ha constituido </w:t>
      </w:r>
      <w:r w:rsidRPr="00E00F13">
        <w:rPr>
          <w:rFonts w:ascii="Arial" w:hAnsi="Arial" w:cs="Arial"/>
          <w:sz w:val="24"/>
          <w:szCs w:val="24"/>
        </w:rPr>
        <w:t xml:space="preserve">uno de los debates más urgentes del sector inmobiliario en 2025-2026, </w:t>
      </w:r>
      <w:r w:rsidR="00795E5A" w:rsidRPr="00E00F13">
        <w:rPr>
          <w:rFonts w:ascii="Arial" w:hAnsi="Arial" w:cs="Arial"/>
          <w:sz w:val="24"/>
          <w:szCs w:val="24"/>
        </w:rPr>
        <w:t xml:space="preserve">en especial </w:t>
      </w:r>
      <w:r w:rsidRPr="00E00F13">
        <w:rPr>
          <w:rFonts w:ascii="Arial" w:hAnsi="Arial" w:cs="Arial"/>
          <w:sz w:val="24"/>
          <w:szCs w:val="24"/>
        </w:rPr>
        <w:t xml:space="preserve">cuando el salario mínimo para 2026 fue fijado en $1.750.905, con un incremento del 23%, lo que se reflejó de inmediato en los topes de la VIS, que llegaron hasta $262 millones en las principales ciudades, sin </w:t>
      </w:r>
      <w:r w:rsidRPr="00E00F13">
        <w:rPr>
          <w:rFonts w:ascii="Arial" w:hAnsi="Arial" w:cs="Arial"/>
          <w:sz w:val="24"/>
          <w:szCs w:val="24"/>
        </w:rPr>
        <w:lastRenderedPageBreak/>
        <w:t>que ese encarecimiento respondiera a un aumento equivalente en los costos técnicos de construcción.</w:t>
      </w:r>
    </w:p>
    <w:p w14:paraId="7C8DFB6E" w14:textId="77777777" w:rsidR="00C10E71" w:rsidRPr="00E00F13" w:rsidRDefault="00C10E71" w:rsidP="004623AA">
      <w:pPr>
        <w:spacing w:after="0" w:line="360" w:lineRule="auto"/>
        <w:jc w:val="both"/>
        <w:rPr>
          <w:rFonts w:ascii="Arial" w:hAnsi="Arial" w:cs="Arial"/>
          <w:sz w:val="24"/>
          <w:szCs w:val="24"/>
        </w:rPr>
      </w:pPr>
    </w:p>
    <w:p w14:paraId="37F47C44" w14:textId="03A49AE6" w:rsidR="00C10E71" w:rsidRPr="00E00F13" w:rsidRDefault="00C10E71" w:rsidP="004623AA">
      <w:pPr>
        <w:spacing w:after="0" w:line="360" w:lineRule="auto"/>
        <w:jc w:val="both"/>
        <w:rPr>
          <w:rFonts w:ascii="Arial" w:hAnsi="Arial" w:cs="Arial"/>
          <w:sz w:val="24"/>
          <w:szCs w:val="24"/>
        </w:rPr>
      </w:pPr>
      <w:r w:rsidRPr="00E00F13">
        <w:rPr>
          <w:rFonts w:ascii="Arial" w:hAnsi="Arial" w:cs="Arial"/>
          <w:sz w:val="24"/>
          <w:szCs w:val="24"/>
        </w:rPr>
        <w:t>Este mecanismo de indexación al SMLMV, lejos de proteger a los hogares de menores ingresos, ha operado como un multiplicador artificial del costo de la vivienda social, desconectado de los costos reales de construcción medidos por el DANE, y con un costo social que recae, de manera paradójica, sobre quienes</w:t>
      </w:r>
      <w:r w:rsidR="00045379" w:rsidRPr="00E00F13">
        <w:rPr>
          <w:rFonts w:ascii="Arial" w:hAnsi="Arial" w:cs="Arial"/>
          <w:sz w:val="24"/>
          <w:szCs w:val="24"/>
        </w:rPr>
        <w:t xml:space="preserve"> pretende</w:t>
      </w:r>
      <w:r w:rsidRPr="00E00F13">
        <w:rPr>
          <w:rFonts w:ascii="Arial" w:hAnsi="Arial" w:cs="Arial"/>
          <w:sz w:val="24"/>
          <w:szCs w:val="24"/>
        </w:rPr>
        <w:t xml:space="preserve"> beneficiar</w:t>
      </w:r>
      <w:r w:rsidR="00045379" w:rsidRPr="00E00F13">
        <w:rPr>
          <w:rFonts w:ascii="Arial" w:hAnsi="Arial" w:cs="Arial"/>
          <w:sz w:val="24"/>
          <w:szCs w:val="24"/>
        </w:rPr>
        <w:t xml:space="preserve"> la política</w:t>
      </w:r>
      <w:r w:rsidRPr="00E00F13">
        <w:rPr>
          <w:rFonts w:ascii="Arial" w:hAnsi="Arial" w:cs="Arial"/>
          <w:sz w:val="24"/>
          <w:szCs w:val="24"/>
        </w:rPr>
        <w:t>.</w:t>
      </w:r>
    </w:p>
    <w:p w14:paraId="1BC72E42" w14:textId="77777777" w:rsidR="00045379" w:rsidRPr="00E00F13" w:rsidRDefault="00045379" w:rsidP="00045379">
      <w:pPr>
        <w:spacing w:after="0" w:line="360" w:lineRule="auto"/>
        <w:jc w:val="both"/>
        <w:rPr>
          <w:rFonts w:ascii="Arial" w:hAnsi="Arial" w:cs="Arial"/>
          <w:sz w:val="24"/>
          <w:szCs w:val="24"/>
        </w:rPr>
      </w:pPr>
    </w:p>
    <w:p w14:paraId="311728AD" w14:textId="2A418017" w:rsidR="001A1AC8" w:rsidRPr="00E00F13" w:rsidRDefault="001A1AC8" w:rsidP="001A1AC8">
      <w:pPr>
        <w:spacing w:after="0" w:line="360" w:lineRule="auto"/>
        <w:jc w:val="both"/>
        <w:rPr>
          <w:rFonts w:ascii="Arial" w:hAnsi="Arial" w:cs="Arial"/>
          <w:sz w:val="24"/>
          <w:szCs w:val="24"/>
        </w:rPr>
      </w:pPr>
      <w:r w:rsidRPr="00E00F13">
        <w:rPr>
          <w:rFonts w:ascii="Arial" w:hAnsi="Arial" w:cs="Arial"/>
          <w:sz w:val="24"/>
          <w:szCs w:val="24"/>
        </w:rPr>
        <w:t>Relacionado con lo anterior</w:t>
      </w:r>
      <w:r w:rsidR="00045379" w:rsidRPr="00E00F13">
        <w:rPr>
          <w:rFonts w:ascii="Arial" w:hAnsi="Arial" w:cs="Arial"/>
          <w:sz w:val="24"/>
          <w:szCs w:val="24"/>
        </w:rPr>
        <w:t>, el Gobierno nacional ha insistido que los precios de la vivienda deben informarse y definirse en las promesas de compraventa en pesos colombianos. El MVCT ha alertado que en muchos proyectos los precios de los inmuebles son informados en salarios mínimos mensuales y que los compradores pueden usar herramientas legales para hacer valer sus derechos como consumidores</w:t>
      </w:r>
      <w:r w:rsidRPr="00E00F13">
        <w:rPr>
          <w:rFonts w:ascii="Arial" w:hAnsi="Arial" w:cs="Arial"/>
          <w:sz w:val="24"/>
          <w:szCs w:val="24"/>
        </w:rPr>
        <w:t xml:space="preserve"> en el sentido de que los compradores de vivienda nueva de interés social (VIS) y no VIS puedan conocer y pactar los precios de los inmuebles en pesos colombianos, atendiendo a las normas vigentes.</w:t>
      </w:r>
      <w:r w:rsidR="00795E5A" w:rsidRPr="00E00F13">
        <w:rPr>
          <w:rFonts w:ascii="Arial" w:hAnsi="Arial" w:cs="Arial"/>
          <w:sz w:val="24"/>
          <w:szCs w:val="24"/>
        </w:rPr>
        <w:t xml:space="preserve"> Lo grave es que solo 1 de cada 4 proyectos en el país cumplen con la obligación de informar los precios de los inmuebles en pesos colombianos; los demás son informados en valores variables (MVCT, 23 de diciembre de 2025).</w:t>
      </w:r>
    </w:p>
    <w:p w14:paraId="79D712BC" w14:textId="77777777" w:rsidR="001A1AC8" w:rsidRPr="00E00F13" w:rsidRDefault="001A1AC8" w:rsidP="001A1AC8">
      <w:pPr>
        <w:spacing w:after="0" w:line="360" w:lineRule="auto"/>
        <w:jc w:val="both"/>
        <w:rPr>
          <w:rFonts w:ascii="Arial" w:hAnsi="Arial" w:cs="Arial"/>
          <w:sz w:val="24"/>
          <w:szCs w:val="24"/>
        </w:rPr>
      </w:pPr>
    </w:p>
    <w:p w14:paraId="6080356F" w14:textId="269C401F" w:rsidR="001A1AC8" w:rsidRPr="00E00F13" w:rsidRDefault="001A1AC8" w:rsidP="001A1AC8">
      <w:pPr>
        <w:spacing w:after="0" w:line="360" w:lineRule="auto"/>
        <w:jc w:val="both"/>
        <w:rPr>
          <w:rFonts w:ascii="Arial" w:hAnsi="Arial" w:cs="Arial"/>
          <w:sz w:val="24"/>
          <w:szCs w:val="24"/>
        </w:rPr>
      </w:pPr>
      <w:r w:rsidRPr="00E00F13">
        <w:rPr>
          <w:rFonts w:ascii="Arial" w:hAnsi="Arial" w:cs="Arial"/>
          <w:sz w:val="24"/>
          <w:szCs w:val="24"/>
        </w:rPr>
        <w:t>Esta obligación está consignada en la Circular 04 de 2024 de la Superintendencia de Industria y Comercio, la cual establece que “el precio de la vivienda en Colombia se debe informar en pesos colombianos. El consumidor solo estará obligado a pagar el precio que le sea informado en el momento en que este manifieste su voluntad de adquirir el bien, por ejemplo, mediante la firma del contrato de separación, opción de compra, fiducia, entre otros”</w:t>
      </w:r>
      <w:r w:rsidR="00795E5A" w:rsidRPr="00E00F13">
        <w:rPr>
          <w:rFonts w:ascii="Arial" w:hAnsi="Arial" w:cs="Arial"/>
          <w:sz w:val="24"/>
          <w:szCs w:val="24"/>
        </w:rPr>
        <w:t xml:space="preserve"> (MVCT, 23 de diciembre de 2025).</w:t>
      </w:r>
    </w:p>
    <w:p w14:paraId="318ED332" w14:textId="77777777" w:rsidR="001A1AC8" w:rsidRPr="00E00F13" w:rsidRDefault="001A1AC8" w:rsidP="001A1AC8">
      <w:pPr>
        <w:spacing w:after="0" w:line="360" w:lineRule="auto"/>
        <w:jc w:val="both"/>
        <w:rPr>
          <w:rFonts w:ascii="Arial" w:hAnsi="Arial" w:cs="Arial"/>
          <w:sz w:val="24"/>
          <w:szCs w:val="24"/>
        </w:rPr>
      </w:pPr>
    </w:p>
    <w:p w14:paraId="7D01D908" w14:textId="2CA7F077" w:rsidR="001A1AC8" w:rsidRPr="00E00F13" w:rsidRDefault="001A1AC8" w:rsidP="001A1AC8">
      <w:pPr>
        <w:spacing w:after="0" w:line="360" w:lineRule="auto"/>
        <w:jc w:val="both"/>
        <w:rPr>
          <w:rFonts w:ascii="Arial" w:hAnsi="Arial" w:cs="Arial"/>
          <w:sz w:val="24"/>
          <w:szCs w:val="24"/>
        </w:rPr>
      </w:pPr>
      <w:r w:rsidRPr="00E00F13">
        <w:rPr>
          <w:rFonts w:ascii="Arial" w:hAnsi="Arial" w:cs="Arial"/>
          <w:sz w:val="24"/>
          <w:szCs w:val="24"/>
        </w:rPr>
        <w:t xml:space="preserve">Para el MVCT fijar el precio de las viviendas únicamente en salarios mínimos legales mensuales vigentes (SMLMV) genera incertidumbre entre los adquirientes, y se constituye en una presunta violación del deber de información. “Cuando el precio </w:t>
      </w:r>
      <w:r w:rsidRPr="00E00F13">
        <w:rPr>
          <w:rFonts w:ascii="Arial" w:hAnsi="Arial" w:cs="Arial"/>
          <w:sz w:val="24"/>
          <w:szCs w:val="24"/>
        </w:rPr>
        <w:lastRenderedPageBreak/>
        <w:t>depende de un factor externo que el consumidor no puede anticipar, como futuros aumentos del salario mínimo, la obligación económica final se vuelve indeterminada”</w:t>
      </w:r>
      <w:r w:rsidR="00795E5A" w:rsidRPr="00E00F13">
        <w:rPr>
          <w:rFonts w:ascii="Arial" w:hAnsi="Arial" w:cs="Arial"/>
          <w:sz w:val="24"/>
          <w:szCs w:val="24"/>
        </w:rPr>
        <w:t xml:space="preserve"> (MVCT, 23 de diciembre de 2025)</w:t>
      </w:r>
      <w:r w:rsidRPr="00E00F13">
        <w:rPr>
          <w:rFonts w:ascii="Arial" w:hAnsi="Arial" w:cs="Arial"/>
          <w:sz w:val="24"/>
          <w:szCs w:val="24"/>
        </w:rPr>
        <w:t xml:space="preserve">. </w:t>
      </w:r>
    </w:p>
    <w:p w14:paraId="4AEFFA79" w14:textId="77777777" w:rsidR="001A1AC8" w:rsidRPr="00E00F13" w:rsidRDefault="001A1AC8" w:rsidP="001A1AC8">
      <w:pPr>
        <w:spacing w:after="0" w:line="360" w:lineRule="auto"/>
        <w:jc w:val="both"/>
        <w:rPr>
          <w:rFonts w:ascii="Arial" w:hAnsi="Arial" w:cs="Arial"/>
          <w:sz w:val="24"/>
          <w:szCs w:val="24"/>
        </w:rPr>
      </w:pPr>
    </w:p>
    <w:p w14:paraId="7368C374" w14:textId="760DC7BA" w:rsidR="001A1AC8" w:rsidRPr="00E00F13" w:rsidRDefault="001A1AC8" w:rsidP="001A1AC8">
      <w:pPr>
        <w:spacing w:after="0" w:line="360" w:lineRule="auto"/>
        <w:jc w:val="both"/>
        <w:rPr>
          <w:rFonts w:ascii="Arial" w:hAnsi="Arial" w:cs="Arial"/>
          <w:sz w:val="24"/>
          <w:szCs w:val="24"/>
        </w:rPr>
      </w:pPr>
      <w:r w:rsidRPr="00E00F13">
        <w:rPr>
          <w:rFonts w:ascii="Arial" w:hAnsi="Arial" w:cs="Arial"/>
          <w:sz w:val="24"/>
          <w:szCs w:val="24"/>
        </w:rPr>
        <w:t xml:space="preserve">Las normas vigentes son claras en indicar que el precio debe expresarse en pesos, sin recurrir a mecanismos que impidan conocerlo plenamente. </w:t>
      </w:r>
      <w:r w:rsidR="007659DB" w:rsidRPr="00E00F13">
        <w:rPr>
          <w:rFonts w:ascii="Arial" w:hAnsi="Arial" w:cs="Arial"/>
          <w:sz w:val="24"/>
          <w:szCs w:val="24"/>
        </w:rPr>
        <w:t>E</w:t>
      </w:r>
      <w:r w:rsidRPr="00E00F13">
        <w:rPr>
          <w:rFonts w:ascii="Arial" w:hAnsi="Arial" w:cs="Arial"/>
          <w:sz w:val="24"/>
          <w:szCs w:val="24"/>
        </w:rPr>
        <w:t>l precio que obliga al consumidor deberá ser el informado cuando se firme la promesa de compraventa.</w:t>
      </w:r>
      <w:r w:rsidR="007659DB" w:rsidRPr="00E00F13">
        <w:rPr>
          <w:rFonts w:ascii="Arial" w:hAnsi="Arial" w:cs="Arial"/>
          <w:sz w:val="24"/>
          <w:szCs w:val="24"/>
        </w:rPr>
        <w:t xml:space="preserve"> No </w:t>
      </w:r>
      <w:r w:rsidR="000479B0" w:rsidRPr="00E00F13">
        <w:rPr>
          <w:rFonts w:ascii="Arial" w:hAnsi="Arial" w:cs="Arial"/>
          <w:sz w:val="24"/>
          <w:szCs w:val="24"/>
        </w:rPr>
        <w:t>informar</w:t>
      </w:r>
      <w:r w:rsidR="007659DB" w:rsidRPr="00E00F13">
        <w:rPr>
          <w:rFonts w:ascii="Arial" w:hAnsi="Arial" w:cs="Arial"/>
          <w:sz w:val="24"/>
          <w:szCs w:val="24"/>
        </w:rPr>
        <w:t xml:space="preserve"> ha impactado en la adquisición de vivienda.</w:t>
      </w:r>
      <w:r w:rsidRPr="00E00F13">
        <w:rPr>
          <w:rFonts w:ascii="Arial" w:hAnsi="Arial" w:cs="Arial"/>
          <w:sz w:val="24"/>
          <w:szCs w:val="24"/>
        </w:rPr>
        <w:t xml:space="preserve"> </w:t>
      </w:r>
    </w:p>
    <w:p w14:paraId="151F2EA2" w14:textId="77777777" w:rsidR="001A1AC8" w:rsidRPr="00E00F13" w:rsidRDefault="001A1AC8" w:rsidP="001A1AC8">
      <w:pPr>
        <w:spacing w:after="0" w:line="360" w:lineRule="auto"/>
        <w:jc w:val="both"/>
        <w:rPr>
          <w:rFonts w:ascii="Arial" w:hAnsi="Arial" w:cs="Arial"/>
          <w:sz w:val="24"/>
          <w:szCs w:val="24"/>
        </w:rPr>
      </w:pPr>
    </w:p>
    <w:p w14:paraId="47B88BAD" w14:textId="2A1A61F0" w:rsidR="00E0228B" w:rsidRPr="00E00F13" w:rsidRDefault="00E0228B" w:rsidP="00E0228B">
      <w:pPr>
        <w:spacing w:after="0" w:line="360" w:lineRule="auto"/>
        <w:jc w:val="both"/>
        <w:rPr>
          <w:rFonts w:ascii="Arial" w:hAnsi="Arial" w:cs="Arial"/>
          <w:sz w:val="24"/>
          <w:szCs w:val="24"/>
          <w:lang w:val="es-ES"/>
        </w:rPr>
      </w:pPr>
      <w:r w:rsidRPr="00E00F13">
        <w:rPr>
          <w:rFonts w:ascii="Arial" w:hAnsi="Arial" w:cs="Arial"/>
          <w:sz w:val="24"/>
          <w:szCs w:val="24"/>
        </w:rPr>
        <w:t xml:space="preserve">Ante ello, el MVCT ha emitido en 2026 un proyecto de decreto </w:t>
      </w:r>
      <w:r w:rsidRPr="00E00F13">
        <w:rPr>
          <w:rFonts w:ascii="Arial" w:hAnsi="Arial" w:cs="Arial"/>
          <w:sz w:val="24"/>
          <w:szCs w:val="24"/>
          <w:lang w:val="es-ES"/>
        </w:rPr>
        <w:t>para proteger la estabilidad de precios de la VIS ante la práctica de aumentos desproporcionados por el alza del salario mínimo. Con el objetivo de evitar aumentos desproporcionados en el precio de la vivienda, al limitar los ajustes a la evolución de los costos de construcción y no al alza del salario mínimo, en el proyecto de decreto se establece el tope general del valor de la Vivienda de Interés Social, se armoniza el régimen reglamentario vigente y se fortalecen los derechos del consumidor. Con lo cual se promovería la transparencia, prevendría abusos y brindaría seguridad jurídica.</w:t>
      </w:r>
    </w:p>
    <w:p w14:paraId="28682051" w14:textId="0DD35427" w:rsidR="00E0228B" w:rsidRPr="00E00F13" w:rsidRDefault="00E0228B" w:rsidP="001A1AC8">
      <w:pPr>
        <w:spacing w:after="0" w:line="360" w:lineRule="auto"/>
        <w:jc w:val="both"/>
        <w:rPr>
          <w:rFonts w:ascii="Arial" w:hAnsi="Arial" w:cs="Arial"/>
          <w:sz w:val="24"/>
          <w:szCs w:val="24"/>
        </w:rPr>
      </w:pPr>
    </w:p>
    <w:p w14:paraId="2BDDE6C0" w14:textId="3DC0CD87" w:rsidR="00E0228B" w:rsidRPr="00E00F13" w:rsidRDefault="00E0228B" w:rsidP="00E0228B">
      <w:pPr>
        <w:spacing w:after="0" w:line="360" w:lineRule="auto"/>
        <w:jc w:val="both"/>
        <w:rPr>
          <w:rFonts w:ascii="Arial" w:hAnsi="Arial" w:cs="Arial"/>
          <w:sz w:val="24"/>
          <w:szCs w:val="24"/>
          <w:lang w:val="es-ES"/>
        </w:rPr>
      </w:pPr>
      <w:r w:rsidRPr="00E00F13">
        <w:rPr>
          <w:rFonts w:ascii="Arial" w:hAnsi="Arial" w:cs="Arial"/>
          <w:sz w:val="24"/>
          <w:szCs w:val="24"/>
          <w:lang w:val="es-ES"/>
        </w:rPr>
        <w:t>El proyecto de decreto que armoniza el tope máximo general de la VIS en 135 salarios mínimos mensuales legales vigentes (SMMLV), en coherencia con lo dispuesto en el Plan Nacional de Desarrollo. Esta medida busca evitar alzas desproporcionadas en el precio de la VIS y proteger la planeación financiera de los hogares.</w:t>
      </w:r>
      <w:r w:rsidR="00152D19" w:rsidRPr="00E00F13">
        <w:rPr>
          <w:rFonts w:ascii="Arial" w:hAnsi="Arial" w:cs="Arial"/>
          <w:sz w:val="24"/>
          <w:szCs w:val="24"/>
          <w:lang w:val="es-ES"/>
        </w:rPr>
        <w:t xml:space="preserve"> Cabe mencionar que el </w:t>
      </w:r>
      <w:r w:rsidRPr="00E00F13">
        <w:rPr>
          <w:rFonts w:ascii="Arial" w:hAnsi="Arial" w:cs="Arial"/>
          <w:sz w:val="24"/>
          <w:szCs w:val="24"/>
          <w:lang w:val="es-ES"/>
        </w:rPr>
        <w:t>proyecto no constituye un control de precios</w:t>
      </w:r>
      <w:r w:rsidR="00152D19" w:rsidRPr="00E00F13">
        <w:rPr>
          <w:rFonts w:ascii="Arial" w:hAnsi="Arial" w:cs="Arial"/>
          <w:sz w:val="24"/>
          <w:szCs w:val="24"/>
          <w:lang w:val="es-ES"/>
        </w:rPr>
        <w:t xml:space="preserve">, sino que </w:t>
      </w:r>
      <w:r w:rsidRPr="00E00F13">
        <w:rPr>
          <w:rFonts w:ascii="Arial" w:hAnsi="Arial" w:cs="Arial"/>
          <w:sz w:val="24"/>
          <w:szCs w:val="24"/>
          <w:lang w:val="es-ES"/>
        </w:rPr>
        <w:t>busca proteger a las familias compradoras, al reafirmar que de conformidad con lo dispuesto en el Estatuto del consumidor y la Circular 004 de 2024 emitida por la SIC, el valor total de la vivienda debe pactarse en pesos colombianos desde el inicio del proceso, sin indexaciones automáticas asociadas al incremento anual del salario mínimo</w:t>
      </w:r>
      <w:r w:rsidR="00152D19" w:rsidRPr="00E00F13">
        <w:rPr>
          <w:rFonts w:ascii="Arial" w:hAnsi="Arial" w:cs="Arial"/>
          <w:sz w:val="24"/>
          <w:szCs w:val="24"/>
          <w:lang w:val="es-ES"/>
        </w:rPr>
        <w:t xml:space="preserve"> (MVCT, 15 de enero de 2026)</w:t>
      </w:r>
      <w:r w:rsidRPr="00E00F13">
        <w:rPr>
          <w:rFonts w:ascii="Arial" w:hAnsi="Arial" w:cs="Arial"/>
          <w:sz w:val="24"/>
          <w:szCs w:val="24"/>
          <w:lang w:val="es-ES"/>
        </w:rPr>
        <w:t>.</w:t>
      </w:r>
    </w:p>
    <w:p w14:paraId="50CA531F" w14:textId="77777777" w:rsidR="00152D19" w:rsidRPr="00E00F13" w:rsidRDefault="00152D19" w:rsidP="00E0228B">
      <w:pPr>
        <w:spacing w:after="0" w:line="360" w:lineRule="auto"/>
        <w:jc w:val="both"/>
        <w:rPr>
          <w:rFonts w:ascii="Arial" w:hAnsi="Arial" w:cs="Arial"/>
          <w:sz w:val="24"/>
          <w:szCs w:val="24"/>
          <w:lang w:val="es-ES"/>
        </w:rPr>
      </w:pPr>
    </w:p>
    <w:p w14:paraId="7AEA2139" w14:textId="74530194" w:rsidR="00E0228B" w:rsidRPr="00E00F13" w:rsidRDefault="00E0228B" w:rsidP="00E0228B">
      <w:pPr>
        <w:spacing w:after="0" w:line="360" w:lineRule="auto"/>
        <w:jc w:val="both"/>
        <w:rPr>
          <w:rFonts w:ascii="Arial" w:hAnsi="Arial" w:cs="Arial"/>
          <w:sz w:val="24"/>
          <w:szCs w:val="24"/>
          <w:lang w:val="es-ES"/>
        </w:rPr>
      </w:pPr>
      <w:r w:rsidRPr="00E00F13">
        <w:rPr>
          <w:rFonts w:ascii="Arial" w:hAnsi="Arial" w:cs="Arial"/>
          <w:sz w:val="24"/>
          <w:szCs w:val="24"/>
          <w:lang w:val="es-ES"/>
        </w:rPr>
        <w:lastRenderedPageBreak/>
        <w:t xml:space="preserve">De esta manera, se evitan incrementos abruptos —como los derivados del aumento del salario mínimo del 23% </w:t>
      </w:r>
      <w:r w:rsidR="00152D19" w:rsidRPr="00E00F13">
        <w:rPr>
          <w:rFonts w:ascii="Arial" w:hAnsi="Arial" w:cs="Arial"/>
          <w:sz w:val="24"/>
          <w:szCs w:val="24"/>
          <w:lang w:val="es-ES"/>
        </w:rPr>
        <w:t>en</w:t>
      </w:r>
      <w:r w:rsidRPr="00E00F13">
        <w:rPr>
          <w:rFonts w:ascii="Arial" w:hAnsi="Arial" w:cs="Arial"/>
          <w:sz w:val="24"/>
          <w:szCs w:val="24"/>
          <w:lang w:val="es-ES"/>
        </w:rPr>
        <w:t xml:space="preserve"> 2026— y se limita cualquier ajuste a variables relacionadas con los costos de construcción, siempre respetando lo pactado desde la separación, la promesa de compraventa o el encargo fiduciario</w:t>
      </w:r>
      <w:r w:rsidR="00152D19" w:rsidRPr="00E00F13">
        <w:rPr>
          <w:rFonts w:ascii="Arial" w:hAnsi="Arial" w:cs="Arial"/>
          <w:sz w:val="24"/>
          <w:szCs w:val="24"/>
          <w:lang w:val="es-ES"/>
        </w:rPr>
        <w:t xml:space="preserve"> (MVCT, 15 de enero de 2026)</w:t>
      </w:r>
      <w:r w:rsidRPr="00E00F13">
        <w:rPr>
          <w:rFonts w:ascii="Arial" w:hAnsi="Arial" w:cs="Arial"/>
          <w:sz w:val="24"/>
          <w:szCs w:val="24"/>
          <w:lang w:val="es-ES"/>
        </w:rPr>
        <w:t>.</w:t>
      </w:r>
    </w:p>
    <w:p w14:paraId="22A51F27" w14:textId="77777777" w:rsidR="00152D19" w:rsidRPr="00E00F13" w:rsidRDefault="00152D19" w:rsidP="00E0228B">
      <w:pPr>
        <w:spacing w:after="0" w:line="360" w:lineRule="auto"/>
        <w:jc w:val="both"/>
        <w:rPr>
          <w:rFonts w:ascii="Arial" w:hAnsi="Arial" w:cs="Arial"/>
          <w:sz w:val="24"/>
          <w:szCs w:val="24"/>
          <w:lang w:val="es-ES"/>
        </w:rPr>
      </w:pPr>
    </w:p>
    <w:p w14:paraId="1EA1938D" w14:textId="3D6B4836" w:rsidR="00E0228B" w:rsidRPr="00E00F13" w:rsidRDefault="00152D19" w:rsidP="00E0228B">
      <w:pPr>
        <w:spacing w:after="0" w:line="360" w:lineRule="auto"/>
        <w:jc w:val="both"/>
        <w:rPr>
          <w:rFonts w:ascii="Arial" w:hAnsi="Arial" w:cs="Arial"/>
          <w:sz w:val="24"/>
          <w:szCs w:val="24"/>
          <w:lang w:val="es-ES"/>
        </w:rPr>
      </w:pPr>
      <w:r w:rsidRPr="00E00F13">
        <w:rPr>
          <w:rFonts w:ascii="Arial" w:hAnsi="Arial" w:cs="Arial"/>
          <w:sz w:val="24"/>
          <w:szCs w:val="24"/>
          <w:lang w:val="es-ES"/>
        </w:rPr>
        <w:t>L</w:t>
      </w:r>
      <w:r w:rsidR="00E0228B" w:rsidRPr="00E00F13">
        <w:rPr>
          <w:rFonts w:ascii="Arial" w:hAnsi="Arial" w:cs="Arial"/>
          <w:sz w:val="24"/>
          <w:szCs w:val="24"/>
          <w:lang w:val="es-ES"/>
        </w:rPr>
        <w:t>a publicación de precios de vivienda en salarios mínimos u otras unidades distintas a la moneda legal puede inducir a error o confusión, al no reflejar de manera precisa el valor real del inmueble ni permitir una comparación objetiva entre las ofertas del mercado. La información sobre precios debe ser comprensible, clara y verificable, de conformidad con el Estatuto del Consumidor.</w:t>
      </w:r>
    </w:p>
    <w:p w14:paraId="6002288B" w14:textId="77777777" w:rsidR="00152D19" w:rsidRPr="00E00F13" w:rsidRDefault="00152D19" w:rsidP="00E0228B">
      <w:pPr>
        <w:spacing w:after="0" w:line="360" w:lineRule="auto"/>
        <w:jc w:val="both"/>
        <w:rPr>
          <w:rFonts w:ascii="Arial" w:hAnsi="Arial" w:cs="Arial"/>
          <w:b/>
          <w:bCs/>
          <w:sz w:val="24"/>
          <w:szCs w:val="24"/>
          <w:lang w:val="es-ES"/>
        </w:rPr>
      </w:pPr>
    </w:p>
    <w:p w14:paraId="37A645F7" w14:textId="0790EE1B" w:rsidR="00E0228B" w:rsidRPr="00E00F13" w:rsidRDefault="00152D19" w:rsidP="00E0228B">
      <w:pPr>
        <w:spacing w:after="0" w:line="360" w:lineRule="auto"/>
        <w:jc w:val="both"/>
        <w:rPr>
          <w:rFonts w:ascii="Arial" w:hAnsi="Arial" w:cs="Arial"/>
          <w:sz w:val="24"/>
          <w:szCs w:val="24"/>
          <w:lang w:val="es-ES"/>
        </w:rPr>
      </w:pPr>
      <w:r w:rsidRPr="00E00F13">
        <w:rPr>
          <w:rFonts w:ascii="Arial" w:hAnsi="Arial" w:cs="Arial"/>
          <w:sz w:val="24"/>
          <w:szCs w:val="24"/>
          <w:lang w:val="es-ES"/>
        </w:rPr>
        <w:t>El MVCT, junto con la Superintendencia de Industria y Comercio, recomiendan que (MVCT, 15 de enero de 2026):</w:t>
      </w:r>
    </w:p>
    <w:p w14:paraId="00D6F8FD" w14:textId="77777777" w:rsidR="00E0228B" w:rsidRPr="00E00F13" w:rsidRDefault="00E0228B">
      <w:pPr>
        <w:numPr>
          <w:ilvl w:val="0"/>
          <w:numId w:val="48"/>
        </w:numPr>
        <w:spacing w:after="0" w:line="360" w:lineRule="auto"/>
        <w:jc w:val="both"/>
        <w:rPr>
          <w:rFonts w:ascii="Arial" w:hAnsi="Arial" w:cs="Arial"/>
          <w:sz w:val="24"/>
          <w:szCs w:val="24"/>
          <w:lang w:val="es-ES"/>
        </w:rPr>
      </w:pPr>
      <w:r w:rsidRPr="00E00F13">
        <w:rPr>
          <w:rFonts w:ascii="Arial" w:hAnsi="Arial" w:cs="Arial"/>
          <w:sz w:val="24"/>
          <w:szCs w:val="24"/>
          <w:lang w:val="es-ES"/>
        </w:rPr>
        <w:t>El precio de la vivienda debe informarse en pesos colombianos, de forma clara, completa y precisa, y el consumidor solo estará obligado a pagar el valor informado al momento de manifestar su voluntad de compra.</w:t>
      </w:r>
    </w:p>
    <w:p w14:paraId="521AB6BC" w14:textId="77777777" w:rsidR="00E0228B" w:rsidRPr="00E00F13" w:rsidRDefault="00E0228B">
      <w:pPr>
        <w:numPr>
          <w:ilvl w:val="0"/>
          <w:numId w:val="48"/>
        </w:numPr>
        <w:spacing w:after="0" w:line="360" w:lineRule="auto"/>
        <w:jc w:val="both"/>
        <w:rPr>
          <w:rFonts w:ascii="Arial" w:hAnsi="Arial" w:cs="Arial"/>
          <w:sz w:val="24"/>
          <w:szCs w:val="24"/>
          <w:lang w:val="es-ES"/>
        </w:rPr>
      </w:pPr>
      <w:r w:rsidRPr="00E00F13">
        <w:rPr>
          <w:rFonts w:ascii="Arial" w:hAnsi="Arial" w:cs="Arial"/>
          <w:sz w:val="24"/>
          <w:szCs w:val="24"/>
          <w:lang w:val="es-ES"/>
        </w:rPr>
        <w:t xml:space="preserve">La Circular </w:t>
      </w:r>
      <w:proofErr w:type="spellStart"/>
      <w:r w:rsidRPr="00E00F13">
        <w:rPr>
          <w:rFonts w:ascii="Arial" w:hAnsi="Arial" w:cs="Arial"/>
          <w:sz w:val="24"/>
          <w:szCs w:val="24"/>
          <w:lang w:val="es-ES"/>
        </w:rPr>
        <w:t>n.°</w:t>
      </w:r>
      <w:proofErr w:type="spellEnd"/>
      <w:r w:rsidRPr="00E00F13">
        <w:rPr>
          <w:rFonts w:ascii="Arial" w:hAnsi="Arial" w:cs="Arial"/>
          <w:sz w:val="24"/>
          <w:szCs w:val="24"/>
          <w:lang w:val="es-ES"/>
        </w:rPr>
        <w:t xml:space="preserve"> 4 de 2024 de la SIC establece que la publicidad y fijación de precios de proyectos de vivienda deben realizarse en pesos colombianos, conforme al artículo 26 de la Ley 1480 de 2011.</w:t>
      </w:r>
    </w:p>
    <w:p w14:paraId="65E1264F" w14:textId="77777777" w:rsidR="00E0228B" w:rsidRPr="00E00F13" w:rsidRDefault="00E0228B">
      <w:pPr>
        <w:numPr>
          <w:ilvl w:val="0"/>
          <w:numId w:val="48"/>
        </w:numPr>
        <w:spacing w:after="0" w:line="360" w:lineRule="auto"/>
        <w:jc w:val="both"/>
        <w:rPr>
          <w:rFonts w:ascii="Arial" w:hAnsi="Arial" w:cs="Arial"/>
          <w:sz w:val="24"/>
          <w:szCs w:val="24"/>
          <w:lang w:val="es-ES"/>
        </w:rPr>
      </w:pPr>
      <w:r w:rsidRPr="00E00F13">
        <w:rPr>
          <w:rFonts w:ascii="Arial" w:hAnsi="Arial" w:cs="Arial"/>
          <w:sz w:val="24"/>
          <w:szCs w:val="24"/>
          <w:lang w:val="es-ES"/>
        </w:rPr>
        <w:t>Los precios informados no pueden modificarse por el solo paso del tiempo, pues ello vulnera el derecho a la información y puede constituir una cláusula abusiva.</w:t>
      </w:r>
    </w:p>
    <w:p w14:paraId="68723BEB" w14:textId="6A31E1B0" w:rsidR="00E0228B" w:rsidRPr="00E00F13" w:rsidRDefault="00E0228B">
      <w:pPr>
        <w:numPr>
          <w:ilvl w:val="0"/>
          <w:numId w:val="48"/>
        </w:numPr>
        <w:spacing w:after="0" w:line="360" w:lineRule="auto"/>
        <w:jc w:val="both"/>
        <w:rPr>
          <w:rFonts w:ascii="Arial" w:hAnsi="Arial" w:cs="Arial"/>
          <w:sz w:val="24"/>
          <w:szCs w:val="24"/>
          <w:lang w:val="es-ES"/>
        </w:rPr>
      </w:pPr>
      <w:r w:rsidRPr="00E00F13">
        <w:rPr>
          <w:rFonts w:ascii="Arial" w:hAnsi="Arial" w:cs="Arial"/>
          <w:sz w:val="24"/>
          <w:szCs w:val="24"/>
          <w:lang w:val="es-ES"/>
        </w:rPr>
        <w:t>En los contratos de adhesión, cualquier cláusula que genere un desequilibrio injustificado en perjuicio del consumidor es ineficaz de pleno derecho</w:t>
      </w:r>
      <w:r w:rsidR="00152D19" w:rsidRPr="00E00F13">
        <w:rPr>
          <w:rFonts w:ascii="Arial" w:hAnsi="Arial" w:cs="Arial"/>
          <w:sz w:val="24"/>
          <w:szCs w:val="24"/>
          <w:lang w:val="es-ES"/>
        </w:rPr>
        <w:t xml:space="preserve"> (MVCT, 15 de enero de 2026).</w:t>
      </w:r>
    </w:p>
    <w:p w14:paraId="7CD72C30" w14:textId="77777777" w:rsidR="00E0228B" w:rsidRPr="00E00F13" w:rsidRDefault="00E0228B" w:rsidP="001A1AC8">
      <w:pPr>
        <w:spacing w:after="0" w:line="360" w:lineRule="auto"/>
        <w:jc w:val="both"/>
        <w:rPr>
          <w:rFonts w:ascii="Arial" w:hAnsi="Arial" w:cs="Arial"/>
          <w:sz w:val="24"/>
          <w:szCs w:val="24"/>
        </w:rPr>
      </w:pPr>
    </w:p>
    <w:p w14:paraId="4FCAAC52" w14:textId="45C74CDC" w:rsidR="004623AA" w:rsidRPr="00E00F13" w:rsidRDefault="007659DB" w:rsidP="004623AA">
      <w:pPr>
        <w:spacing w:after="0" w:line="360" w:lineRule="auto"/>
        <w:jc w:val="both"/>
        <w:rPr>
          <w:rFonts w:ascii="Arial" w:hAnsi="Arial" w:cs="Arial"/>
          <w:sz w:val="24"/>
          <w:szCs w:val="24"/>
        </w:rPr>
      </w:pPr>
      <w:r w:rsidRPr="00E00F13">
        <w:rPr>
          <w:rFonts w:ascii="Arial" w:hAnsi="Arial" w:cs="Arial"/>
          <w:sz w:val="24"/>
          <w:szCs w:val="24"/>
        </w:rPr>
        <w:t>Por otro lado, en</w:t>
      </w:r>
      <w:r w:rsidR="004623AA" w:rsidRPr="00E00F13">
        <w:rPr>
          <w:rFonts w:ascii="Arial" w:hAnsi="Arial" w:cs="Arial"/>
          <w:sz w:val="24"/>
          <w:szCs w:val="24"/>
        </w:rPr>
        <w:t xml:space="preserve"> el ámbito estructural, la contracción del mercado y las nuevas dinámicas sociales responden a tendencias que trascienden las fronteras nacionales. La mención a la dependencia de choques externos confirma que la caída en ventas e iniciaciones es, en parte, un efecto colateral de la desaceleración </w:t>
      </w:r>
      <w:r w:rsidR="004623AA" w:rsidRPr="00E00F13">
        <w:rPr>
          <w:rFonts w:ascii="Arial" w:hAnsi="Arial" w:cs="Arial"/>
          <w:sz w:val="24"/>
          <w:szCs w:val="24"/>
        </w:rPr>
        <w:lastRenderedPageBreak/>
        <w:t>económica mundial. A esto se suma el hallazgo demográfico remarcado por Camacol sobre la reducción de la natalidad y el auge de hogares unipersonales en Colombia, que son la manifestación local de la Segunda Transición Demográfica que vive gran parte de Occidente, obligando al sector a adaptar su oferta a patrones de habitar globales que ya no giran exclusivamente en torno a la familia tradicional numerosa.</w:t>
      </w:r>
    </w:p>
    <w:p w14:paraId="630D9A17" w14:textId="77777777" w:rsidR="003F26BE" w:rsidRPr="00E00F13" w:rsidRDefault="003F26BE" w:rsidP="003F26BE">
      <w:pPr>
        <w:spacing w:after="0" w:line="360" w:lineRule="auto"/>
        <w:jc w:val="both"/>
        <w:rPr>
          <w:rFonts w:ascii="Arial" w:hAnsi="Arial" w:cs="Arial"/>
          <w:sz w:val="24"/>
          <w:szCs w:val="24"/>
        </w:rPr>
      </w:pPr>
    </w:p>
    <w:p w14:paraId="218E47BE" w14:textId="7ECC569A" w:rsidR="003F26BE" w:rsidRPr="00E00F13" w:rsidRDefault="00B47D36" w:rsidP="003F26BE">
      <w:pPr>
        <w:spacing w:after="0" w:line="360" w:lineRule="auto"/>
        <w:jc w:val="both"/>
        <w:rPr>
          <w:rFonts w:ascii="Arial" w:hAnsi="Arial" w:cs="Arial"/>
          <w:sz w:val="24"/>
          <w:szCs w:val="24"/>
        </w:rPr>
      </w:pPr>
      <w:r w:rsidRPr="00E00F13">
        <w:rPr>
          <w:rFonts w:ascii="Arial" w:hAnsi="Arial" w:cs="Arial"/>
          <w:sz w:val="24"/>
          <w:szCs w:val="24"/>
        </w:rPr>
        <w:t>Para actores</w:t>
      </w:r>
      <w:r w:rsidR="00C10E71" w:rsidRPr="00E00F13">
        <w:rPr>
          <w:rFonts w:ascii="Arial" w:hAnsi="Arial" w:cs="Arial"/>
          <w:sz w:val="24"/>
          <w:szCs w:val="24"/>
        </w:rPr>
        <w:t xml:space="preserve"> privados </w:t>
      </w:r>
      <w:r w:rsidR="003F26BE" w:rsidRPr="00E00F13">
        <w:rPr>
          <w:rFonts w:ascii="Arial" w:hAnsi="Arial" w:cs="Arial"/>
          <w:sz w:val="24"/>
          <w:szCs w:val="24"/>
        </w:rPr>
        <w:t>lo que desmontó el gobierno progresista fue el programa de vivienda social</w:t>
      </w:r>
      <w:r w:rsidRPr="00E00F13">
        <w:rPr>
          <w:rFonts w:ascii="Arial" w:hAnsi="Arial" w:cs="Arial"/>
          <w:sz w:val="24"/>
          <w:szCs w:val="24"/>
        </w:rPr>
        <w:t>. No obstante,</w:t>
      </w:r>
      <w:r w:rsidR="003F26BE" w:rsidRPr="00E00F13">
        <w:rPr>
          <w:rFonts w:ascii="Arial" w:hAnsi="Arial" w:cs="Arial"/>
          <w:sz w:val="24"/>
          <w:szCs w:val="24"/>
        </w:rPr>
        <w:t xml:space="preserve"> </w:t>
      </w:r>
      <w:r w:rsidR="009B5799" w:rsidRPr="00E00F13">
        <w:rPr>
          <w:rFonts w:ascii="Arial" w:hAnsi="Arial" w:cs="Arial"/>
          <w:sz w:val="24"/>
          <w:szCs w:val="24"/>
        </w:rPr>
        <w:t xml:space="preserve">se ratifica que </w:t>
      </w:r>
      <w:r w:rsidRPr="00E00F13">
        <w:rPr>
          <w:rFonts w:ascii="Arial" w:hAnsi="Arial" w:cs="Arial"/>
          <w:sz w:val="24"/>
          <w:szCs w:val="24"/>
        </w:rPr>
        <w:t>el cambio de paradigma lo que plantea es</w:t>
      </w:r>
      <w:r w:rsidR="003F26BE" w:rsidRPr="00E00F13">
        <w:rPr>
          <w:rFonts w:ascii="Arial" w:hAnsi="Arial" w:cs="Arial"/>
          <w:sz w:val="24"/>
          <w:szCs w:val="24"/>
        </w:rPr>
        <w:t xml:space="preserve"> una forma </w:t>
      </w:r>
      <w:r w:rsidRPr="00E00F13">
        <w:rPr>
          <w:rFonts w:ascii="Arial" w:hAnsi="Arial" w:cs="Arial"/>
          <w:sz w:val="24"/>
          <w:szCs w:val="24"/>
        </w:rPr>
        <w:t xml:space="preserve">diferente </w:t>
      </w:r>
      <w:r w:rsidR="003F26BE" w:rsidRPr="00E00F13">
        <w:rPr>
          <w:rFonts w:ascii="Arial" w:hAnsi="Arial" w:cs="Arial"/>
          <w:sz w:val="24"/>
          <w:szCs w:val="24"/>
        </w:rPr>
        <w:t>de operarlo</w:t>
      </w:r>
      <w:r w:rsidRPr="00E00F13">
        <w:rPr>
          <w:rFonts w:ascii="Arial" w:hAnsi="Arial" w:cs="Arial"/>
          <w:sz w:val="24"/>
          <w:szCs w:val="24"/>
        </w:rPr>
        <w:t xml:space="preserve">, sustituyendo la visión del Programa </w:t>
      </w:r>
      <w:r w:rsidR="003F26BE" w:rsidRPr="00E00F13">
        <w:rPr>
          <w:rFonts w:ascii="Arial" w:hAnsi="Arial" w:cs="Arial"/>
          <w:sz w:val="24"/>
          <w:szCs w:val="24"/>
        </w:rPr>
        <w:t>Mi Casa Ya</w:t>
      </w:r>
      <w:r w:rsidRPr="00E00F13">
        <w:rPr>
          <w:rFonts w:ascii="Arial" w:hAnsi="Arial" w:cs="Arial"/>
          <w:sz w:val="24"/>
          <w:szCs w:val="24"/>
        </w:rPr>
        <w:t xml:space="preserve"> por la </w:t>
      </w:r>
      <w:r w:rsidR="003F26BE" w:rsidRPr="00E00F13">
        <w:rPr>
          <w:rFonts w:ascii="Arial" w:hAnsi="Arial" w:cs="Arial"/>
          <w:sz w:val="24"/>
          <w:szCs w:val="24"/>
        </w:rPr>
        <w:t>autogesti</w:t>
      </w:r>
      <w:r w:rsidRPr="00E00F13">
        <w:rPr>
          <w:rFonts w:ascii="Arial" w:hAnsi="Arial" w:cs="Arial"/>
          <w:sz w:val="24"/>
          <w:szCs w:val="24"/>
        </w:rPr>
        <w:t>ó</w:t>
      </w:r>
      <w:r w:rsidR="003F26BE" w:rsidRPr="00E00F13">
        <w:rPr>
          <w:rFonts w:ascii="Arial" w:hAnsi="Arial" w:cs="Arial"/>
          <w:sz w:val="24"/>
          <w:szCs w:val="24"/>
        </w:rPr>
        <w:t>n</w:t>
      </w:r>
      <w:r w:rsidRPr="00E00F13">
        <w:rPr>
          <w:rFonts w:ascii="Arial" w:hAnsi="Arial" w:cs="Arial"/>
          <w:sz w:val="24"/>
          <w:szCs w:val="24"/>
        </w:rPr>
        <w:t>, en el marco del Decreto 585 de 2025</w:t>
      </w:r>
      <w:r w:rsidR="003F26BE" w:rsidRPr="00E00F13">
        <w:rPr>
          <w:rFonts w:ascii="Arial" w:hAnsi="Arial" w:cs="Arial"/>
          <w:sz w:val="24"/>
          <w:szCs w:val="24"/>
        </w:rPr>
        <w:t>. En esta nueva forma de operación quien participa es la organización social</w:t>
      </w:r>
      <w:r w:rsidRPr="00E00F13">
        <w:rPr>
          <w:rFonts w:ascii="Arial" w:hAnsi="Arial" w:cs="Arial"/>
          <w:sz w:val="24"/>
          <w:szCs w:val="24"/>
        </w:rPr>
        <w:t>,</w:t>
      </w:r>
      <w:r w:rsidR="003F26BE" w:rsidRPr="00E00F13">
        <w:rPr>
          <w:rFonts w:ascii="Arial" w:hAnsi="Arial" w:cs="Arial"/>
          <w:sz w:val="24"/>
          <w:szCs w:val="24"/>
        </w:rPr>
        <w:t xml:space="preserve"> y las relaciones </w:t>
      </w:r>
      <w:r w:rsidRPr="00E00F13">
        <w:rPr>
          <w:rFonts w:ascii="Arial" w:hAnsi="Arial" w:cs="Arial"/>
          <w:sz w:val="24"/>
          <w:szCs w:val="24"/>
        </w:rPr>
        <w:t xml:space="preserve">del MVCT </w:t>
      </w:r>
      <w:r w:rsidR="003F26BE" w:rsidRPr="00E00F13">
        <w:rPr>
          <w:rFonts w:ascii="Arial" w:hAnsi="Arial" w:cs="Arial"/>
          <w:sz w:val="24"/>
          <w:szCs w:val="24"/>
        </w:rPr>
        <w:t xml:space="preserve">se establecen con las organizaciones directamente. </w:t>
      </w:r>
    </w:p>
    <w:p w14:paraId="64A91DD8" w14:textId="77777777" w:rsidR="00C10E71" w:rsidRPr="00E00F13" w:rsidRDefault="00C10E71" w:rsidP="003F26BE">
      <w:pPr>
        <w:spacing w:after="0" w:line="360" w:lineRule="auto"/>
        <w:jc w:val="both"/>
        <w:rPr>
          <w:rFonts w:ascii="Arial" w:hAnsi="Arial" w:cs="Arial"/>
          <w:sz w:val="24"/>
          <w:szCs w:val="24"/>
        </w:rPr>
      </w:pPr>
    </w:p>
    <w:p w14:paraId="3B148512" w14:textId="561F3088" w:rsidR="00C10E71" w:rsidRPr="00E00F13" w:rsidRDefault="00C10E71" w:rsidP="003F26BE">
      <w:pPr>
        <w:spacing w:after="0" w:line="360" w:lineRule="auto"/>
        <w:jc w:val="both"/>
        <w:rPr>
          <w:rFonts w:ascii="Arial" w:hAnsi="Arial" w:cs="Arial"/>
          <w:sz w:val="24"/>
          <w:szCs w:val="24"/>
          <w:lang w:val="es-ES"/>
        </w:rPr>
      </w:pPr>
      <w:r w:rsidRPr="00E00F13">
        <w:rPr>
          <w:rFonts w:ascii="Helvetica" w:hAnsi="Helvetica" w:cs="Helvetica"/>
          <w:sz w:val="24"/>
          <w:szCs w:val="24"/>
          <w:lang w:val="es-ES_tradnl"/>
        </w:rPr>
        <w:t>El Programa Mi Casa Ya, si bien es funcional y representa una línea importante de subsidio, no puede ser la única, toda vez que no está destinada a las clases menos favorecidas, sino a las que logren reunir unas características sociales de necesidades al tiempo que puedan tener un cierre financiero, es decir, que tengan capacidad de pago y vida crediticia. El programa de subsidios de vivienda debe estar encaminado a diversificar las líneas de intervención a población con capacidad de pago, como otrora Mi Casa Ya, y a las clases menos favorecidas. Debe propender por diferentes clases de subsidios en el marco de diferentes propuestas de acuerdo con el déficit cualitativo y cuantitativo</w:t>
      </w:r>
      <w:r w:rsidRPr="00E00F13">
        <w:rPr>
          <w:rFonts w:ascii="Helvetica" w:hAnsi="Helvetica" w:cs="Helvetica"/>
          <w:sz w:val="24"/>
          <w:szCs w:val="24"/>
          <w:lang w:val="es-ES"/>
        </w:rPr>
        <w:t xml:space="preserve">; </w:t>
      </w:r>
      <w:r w:rsidRPr="00E00F13">
        <w:rPr>
          <w:rFonts w:ascii="Helvetica" w:hAnsi="Helvetica" w:cs="Helvetica"/>
          <w:sz w:val="24"/>
          <w:szCs w:val="24"/>
          <w:lang w:val="es-ES_tradnl"/>
        </w:rPr>
        <w:t>pero, también, a las condiciones socioeconómicas. El Gobierno del Cambio comprendió la problemática e inició la transición en el país.</w:t>
      </w:r>
    </w:p>
    <w:p w14:paraId="6A630163" w14:textId="77777777" w:rsidR="003F26BE" w:rsidRPr="00E00F13" w:rsidRDefault="003F26BE" w:rsidP="003F26BE">
      <w:pPr>
        <w:spacing w:after="0" w:line="360" w:lineRule="auto"/>
        <w:jc w:val="both"/>
        <w:rPr>
          <w:rFonts w:ascii="Arial" w:hAnsi="Arial" w:cs="Arial"/>
          <w:sz w:val="24"/>
          <w:szCs w:val="24"/>
        </w:rPr>
      </w:pPr>
    </w:p>
    <w:p w14:paraId="3927D772" w14:textId="3BB33D1A" w:rsidR="001E1876" w:rsidRPr="00E00F13" w:rsidRDefault="003F26BE" w:rsidP="003F26BE">
      <w:pPr>
        <w:spacing w:after="0" w:line="360" w:lineRule="auto"/>
        <w:jc w:val="both"/>
        <w:rPr>
          <w:rFonts w:ascii="Arial" w:hAnsi="Arial" w:cs="Arial"/>
          <w:sz w:val="24"/>
          <w:szCs w:val="24"/>
        </w:rPr>
      </w:pPr>
      <w:r w:rsidRPr="00E00F13">
        <w:rPr>
          <w:rFonts w:ascii="Arial" w:hAnsi="Arial" w:cs="Arial"/>
          <w:sz w:val="24"/>
          <w:szCs w:val="24"/>
        </w:rPr>
        <w:t xml:space="preserve">El problema de la acción pública del sector vivienda consiste en que ha sido concebida como unidad habitacional aislada, como mercancía, guiada y mediada por la </w:t>
      </w:r>
      <w:proofErr w:type="spellStart"/>
      <w:r w:rsidRPr="00E00F13">
        <w:rPr>
          <w:rFonts w:ascii="Arial" w:hAnsi="Arial" w:cs="Arial"/>
          <w:sz w:val="24"/>
          <w:szCs w:val="24"/>
        </w:rPr>
        <w:t>financiarización</w:t>
      </w:r>
      <w:proofErr w:type="spellEnd"/>
      <w:r w:rsidRPr="00E00F13">
        <w:rPr>
          <w:rFonts w:ascii="Arial" w:hAnsi="Arial" w:cs="Arial"/>
          <w:sz w:val="24"/>
          <w:szCs w:val="24"/>
        </w:rPr>
        <w:t xml:space="preserve"> y el subsidio. Esta concepción ha sido sostenida tanto por el modelo económico y de ocupación del territorio como por</w:t>
      </w:r>
      <w:r w:rsidR="00C10E71" w:rsidRPr="00E00F13">
        <w:rPr>
          <w:rFonts w:ascii="Arial" w:hAnsi="Arial" w:cs="Arial"/>
          <w:sz w:val="24"/>
          <w:szCs w:val="24"/>
        </w:rPr>
        <w:t xml:space="preserve"> actores d</w:t>
      </w:r>
      <w:r w:rsidRPr="00E00F13">
        <w:rPr>
          <w:rFonts w:ascii="Arial" w:hAnsi="Arial" w:cs="Arial"/>
          <w:sz w:val="24"/>
          <w:szCs w:val="24"/>
        </w:rPr>
        <w:t xml:space="preserve">el conflicto armado interno y sus dinámicas de reconfiguración violenta de los territorios. Y </w:t>
      </w:r>
      <w:r w:rsidRPr="00E00F13">
        <w:rPr>
          <w:rFonts w:ascii="Arial" w:hAnsi="Arial" w:cs="Arial"/>
          <w:sz w:val="24"/>
          <w:szCs w:val="24"/>
        </w:rPr>
        <w:lastRenderedPageBreak/>
        <w:t>sustentada en la carencia de una institucionalidad diseñada para asumir cambios profundos acordes con las realidades del país. Estos cuatro factores –el conflicto armado, el modelo económico, el tipo de institucionalidad y la vivienda como mercancía</w:t>
      </w:r>
      <w:r w:rsidR="00C10E71" w:rsidRPr="00E00F13">
        <w:rPr>
          <w:rFonts w:ascii="Arial" w:hAnsi="Arial" w:cs="Arial"/>
          <w:sz w:val="24"/>
          <w:szCs w:val="24"/>
        </w:rPr>
        <w:t xml:space="preserve"> (en contravía con lo señalado por ON</w:t>
      </w:r>
      <w:r w:rsidR="001E1876" w:rsidRPr="00E00F13">
        <w:rPr>
          <w:rFonts w:ascii="Arial" w:hAnsi="Arial" w:cs="Arial"/>
          <w:sz w:val="24"/>
          <w:szCs w:val="24"/>
        </w:rPr>
        <w:t>U</w:t>
      </w:r>
      <w:r w:rsidR="00C10E71" w:rsidRPr="00E00F13">
        <w:rPr>
          <w:rFonts w:ascii="Arial" w:hAnsi="Arial" w:cs="Arial"/>
          <w:sz w:val="24"/>
          <w:szCs w:val="24"/>
        </w:rPr>
        <w:t xml:space="preserve"> Hábitat y la vivienda como un derecho)</w:t>
      </w:r>
      <w:r w:rsidRPr="00E00F13">
        <w:rPr>
          <w:rFonts w:ascii="Arial" w:hAnsi="Arial" w:cs="Arial"/>
          <w:sz w:val="24"/>
          <w:szCs w:val="24"/>
        </w:rPr>
        <w:t xml:space="preserve">– han sido determinantes en la configuración de las problemáticas asociadas al ordenamiento territorial, al hábitat y a la vivienda en Colombia. </w:t>
      </w:r>
    </w:p>
    <w:p w14:paraId="748F483F" w14:textId="77777777" w:rsidR="00E25F75" w:rsidRPr="00E00F13" w:rsidRDefault="00E25F75" w:rsidP="003F26BE">
      <w:pPr>
        <w:spacing w:after="0" w:line="360" w:lineRule="auto"/>
        <w:jc w:val="both"/>
        <w:rPr>
          <w:rFonts w:ascii="Arial" w:hAnsi="Arial" w:cs="Arial"/>
          <w:sz w:val="24"/>
          <w:szCs w:val="24"/>
        </w:rPr>
      </w:pPr>
    </w:p>
    <w:p w14:paraId="6E3097E0" w14:textId="4161BA18" w:rsidR="00B61692" w:rsidRPr="00E00F13" w:rsidRDefault="00E25F75" w:rsidP="00C3412E">
      <w:pPr>
        <w:pStyle w:val="Ttulo2"/>
        <w:rPr>
          <w:rStyle w:val="Ttulo2Car"/>
          <w:color w:val="auto"/>
          <w:sz w:val="24"/>
          <w:szCs w:val="24"/>
        </w:rPr>
      </w:pPr>
      <w:bookmarkStart w:id="26" w:name="_Toc213341842"/>
      <w:bookmarkStart w:id="27" w:name="_Hlk212631424"/>
      <w:bookmarkStart w:id="28" w:name="_Hlk214099489"/>
      <w:bookmarkStart w:id="29" w:name="_Toc234242777"/>
      <w:r w:rsidRPr="00E00F13">
        <w:rPr>
          <w:color w:val="auto"/>
        </w:rPr>
        <w:t xml:space="preserve">1.2. </w:t>
      </w:r>
      <w:bookmarkEnd w:id="26"/>
      <w:bookmarkEnd w:id="27"/>
      <w:r w:rsidR="00D57124" w:rsidRPr="00E00F13">
        <w:rPr>
          <w:rStyle w:val="Ttulo2Car"/>
          <w:color w:val="auto"/>
          <w:sz w:val="24"/>
          <w:szCs w:val="24"/>
        </w:rPr>
        <w:t>P</w:t>
      </w:r>
      <w:r w:rsidR="00B61692" w:rsidRPr="00E00F13">
        <w:rPr>
          <w:rStyle w:val="Ttulo2Car"/>
          <w:color w:val="auto"/>
          <w:sz w:val="24"/>
          <w:szCs w:val="24"/>
        </w:rPr>
        <w:t>roblemas de enfoque</w:t>
      </w:r>
      <w:r w:rsidR="003301D3" w:rsidRPr="00E00F13">
        <w:rPr>
          <w:rStyle w:val="Ttulo2Car"/>
          <w:color w:val="auto"/>
          <w:sz w:val="24"/>
          <w:szCs w:val="24"/>
        </w:rPr>
        <w:t>, estructurales</w:t>
      </w:r>
      <w:r w:rsidR="00D57124" w:rsidRPr="00E00F13">
        <w:rPr>
          <w:rStyle w:val="Ttulo2Car"/>
          <w:color w:val="auto"/>
          <w:sz w:val="24"/>
          <w:szCs w:val="24"/>
        </w:rPr>
        <w:t>,</w:t>
      </w:r>
      <w:r w:rsidR="003301D3" w:rsidRPr="00E00F13">
        <w:rPr>
          <w:rStyle w:val="Ttulo2Car"/>
          <w:color w:val="auto"/>
          <w:sz w:val="24"/>
          <w:szCs w:val="24"/>
        </w:rPr>
        <w:t xml:space="preserve"> técnicos</w:t>
      </w:r>
      <w:r w:rsidR="00D57124" w:rsidRPr="00E00F13">
        <w:rPr>
          <w:rStyle w:val="Ttulo2Car"/>
          <w:color w:val="auto"/>
          <w:sz w:val="24"/>
          <w:szCs w:val="24"/>
        </w:rPr>
        <w:t xml:space="preserve"> e institucionales en materia de agua</w:t>
      </w:r>
      <w:r w:rsidR="0098561D" w:rsidRPr="00E00F13">
        <w:rPr>
          <w:rStyle w:val="Ttulo2Car"/>
          <w:color w:val="auto"/>
          <w:sz w:val="24"/>
          <w:szCs w:val="24"/>
        </w:rPr>
        <w:t xml:space="preserve"> para el consumo humano</w:t>
      </w:r>
      <w:r w:rsidR="00D57124" w:rsidRPr="00E00F13">
        <w:rPr>
          <w:rStyle w:val="Ttulo2Car"/>
          <w:color w:val="auto"/>
          <w:sz w:val="24"/>
          <w:szCs w:val="24"/>
        </w:rPr>
        <w:t xml:space="preserve"> y saneamiento básico</w:t>
      </w:r>
      <w:bookmarkEnd w:id="29"/>
      <w:r w:rsidR="00F2767E" w:rsidRPr="00E00F13">
        <w:rPr>
          <w:rStyle w:val="Ttulo2Car"/>
          <w:color w:val="auto"/>
          <w:sz w:val="24"/>
          <w:szCs w:val="24"/>
        </w:rPr>
        <w:t xml:space="preserve"> </w:t>
      </w:r>
      <w:bookmarkEnd w:id="28"/>
    </w:p>
    <w:p w14:paraId="782B2386" w14:textId="676B4FF1" w:rsidR="003301D3" w:rsidRPr="00E00F13" w:rsidRDefault="003301D3" w:rsidP="003301D3">
      <w:pPr>
        <w:spacing w:after="0" w:line="360" w:lineRule="auto"/>
        <w:jc w:val="both"/>
        <w:rPr>
          <w:rFonts w:ascii="Arial" w:eastAsia="Times New Roman" w:hAnsi="Arial" w:cs="Arial"/>
          <w:sz w:val="24"/>
          <w:szCs w:val="24"/>
          <w:lang w:eastAsia="es-CO"/>
        </w:rPr>
      </w:pPr>
      <w:r w:rsidRPr="00E00F13">
        <w:rPr>
          <w:rFonts w:ascii="Arial" w:eastAsia="Times New Roman" w:hAnsi="Arial" w:cs="Arial"/>
          <w:sz w:val="24"/>
          <w:szCs w:val="24"/>
          <w:lang w:eastAsia="es-CO"/>
        </w:rPr>
        <w:t xml:space="preserve">Colombia </w:t>
      </w:r>
      <w:r w:rsidR="00D57124" w:rsidRPr="00E00F13">
        <w:rPr>
          <w:rFonts w:ascii="Arial" w:eastAsia="Times New Roman" w:hAnsi="Arial" w:cs="Arial"/>
          <w:sz w:val="24"/>
          <w:szCs w:val="24"/>
          <w:lang w:eastAsia="es-CO"/>
        </w:rPr>
        <w:t>ha tenido</w:t>
      </w:r>
      <w:r w:rsidRPr="00E00F13">
        <w:rPr>
          <w:rFonts w:ascii="Arial" w:eastAsia="Times New Roman" w:hAnsi="Arial" w:cs="Arial"/>
          <w:sz w:val="24"/>
          <w:szCs w:val="24"/>
          <w:lang w:eastAsia="es-CO"/>
        </w:rPr>
        <w:t xml:space="preserve"> grandes y persistentes retos para garantizar el acceso a agua apta para consumo humano y el saneamiento básico, en especial en la ruralidad, donde la brecha en calidad y continuidad del servicio sigue siendo profunda. Aunque la Constitución Política de Colombia y la Ley 142 de 1994 establecen las obligaciones del Estado —en sus niveles nacional, estadal y municipal— en materia de agua potable y saneamiento básico, estas responsabilidades no han logrado soluciones efectivas y equitativas para todos los territorios.</w:t>
      </w:r>
    </w:p>
    <w:p w14:paraId="29FECEF5" w14:textId="77777777" w:rsidR="003301D3" w:rsidRPr="00E00F13" w:rsidRDefault="003301D3" w:rsidP="003301D3">
      <w:pPr>
        <w:spacing w:after="0" w:line="360" w:lineRule="auto"/>
        <w:jc w:val="both"/>
        <w:rPr>
          <w:rFonts w:ascii="Arial" w:eastAsia="Times New Roman" w:hAnsi="Arial" w:cs="Arial"/>
          <w:sz w:val="24"/>
          <w:szCs w:val="24"/>
          <w:lang w:eastAsia="es-CO"/>
        </w:rPr>
      </w:pPr>
    </w:p>
    <w:p w14:paraId="2F564979" w14:textId="0EB2D188" w:rsidR="003301D3" w:rsidRPr="00E00F13" w:rsidRDefault="003301D3" w:rsidP="003301D3">
      <w:pPr>
        <w:spacing w:after="0" w:line="360" w:lineRule="auto"/>
        <w:jc w:val="both"/>
        <w:rPr>
          <w:rFonts w:ascii="Arial" w:eastAsia="Times New Roman" w:hAnsi="Arial" w:cs="Arial"/>
          <w:sz w:val="24"/>
          <w:szCs w:val="24"/>
          <w:lang w:eastAsia="es-CO"/>
        </w:rPr>
      </w:pPr>
      <w:r w:rsidRPr="00E00F13">
        <w:rPr>
          <w:rFonts w:ascii="Arial" w:eastAsia="Times New Roman" w:hAnsi="Arial" w:cs="Arial"/>
          <w:sz w:val="24"/>
          <w:szCs w:val="24"/>
          <w:lang w:eastAsia="es-CO"/>
        </w:rPr>
        <w:t>A pesar de que el marco normativo incorpora el acceso al agua en escuelas, centros de salud y otros sitios de interés sanitario, alrededor de un millón</w:t>
      </w:r>
      <w:r w:rsidRPr="00E00F13">
        <w:rPr>
          <w:rFonts w:ascii="Arial" w:eastAsia="Times New Roman" w:hAnsi="Arial" w:cs="Arial"/>
          <w:b/>
          <w:bCs/>
          <w:sz w:val="24"/>
          <w:szCs w:val="24"/>
          <w:lang w:eastAsia="es-CO"/>
        </w:rPr>
        <w:t xml:space="preserve"> </w:t>
      </w:r>
      <w:r w:rsidRPr="00E00F13">
        <w:rPr>
          <w:rFonts w:ascii="Arial" w:eastAsia="Times New Roman" w:hAnsi="Arial" w:cs="Arial"/>
          <w:sz w:val="24"/>
          <w:szCs w:val="24"/>
          <w:lang w:eastAsia="es-CO"/>
        </w:rPr>
        <w:t xml:space="preserve">de personas, en su mayoría población rural, carece de cobertura y calidad. Esta situación se agrava en un país donde «(…) el 77% de la población se concentra en el área urbana y el 23% restante en el área rural» </w:t>
      </w:r>
      <w:bookmarkStart w:id="30" w:name="_Hlk216276458"/>
      <w:r w:rsidRPr="00E00F13">
        <w:rPr>
          <w:rFonts w:ascii="Arial" w:eastAsia="Times New Roman" w:hAnsi="Arial" w:cs="Arial"/>
          <w:sz w:val="24"/>
          <w:szCs w:val="24"/>
          <w:lang w:eastAsia="es-CO"/>
        </w:rPr>
        <w:t>(DANE, 2023, p. 15), que representan más del 80% del territorio nacional</w:t>
      </w:r>
      <w:r w:rsidR="00905526" w:rsidRPr="00E00F13">
        <w:rPr>
          <w:rFonts w:ascii="Arial" w:eastAsia="Times New Roman" w:hAnsi="Arial" w:cs="Arial"/>
          <w:sz w:val="24"/>
          <w:szCs w:val="24"/>
          <w:lang w:eastAsia="es-CO"/>
        </w:rPr>
        <w:t>.</w:t>
      </w:r>
    </w:p>
    <w:p w14:paraId="1C4D70D7" w14:textId="77777777" w:rsidR="003301D3" w:rsidRPr="00E00F13" w:rsidRDefault="003301D3" w:rsidP="003301D3">
      <w:pPr>
        <w:spacing w:after="0" w:line="360" w:lineRule="auto"/>
        <w:jc w:val="both"/>
        <w:rPr>
          <w:rFonts w:ascii="Arial" w:eastAsia="Times New Roman" w:hAnsi="Arial" w:cs="Arial"/>
          <w:sz w:val="24"/>
          <w:szCs w:val="24"/>
          <w:lang w:eastAsia="es-CO"/>
        </w:rPr>
      </w:pPr>
    </w:p>
    <w:bookmarkEnd w:id="30"/>
    <w:p w14:paraId="61EE9F53" w14:textId="77777777" w:rsidR="003301D3" w:rsidRPr="00E00F13" w:rsidRDefault="003301D3" w:rsidP="003301D3">
      <w:pPr>
        <w:spacing w:after="0" w:line="360" w:lineRule="auto"/>
        <w:jc w:val="both"/>
        <w:rPr>
          <w:rFonts w:ascii="Arial" w:eastAsia="Times New Roman" w:hAnsi="Arial" w:cs="Arial"/>
          <w:sz w:val="24"/>
          <w:szCs w:val="24"/>
          <w:lang w:eastAsia="es-CO"/>
        </w:rPr>
      </w:pPr>
      <w:r w:rsidRPr="00E00F13">
        <w:rPr>
          <w:rFonts w:ascii="Arial" w:eastAsia="Times New Roman" w:hAnsi="Arial" w:cs="Arial"/>
          <w:sz w:val="24"/>
          <w:szCs w:val="24"/>
          <w:lang w:eastAsia="es-CO"/>
        </w:rPr>
        <w:t>En áreas urbanas, aunque existen avances, persisten déficits importantes en barrios de origen informal y en sectores con altos niveles de marginalidad. La respuesta del Estado ha sido más efectiva en zonas urbanas densamente pobladas porque representan mayor interés para las empresas prestadoras de servicios públicos. Sin embargo, incluso en estos territorios, la calidad del agua disponible puede ser inferior a los estándares exigidos, lo que demuestra que el problema es más crítico precisamente donde habitan las poblaciones con mayores desigualdades.</w:t>
      </w:r>
    </w:p>
    <w:p w14:paraId="1A632E56" w14:textId="77777777" w:rsidR="003301D3" w:rsidRPr="00E00F13" w:rsidRDefault="003301D3" w:rsidP="003301D3">
      <w:pPr>
        <w:spacing w:after="0" w:line="360" w:lineRule="auto"/>
        <w:jc w:val="both"/>
        <w:rPr>
          <w:rFonts w:ascii="Arial" w:eastAsia="Times New Roman" w:hAnsi="Arial" w:cs="Arial"/>
          <w:sz w:val="24"/>
          <w:szCs w:val="24"/>
          <w:lang w:eastAsia="es-CO"/>
        </w:rPr>
      </w:pPr>
    </w:p>
    <w:p w14:paraId="528D1275" w14:textId="49766ADF" w:rsidR="00DA7106" w:rsidRPr="00E00F13" w:rsidRDefault="00392087" w:rsidP="00392087">
      <w:pPr>
        <w:spacing w:after="0" w:line="360" w:lineRule="auto"/>
        <w:jc w:val="both"/>
        <w:rPr>
          <w:rFonts w:ascii="Arial" w:hAnsi="Arial" w:cs="Arial"/>
          <w:sz w:val="24"/>
          <w:szCs w:val="24"/>
        </w:rPr>
      </w:pPr>
      <w:r w:rsidRPr="00E00F13">
        <w:rPr>
          <w:rFonts w:ascii="Arial" w:hAnsi="Arial" w:cs="Arial"/>
          <w:sz w:val="24"/>
          <w:szCs w:val="24"/>
        </w:rPr>
        <w:lastRenderedPageBreak/>
        <w:t xml:space="preserve">Con las soluciones no convencionales el MVCT logró llegar a la ruralidad y, de ella, a la parte más dispersa. Esta estrategia </w:t>
      </w:r>
      <w:r w:rsidR="003301D3" w:rsidRPr="00E00F13">
        <w:rPr>
          <w:rFonts w:ascii="Arial" w:hAnsi="Arial" w:cs="Arial"/>
          <w:sz w:val="24"/>
          <w:szCs w:val="24"/>
        </w:rPr>
        <w:t>tiene</w:t>
      </w:r>
      <w:r w:rsidRPr="00E00F13">
        <w:rPr>
          <w:rFonts w:ascii="Arial" w:hAnsi="Arial" w:cs="Arial"/>
          <w:sz w:val="24"/>
          <w:szCs w:val="24"/>
        </w:rPr>
        <w:t xml:space="preserve"> </w:t>
      </w:r>
      <w:r w:rsidR="003301D3" w:rsidRPr="00E00F13">
        <w:rPr>
          <w:rFonts w:ascii="Arial" w:hAnsi="Arial" w:cs="Arial"/>
          <w:sz w:val="24"/>
          <w:szCs w:val="24"/>
        </w:rPr>
        <w:t>como</w:t>
      </w:r>
      <w:r w:rsidRPr="00E00F13">
        <w:rPr>
          <w:rFonts w:ascii="Arial" w:hAnsi="Arial" w:cs="Arial"/>
          <w:sz w:val="24"/>
          <w:szCs w:val="24"/>
        </w:rPr>
        <w:t xml:space="preserve"> propósito acceder con mayor probabilidad a la ruralidad dispersa; algo que no estaba en la visión de un modelo focalizado en las zonas urbanas y cerca de las grandes ciudades. </w:t>
      </w:r>
    </w:p>
    <w:p w14:paraId="292349E0" w14:textId="77777777" w:rsidR="002E0A52" w:rsidRPr="00E00F13" w:rsidRDefault="002E0A52" w:rsidP="002E0A52">
      <w:pPr>
        <w:spacing w:after="0" w:line="360" w:lineRule="auto"/>
        <w:jc w:val="both"/>
        <w:rPr>
          <w:rFonts w:ascii="Arial" w:eastAsia="Times New Roman" w:hAnsi="Arial" w:cs="Arial"/>
          <w:sz w:val="24"/>
          <w:szCs w:val="24"/>
          <w:lang w:eastAsia="es-CO"/>
        </w:rPr>
      </w:pPr>
    </w:p>
    <w:p w14:paraId="49D5DD08" w14:textId="27993784" w:rsidR="002E0A52" w:rsidRPr="00E00F13" w:rsidRDefault="0098561D" w:rsidP="002E0A52">
      <w:pPr>
        <w:pStyle w:val="Ttulo3"/>
        <w:rPr>
          <w:color w:val="auto"/>
        </w:rPr>
      </w:pPr>
      <w:bookmarkStart w:id="31" w:name="_Toc234242778"/>
      <w:r w:rsidRPr="00E00F13">
        <w:rPr>
          <w:color w:val="auto"/>
        </w:rPr>
        <w:t xml:space="preserve">1.2.1. </w:t>
      </w:r>
      <w:r w:rsidR="002E0A52" w:rsidRPr="00E00F13">
        <w:rPr>
          <w:color w:val="auto"/>
        </w:rPr>
        <w:t>El enfoque: causas estructurales de la desigualdad</w:t>
      </w:r>
      <w:bookmarkEnd w:id="31"/>
    </w:p>
    <w:p w14:paraId="2C8D60C3" w14:textId="77777777" w:rsidR="002E0A52" w:rsidRPr="00E00F13" w:rsidRDefault="002E0A52" w:rsidP="002E0A52">
      <w:pPr>
        <w:spacing w:after="0" w:line="360" w:lineRule="auto"/>
        <w:jc w:val="both"/>
        <w:rPr>
          <w:rFonts w:ascii="Arial" w:eastAsia="Times New Roman" w:hAnsi="Arial" w:cs="Arial"/>
          <w:sz w:val="24"/>
          <w:szCs w:val="24"/>
          <w:lang w:eastAsia="es-CO"/>
        </w:rPr>
      </w:pPr>
      <w:r w:rsidRPr="00E00F13">
        <w:rPr>
          <w:rFonts w:ascii="Arial" w:eastAsia="Times New Roman" w:hAnsi="Arial" w:cs="Arial"/>
          <w:sz w:val="24"/>
          <w:szCs w:val="24"/>
          <w:lang w:eastAsia="es-CO"/>
        </w:rPr>
        <w:t>Uno de los principales problemas ha sido la forma en que se han distribuido históricamente los recursos públicos para agua y saneamiento. La focalización ha privilegiado a las grandes ciudades bajo el criterio de que más población justifica mayores subsidios. Este enfoque ha generado una marginalización sistemática de los territorios pequeños, que quedan relegados en las políticas del Estado, a pesar de concentrar a los grupos poblacionales más vulnerables.</w:t>
      </w:r>
    </w:p>
    <w:p w14:paraId="46C5DF0C" w14:textId="77777777" w:rsidR="002E0A52" w:rsidRPr="00E00F13" w:rsidRDefault="002E0A52" w:rsidP="002E0A52">
      <w:pPr>
        <w:spacing w:after="0" w:line="360" w:lineRule="auto"/>
        <w:jc w:val="both"/>
        <w:rPr>
          <w:rFonts w:ascii="Arial" w:eastAsia="Times New Roman" w:hAnsi="Arial" w:cs="Arial"/>
          <w:sz w:val="24"/>
          <w:szCs w:val="24"/>
          <w:lang w:eastAsia="es-CO"/>
        </w:rPr>
      </w:pPr>
    </w:p>
    <w:p w14:paraId="300AB0C4" w14:textId="77777777" w:rsidR="002E0A52" w:rsidRPr="00E00F13" w:rsidRDefault="002E0A52" w:rsidP="002E0A52">
      <w:pPr>
        <w:spacing w:after="0" w:line="360" w:lineRule="auto"/>
        <w:jc w:val="both"/>
        <w:rPr>
          <w:rFonts w:ascii="Arial" w:eastAsia="Times New Roman" w:hAnsi="Arial" w:cs="Arial"/>
          <w:sz w:val="24"/>
          <w:szCs w:val="24"/>
          <w:lang w:eastAsia="es-CO"/>
        </w:rPr>
      </w:pPr>
      <w:r w:rsidRPr="00E00F13">
        <w:rPr>
          <w:rFonts w:ascii="Arial" w:eastAsia="Times New Roman" w:hAnsi="Arial" w:cs="Arial"/>
          <w:sz w:val="24"/>
          <w:szCs w:val="24"/>
          <w:lang w:eastAsia="es-CO"/>
        </w:rPr>
        <w:t>Otro criterio problemático ha sido la tendencia a premiar la capacidad institucional, lo que ha excluido a municipios con limitaciones técnicas y operativas. Estos municipios son generalmente los más pequeños y con personas con menor formación o herramientas administrativas insuficientes, por lo que quedan fuera del acceso prioritario a los recursos, reproduciendo así las brechas en la prestación del servicio.</w:t>
      </w:r>
    </w:p>
    <w:p w14:paraId="252C2E24" w14:textId="77777777" w:rsidR="002E0A52" w:rsidRPr="00E00F13" w:rsidRDefault="002E0A52" w:rsidP="002E0A52">
      <w:pPr>
        <w:spacing w:after="0" w:line="360" w:lineRule="auto"/>
        <w:jc w:val="both"/>
        <w:rPr>
          <w:rFonts w:ascii="Arial" w:eastAsia="Times New Roman" w:hAnsi="Arial" w:cs="Arial"/>
          <w:sz w:val="24"/>
          <w:szCs w:val="24"/>
          <w:lang w:eastAsia="es-CO"/>
        </w:rPr>
      </w:pPr>
    </w:p>
    <w:p w14:paraId="2AF2D3E0" w14:textId="77777777" w:rsidR="002E0A52" w:rsidRPr="00E00F13" w:rsidRDefault="002E0A52" w:rsidP="002E0A52">
      <w:pPr>
        <w:spacing w:after="0" w:line="360" w:lineRule="auto"/>
        <w:jc w:val="both"/>
        <w:rPr>
          <w:rFonts w:ascii="Arial" w:eastAsia="Times New Roman" w:hAnsi="Arial" w:cs="Arial"/>
          <w:sz w:val="24"/>
          <w:szCs w:val="24"/>
          <w:lang w:eastAsia="es-CO"/>
        </w:rPr>
      </w:pPr>
      <w:r w:rsidRPr="00E00F13">
        <w:rPr>
          <w:rFonts w:ascii="Arial" w:eastAsia="Times New Roman" w:hAnsi="Arial" w:cs="Arial"/>
          <w:sz w:val="24"/>
          <w:szCs w:val="24"/>
          <w:lang w:eastAsia="es-CO"/>
        </w:rPr>
        <w:t>En este contexto, apoyar desde el sector al cierre de brechas en la ruralidad ha estado en concordancia con la transformación estructural del enfoque que ha estado vigente por años. Por ello, se ha impulsado un proyecto de ley de competencias que busca modificar los criterios de distribución para orientar los recursos hacia municipios pequeños, poblaciones vulnerables y territorios históricamente rezagados.</w:t>
      </w:r>
    </w:p>
    <w:p w14:paraId="40B70613" w14:textId="77777777" w:rsidR="002E0A52" w:rsidRPr="00E00F13" w:rsidRDefault="002E0A52" w:rsidP="002E0A52">
      <w:pPr>
        <w:pStyle w:val="TDC3"/>
        <w:tabs>
          <w:tab w:val="right" w:leader="dot" w:pos="8828"/>
        </w:tabs>
        <w:spacing w:after="0" w:line="360" w:lineRule="auto"/>
        <w:ind w:left="0"/>
        <w:rPr>
          <w:rFonts w:ascii="Arial" w:eastAsiaTheme="minorEastAsia" w:hAnsi="Arial" w:cs="Arial"/>
          <w:noProof/>
          <w:sz w:val="24"/>
          <w:szCs w:val="24"/>
          <w:lang w:eastAsia="es-CO"/>
        </w:rPr>
      </w:pPr>
    </w:p>
    <w:p w14:paraId="4870EE9A" w14:textId="33DD294F" w:rsidR="002E0A52" w:rsidRPr="00E00F13" w:rsidRDefault="00D46270" w:rsidP="002E0A52">
      <w:pPr>
        <w:pStyle w:val="Ttulo3"/>
        <w:spacing w:before="0" w:line="360" w:lineRule="auto"/>
        <w:rPr>
          <w:color w:val="auto"/>
        </w:rPr>
      </w:pPr>
      <w:r w:rsidRPr="00E00F13">
        <w:rPr>
          <w:color w:val="auto"/>
        </w:rPr>
        <w:tab/>
      </w:r>
      <w:bookmarkStart w:id="32" w:name="_Toc234242779"/>
      <w:r w:rsidR="002E0A52" w:rsidRPr="00E00F13">
        <w:rPr>
          <w:color w:val="auto"/>
        </w:rPr>
        <w:t>Problemas estructurales</w:t>
      </w:r>
      <w:bookmarkEnd w:id="32"/>
    </w:p>
    <w:p w14:paraId="2F7E72C5" w14:textId="77777777" w:rsidR="002E0A52" w:rsidRPr="00E00F13" w:rsidRDefault="002E0A52" w:rsidP="002E0A52">
      <w:pPr>
        <w:spacing w:after="0" w:line="360" w:lineRule="auto"/>
        <w:jc w:val="both"/>
        <w:rPr>
          <w:rFonts w:ascii="Arial" w:hAnsi="Arial" w:cs="Arial"/>
          <w:sz w:val="24"/>
          <w:szCs w:val="24"/>
        </w:rPr>
      </w:pPr>
      <w:r w:rsidRPr="00E00F13">
        <w:rPr>
          <w:rFonts w:ascii="Arial" w:hAnsi="Arial" w:cs="Arial"/>
          <w:sz w:val="24"/>
          <w:szCs w:val="24"/>
        </w:rPr>
        <w:t>Sobre agua y saneamiento básico se han identificado problemas estructurales como los siguientes, entre otros:</w:t>
      </w:r>
    </w:p>
    <w:p w14:paraId="67E4AFD3" w14:textId="77777777" w:rsidR="00D16C47" w:rsidRPr="00E00F13" w:rsidRDefault="00D16C47" w:rsidP="002E0A52">
      <w:pPr>
        <w:spacing w:after="0" w:line="360" w:lineRule="auto"/>
        <w:jc w:val="both"/>
        <w:rPr>
          <w:rFonts w:ascii="Arial" w:hAnsi="Arial" w:cs="Arial"/>
          <w:sz w:val="24"/>
          <w:szCs w:val="24"/>
        </w:rPr>
      </w:pPr>
    </w:p>
    <w:p w14:paraId="70A2D1DB" w14:textId="099265C1" w:rsidR="00D16C47" w:rsidRPr="00E00F13" w:rsidRDefault="00D16C47" w:rsidP="00D16C47">
      <w:pPr>
        <w:spacing w:after="0" w:line="360" w:lineRule="auto"/>
        <w:jc w:val="both"/>
        <w:rPr>
          <w:rFonts w:ascii="Arial" w:hAnsi="Arial" w:cs="Arial"/>
          <w:b/>
          <w:bCs/>
          <w:i/>
          <w:iCs/>
          <w:sz w:val="24"/>
          <w:szCs w:val="24"/>
        </w:rPr>
      </w:pPr>
      <w:r w:rsidRPr="00E00F13">
        <w:rPr>
          <w:rFonts w:ascii="Arial" w:hAnsi="Arial" w:cs="Arial"/>
          <w:b/>
          <w:bCs/>
          <w:i/>
          <w:iCs/>
          <w:sz w:val="24"/>
          <w:szCs w:val="24"/>
        </w:rPr>
        <w:lastRenderedPageBreak/>
        <w:t>El no apego al reconocimiento del agua como derecho humano y bien común</w:t>
      </w:r>
    </w:p>
    <w:p w14:paraId="0FE057DC" w14:textId="677A2191" w:rsidR="00D16C47" w:rsidRPr="00E00F13" w:rsidRDefault="00D16C47" w:rsidP="00D16C47">
      <w:pPr>
        <w:spacing w:after="0" w:line="360" w:lineRule="auto"/>
        <w:jc w:val="both"/>
        <w:rPr>
          <w:rFonts w:ascii="Arial" w:hAnsi="Arial" w:cs="Arial"/>
          <w:sz w:val="24"/>
          <w:szCs w:val="24"/>
        </w:rPr>
      </w:pPr>
      <w:r w:rsidRPr="00E00F13">
        <w:rPr>
          <w:rFonts w:ascii="Arial" w:hAnsi="Arial" w:cs="Arial"/>
          <w:sz w:val="24"/>
          <w:szCs w:val="24"/>
        </w:rPr>
        <w:t>Persiste la visión del agua como un bien del mercado. Por ello, el MVCT ha hecho énfasis en los aspectos clave sobre el agua como derecho, como:</w:t>
      </w:r>
    </w:p>
    <w:p w14:paraId="2C975CBA" w14:textId="721C767C" w:rsidR="00D16C47" w:rsidRPr="00E00F13" w:rsidRDefault="00D16C47">
      <w:pPr>
        <w:pStyle w:val="Prrafodelista"/>
        <w:numPr>
          <w:ilvl w:val="0"/>
          <w:numId w:val="47"/>
        </w:numPr>
        <w:spacing w:after="0" w:line="360" w:lineRule="auto"/>
        <w:jc w:val="both"/>
        <w:rPr>
          <w:rFonts w:ascii="Arial" w:hAnsi="Arial" w:cs="Arial"/>
          <w:sz w:val="24"/>
          <w:szCs w:val="24"/>
        </w:rPr>
      </w:pPr>
      <w:r w:rsidRPr="00E00F13">
        <w:rPr>
          <w:rFonts w:ascii="Arial" w:hAnsi="Arial" w:cs="Arial"/>
          <w:sz w:val="24"/>
          <w:szCs w:val="24"/>
        </w:rPr>
        <w:t>El reconocimiento que hizo la ONU el 28 de julio de 2010, cuando la Asamblea General reconoció explícitamente el derecho al agua potable y al saneamiento como esencial.</w:t>
      </w:r>
    </w:p>
    <w:p w14:paraId="45CD2230" w14:textId="57023187" w:rsidR="00D16C47" w:rsidRPr="00E00F13" w:rsidRDefault="00D16C47">
      <w:pPr>
        <w:pStyle w:val="Prrafodelista"/>
        <w:numPr>
          <w:ilvl w:val="0"/>
          <w:numId w:val="47"/>
        </w:numPr>
        <w:spacing w:after="0" w:line="360" w:lineRule="auto"/>
        <w:jc w:val="both"/>
        <w:rPr>
          <w:rFonts w:ascii="Arial" w:hAnsi="Arial" w:cs="Arial"/>
          <w:sz w:val="24"/>
          <w:szCs w:val="24"/>
        </w:rPr>
      </w:pPr>
      <w:r w:rsidRPr="00E00F13">
        <w:rPr>
          <w:rFonts w:ascii="Arial" w:hAnsi="Arial" w:cs="Arial"/>
          <w:sz w:val="24"/>
          <w:szCs w:val="24"/>
        </w:rPr>
        <w:t>Un bien común, ya que se considera un recurso compartido vital, esencial no solo para los humanos, sino para el funcionamiento de los ecosistemas.</w:t>
      </w:r>
    </w:p>
    <w:p w14:paraId="69A56460" w14:textId="3E9EFC9A" w:rsidR="00D16C47" w:rsidRPr="00E00F13" w:rsidRDefault="00D16C47">
      <w:pPr>
        <w:pStyle w:val="Prrafodelista"/>
        <w:numPr>
          <w:ilvl w:val="0"/>
          <w:numId w:val="47"/>
        </w:numPr>
        <w:spacing w:after="0" w:line="360" w:lineRule="auto"/>
        <w:jc w:val="both"/>
        <w:rPr>
          <w:rFonts w:ascii="Arial" w:hAnsi="Arial" w:cs="Arial"/>
          <w:sz w:val="24"/>
          <w:szCs w:val="24"/>
        </w:rPr>
      </w:pPr>
      <w:r w:rsidRPr="00E00F13">
        <w:rPr>
          <w:rFonts w:ascii="Arial" w:hAnsi="Arial" w:cs="Arial"/>
          <w:sz w:val="24"/>
          <w:szCs w:val="24"/>
        </w:rPr>
        <w:t>Un derecho fundamental, vinculado indisolublemente con el derecho a la vida, la salud y la dignidad, siendo una necesidad básica para la existencia.</w:t>
      </w:r>
    </w:p>
    <w:p w14:paraId="23C00351" w14:textId="77777777" w:rsidR="00D16C47" w:rsidRPr="00E00F13" w:rsidRDefault="00D16C47">
      <w:pPr>
        <w:pStyle w:val="Prrafodelista"/>
        <w:numPr>
          <w:ilvl w:val="0"/>
          <w:numId w:val="47"/>
        </w:numPr>
        <w:spacing w:after="0" w:line="360" w:lineRule="auto"/>
        <w:jc w:val="both"/>
        <w:rPr>
          <w:rFonts w:ascii="Arial" w:hAnsi="Arial" w:cs="Arial"/>
          <w:sz w:val="24"/>
          <w:szCs w:val="24"/>
        </w:rPr>
      </w:pPr>
      <w:r w:rsidRPr="00E00F13">
        <w:rPr>
          <w:rFonts w:ascii="Arial" w:hAnsi="Arial" w:cs="Arial"/>
          <w:sz w:val="24"/>
          <w:szCs w:val="24"/>
        </w:rPr>
        <w:t>Componentes del derecho, ya que el acceso al agua debe ser suficiente, seguro, aceptable, accesible y asequible.</w:t>
      </w:r>
    </w:p>
    <w:p w14:paraId="2C2285EF" w14:textId="49107A08" w:rsidR="00D16C47" w:rsidRPr="00E00F13" w:rsidRDefault="00D16C47">
      <w:pPr>
        <w:pStyle w:val="Prrafodelista"/>
        <w:numPr>
          <w:ilvl w:val="0"/>
          <w:numId w:val="47"/>
        </w:numPr>
        <w:spacing w:after="0" w:line="360" w:lineRule="auto"/>
        <w:jc w:val="both"/>
        <w:rPr>
          <w:rFonts w:ascii="Arial" w:hAnsi="Arial" w:cs="Arial"/>
          <w:sz w:val="24"/>
          <w:szCs w:val="24"/>
        </w:rPr>
      </w:pPr>
      <w:r w:rsidRPr="00E00F13">
        <w:rPr>
          <w:rFonts w:ascii="Arial" w:hAnsi="Arial" w:cs="Arial"/>
          <w:sz w:val="24"/>
          <w:szCs w:val="24"/>
        </w:rPr>
        <w:t>Como parte de la gestión pública, debido a su escasez y valor debe ser tratada como un bien público o común, no como una mercancía, para asegurar su acceso a toda la población.</w:t>
      </w:r>
    </w:p>
    <w:p w14:paraId="2105CDD4" w14:textId="77777777" w:rsidR="002E0A52" w:rsidRPr="00E00F13" w:rsidRDefault="002E0A52" w:rsidP="002E0A52">
      <w:pPr>
        <w:spacing w:after="0" w:line="360" w:lineRule="auto"/>
        <w:jc w:val="both"/>
        <w:rPr>
          <w:rFonts w:ascii="Arial" w:hAnsi="Arial" w:cs="Arial"/>
          <w:i/>
          <w:iCs/>
          <w:sz w:val="24"/>
          <w:szCs w:val="24"/>
        </w:rPr>
      </w:pPr>
    </w:p>
    <w:p w14:paraId="76B604D2" w14:textId="77777777" w:rsidR="002E0A52" w:rsidRPr="00E00F13" w:rsidRDefault="002E0A52" w:rsidP="002E0A52">
      <w:pPr>
        <w:spacing w:after="0" w:line="360" w:lineRule="auto"/>
        <w:jc w:val="both"/>
        <w:rPr>
          <w:rFonts w:ascii="Arial" w:hAnsi="Arial" w:cs="Arial"/>
          <w:b/>
          <w:bCs/>
          <w:i/>
          <w:iCs/>
          <w:sz w:val="24"/>
          <w:szCs w:val="24"/>
        </w:rPr>
      </w:pPr>
      <w:r w:rsidRPr="00E00F13">
        <w:rPr>
          <w:rFonts w:ascii="Arial" w:hAnsi="Arial" w:cs="Arial"/>
          <w:b/>
          <w:bCs/>
          <w:i/>
          <w:iCs/>
          <w:sz w:val="24"/>
          <w:szCs w:val="24"/>
        </w:rPr>
        <w:t>Brechas rurales profundas en calidad, continuidad y acceso</w:t>
      </w:r>
    </w:p>
    <w:p w14:paraId="19E853E8" w14:textId="77777777" w:rsidR="00D8506B" w:rsidRPr="00E00F13" w:rsidRDefault="00D8506B" w:rsidP="00D8506B">
      <w:pPr>
        <w:spacing w:after="0" w:line="360" w:lineRule="auto"/>
        <w:jc w:val="both"/>
        <w:rPr>
          <w:rFonts w:ascii="Arial" w:hAnsi="Arial" w:cs="Arial"/>
          <w:sz w:val="24"/>
          <w:szCs w:val="24"/>
        </w:rPr>
      </w:pPr>
      <w:r w:rsidRPr="00E00F13">
        <w:rPr>
          <w:rFonts w:ascii="Arial" w:hAnsi="Arial" w:cs="Arial"/>
          <w:sz w:val="24"/>
          <w:szCs w:val="24"/>
        </w:rPr>
        <w:t>El acceso al agua apta para consumo humano continúa siendo uno de los principales indicadores de desigualdad en Colombia. A pesar de la existencia de un marco constitucional y legal robusto —que reconoce el carácter esencial del agua y define responsabilidades claras para los distintos niveles del Estado—, las brechas persisten con mayor fuerza en la ruralidad. En estos territorios, donde habita el 24% de la población, cerca de 1.1 millones de personas aún carecen de un servicio continuo y seguro de agua y saneamiento básico.</w:t>
      </w:r>
    </w:p>
    <w:p w14:paraId="2C33E0C4" w14:textId="77777777" w:rsidR="00D8506B" w:rsidRPr="00E00F13" w:rsidRDefault="00D8506B" w:rsidP="002E0A52">
      <w:pPr>
        <w:spacing w:after="0" w:line="360" w:lineRule="auto"/>
        <w:jc w:val="both"/>
        <w:rPr>
          <w:rFonts w:ascii="Arial" w:hAnsi="Arial" w:cs="Arial"/>
          <w:sz w:val="24"/>
          <w:szCs w:val="24"/>
        </w:rPr>
      </w:pPr>
    </w:p>
    <w:p w14:paraId="3FE3DF14" w14:textId="56BA312C" w:rsidR="002E0A52" w:rsidRPr="00E00F13" w:rsidRDefault="002E0A52" w:rsidP="002E0A52">
      <w:pPr>
        <w:spacing w:after="0" w:line="360" w:lineRule="auto"/>
        <w:jc w:val="both"/>
        <w:rPr>
          <w:rFonts w:ascii="Arial" w:hAnsi="Arial" w:cs="Arial"/>
          <w:sz w:val="24"/>
          <w:szCs w:val="24"/>
        </w:rPr>
      </w:pPr>
      <w:r w:rsidRPr="00E00F13">
        <w:rPr>
          <w:rFonts w:ascii="Arial" w:hAnsi="Arial" w:cs="Arial"/>
          <w:sz w:val="24"/>
          <w:szCs w:val="24"/>
        </w:rPr>
        <w:t>La mayor afectación ha sido en municipios rurales y dispersos, como consecuencia de la falta de inversiones focalizadas y</w:t>
      </w:r>
      <w:r w:rsidR="00D8506B" w:rsidRPr="00E00F13">
        <w:rPr>
          <w:rFonts w:ascii="Arial" w:hAnsi="Arial" w:cs="Arial"/>
          <w:sz w:val="24"/>
          <w:szCs w:val="24"/>
        </w:rPr>
        <w:t xml:space="preserve"> la ausencia</w:t>
      </w:r>
      <w:r w:rsidRPr="00E00F13">
        <w:rPr>
          <w:rFonts w:ascii="Arial" w:hAnsi="Arial" w:cs="Arial"/>
          <w:sz w:val="24"/>
          <w:szCs w:val="24"/>
        </w:rPr>
        <w:t xml:space="preserve"> de modelos de gestión diferentes a los convencionales, cuyo énfasis esté en la incorporación de las comunidades organizadas para garantizar mejor acceso y continuidad del servicio.</w:t>
      </w:r>
    </w:p>
    <w:p w14:paraId="3FFD5980" w14:textId="77777777" w:rsidR="00D8506B" w:rsidRPr="00E00F13" w:rsidRDefault="00D8506B" w:rsidP="002E0A52">
      <w:pPr>
        <w:spacing w:after="0" w:line="360" w:lineRule="auto"/>
        <w:jc w:val="both"/>
        <w:rPr>
          <w:rFonts w:ascii="Arial" w:hAnsi="Arial" w:cs="Arial"/>
          <w:sz w:val="24"/>
          <w:szCs w:val="24"/>
        </w:rPr>
      </w:pPr>
    </w:p>
    <w:p w14:paraId="04FA51ED" w14:textId="77777777" w:rsidR="00D8506B" w:rsidRPr="00E00F13" w:rsidRDefault="00D8506B" w:rsidP="00D8506B">
      <w:pPr>
        <w:spacing w:after="0" w:line="360" w:lineRule="auto"/>
        <w:jc w:val="both"/>
        <w:rPr>
          <w:rFonts w:ascii="Arial" w:hAnsi="Arial" w:cs="Arial"/>
          <w:sz w:val="24"/>
          <w:szCs w:val="24"/>
        </w:rPr>
      </w:pPr>
      <w:r w:rsidRPr="00E00F13">
        <w:rPr>
          <w:rFonts w:ascii="Arial" w:hAnsi="Arial" w:cs="Arial"/>
          <w:sz w:val="24"/>
          <w:szCs w:val="24"/>
        </w:rPr>
        <w:lastRenderedPageBreak/>
        <w:t>Las brechas tampoco son inexistentes en lo urbano: los barrios de origen informal, las periferias metropolitanas y los asentamientos con alta marginalidad enfrentan déficit en acceso, calidad y continuidad. Sin embargo, el Estado ha logrado desarrollar, con el paso de los años, respuestas más estables para las zonas urbanas que presentan grandes concentraciones de población, lo cual las hace más atractivas para la inversión pública y privada en la prestación del servicio. En contraste, en las zonas rurales dispersas —donde el retorno financiero es bajo y las dificultades técnicas son mayores— la respuesta ha sido históricamente fragmentada, insuficiente y tardía.</w:t>
      </w:r>
    </w:p>
    <w:p w14:paraId="23F1E699" w14:textId="77777777" w:rsidR="002E0A52" w:rsidRPr="00E00F13" w:rsidRDefault="002E0A52" w:rsidP="002E0A52">
      <w:pPr>
        <w:spacing w:after="0" w:line="360" w:lineRule="auto"/>
        <w:jc w:val="both"/>
        <w:rPr>
          <w:rFonts w:ascii="Arial" w:hAnsi="Arial" w:cs="Arial"/>
          <w:b/>
          <w:bCs/>
        </w:rPr>
      </w:pPr>
    </w:p>
    <w:p w14:paraId="12283761" w14:textId="77777777" w:rsidR="002E0A52" w:rsidRPr="00E00F13" w:rsidRDefault="002E0A52" w:rsidP="002E0A52">
      <w:pPr>
        <w:spacing w:after="0" w:line="360" w:lineRule="auto"/>
        <w:rPr>
          <w:rFonts w:ascii="Arial" w:hAnsi="Arial" w:cs="Arial"/>
          <w:b/>
          <w:bCs/>
          <w:i/>
          <w:iCs/>
          <w:sz w:val="24"/>
          <w:szCs w:val="24"/>
        </w:rPr>
      </w:pPr>
      <w:r w:rsidRPr="00E00F13">
        <w:rPr>
          <w:rFonts w:ascii="Arial" w:hAnsi="Arial" w:cs="Arial"/>
          <w:b/>
          <w:bCs/>
          <w:i/>
          <w:iCs/>
          <w:sz w:val="24"/>
          <w:szCs w:val="24"/>
        </w:rPr>
        <w:t>Enfoque fragmentado del ciclo del agua</w:t>
      </w:r>
    </w:p>
    <w:p w14:paraId="2BE135C4" w14:textId="5BDD758E" w:rsidR="002E0A52" w:rsidRPr="00E00F13" w:rsidRDefault="002E0A52" w:rsidP="002E0A52">
      <w:pPr>
        <w:spacing w:after="0" w:line="360" w:lineRule="auto"/>
        <w:jc w:val="both"/>
        <w:rPr>
          <w:rFonts w:ascii="Arial" w:hAnsi="Arial" w:cs="Arial"/>
          <w:sz w:val="24"/>
          <w:szCs w:val="24"/>
        </w:rPr>
      </w:pPr>
      <w:r w:rsidRPr="00E00F13">
        <w:rPr>
          <w:rFonts w:ascii="Arial" w:hAnsi="Arial" w:cs="Arial"/>
          <w:sz w:val="24"/>
          <w:szCs w:val="24"/>
        </w:rPr>
        <w:t xml:space="preserve">El agua </w:t>
      </w:r>
      <w:r w:rsidR="00D16C47" w:rsidRPr="00E00F13">
        <w:rPr>
          <w:rFonts w:ascii="Arial" w:hAnsi="Arial" w:cs="Arial"/>
          <w:sz w:val="24"/>
          <w:szCs w:val="24"/>
        </w:rPr>
        <w:t xml:space="preserve">apta </w:t>
      </w:r>
      <w:r w:rsidRPr="00E00F13">
        <w:rPr>
          <w:rFonts w:ascii="Arial" w:hAnsi="Arial" w:cs="Arial"/>
          <w:sz w:val="24"/>
          <w:szCs w:val="24"/>
        </w:rPr>
        <w:t>para el consumo</w:t>
      </w:r>
      <w:r w:rsidR="37552FE7" w:rsidRPr="00E00F13">
        <w:rPr>
          <w:rFonts w:ascii="Arial" w:hAnsi="Arial" w:cs="Arial"/>
          <w:sz w:val="24"/>
          <w:szCs w:val="24"/>
        </w:rPr>
        <w:t xml:space="preserve"> </w:t>
      </w:r>
      <w:r w:rsidRPr="00E00F13">
        <w:rPr>
          <w:rFonts w:ascii="Arial" w:hAnsi="Arial" w:cs="Arial"/>
          <w:sz w:val="24"/>
          <w:szCs w:val="24"/>
        </w:rPr>
        <w:t xml:space="preserve">humano y saneamiento van más allá de la potabilización y de la disposición final de las basuras. El agua tiene un ciclo, que se origina desde las cuencas. El ciclo completo es lo que ha sido incorporado en las políticas y normativas del MVCT. </w:t>
      </w:r>
    </w:p>
    <w:p w14:paraId="79D87C83" w14:textId="77777777" w:rsidR="002E0A52" w:rsidRPr="00E00F13" w:rsidRDefault="002E0A52" w:rsidP="002E0A52">
      <w:pPr>
        <w:spacing w:after="0" w:line="360" w:lineRule="auto"/>
        <w:jc w:val="both"/>
        <w:rPr>
          <w:b/>
          <w:bCs/>
        </w:rPr>
      </w:pPr>
    </w:p>
    <w:p w14:paraId="012DA568" w14:textId="4686917E" w:rsidR="002E0A52" w:rsidRPr="00E00F13" w:rsidRDefault="00D46270" w:rsidP="002E0A52">
      <w:pPr>
        <w:pStyle w:val="Ttulo3"/>
        <w:spacing w:before="0" w:line="360" w:lineRule="auto"/>
        <w:rPr>
          <w:color w:val="auto"/>
        </w:rPr>
      </w:pPr>
      <w:r w:rsidRPr="00E00F13">
        <w:rPr>
          <w:b/>
          <w:bCs/>
          <w:color w:val="auto"/>
        </w:rPr>
        <w:tab/>
      </w:r>
      <w:bookmarkStart w:id="33" w:name="_Toc234242780"/>
      <w:r w:rsidR="002E0A52" w:rsidRPr="00E00F13">
        <w:rPr>
          <w:color w:val="auto"/>
        </w:rPr>
        <w:t>Problemas técnicos</w:t>
      </w:r>
      <w:bookmarkEnd w:id="33"/>
    </w:p>
    <w:p w14:paraId="4F2F24FA" w14:textId="77777777" w:rsidR="002E0A52" w:rsidRPr="00E00F13" w:rsidRDefault="002E0A52" w:rsidP="002E0A52">
      <w:pPr>
        <w:spacing w:after="0" w:line="360" w:lineRule="auto"/>
        <w:jc w:val="both"/>
        <w:rPr>
          <w:rFonts w:ascii="Arial" w:eastAsia="Times New Roman" w:hAnsi="Arial" w:cs="Arial"/>
          <w:sz w:val="24"/>
          <w:szCs w:val="24"/>
          <w:lang w:eastAsia="es-CO"/>
        </w:rPr>
      </w:pPr>
      <w:r w:rsidRPr="00E00F13">
        <w:rPr>
          <w:rFonts w:ascii="Arial" w:eastAsia="Times New Roman" w:hAnsi="Arial" w:cs="Arial"/>
          <w:sz w:val="24"/>
          <w:szCs w:val="24"/>
          <w:lang w:eastAsia="es-CO"/>
        </w:rPr>
        <w:t>A estos desafíos se suman fallas persistentes en los sistemas de reporte y monitoreo, que dificultan la obtención de información precisa y actualizada para la toma de decisiones, limitando la capacidad del Estado para priorizar inversiones y dirigir recursos de manera eficiente.</w:t>
      </w:r>
    </w:p>
    <w:p w14:paraId="5EAA6C60" w14:textId="77777777" w:rsidR="002E0A52" w:rsidRPr="00E00F13" w:rsidRDefault="002E0A52" w:rsidP="002E0A52">
      <w:pPr>
        <w:spacing w:after="0" w:line="360" w:lineRule="auto"/>
        <w:rPr>
          <w:rFonts w:ascii="Times New Roman" w:eastAsia="Times New Roman" w:hAnsi="Times New Roman" w:cs="Times New Roman"/>
          <w:sz w:val="24"/>
          <w:szCs w:val="24"/>
          <w:lang w:eastAsia="es-CO"/>
        </w:rPr>
      </w:pPr>
    </w:p>
    <w:p w14:paraId="4B0C9736" w14:textId="338867CA" w:rsidR="002E0A52" w:rsidRPr="00E00F13" w:rsidRDefault="00D46270" w:rsidP="00D57124">
      <w:pPr>
        <w:pStyle w:val="Ttulo3"/>
        <w:spacing w:before="0" w:line="360" w:lineRule="auto"/>
        <w:rPr>
          <w:color w:val="auto"/>
        </w:rPr>
      </w:pPr>
      <w:r w:rsidRPr="00E00F13">
        <w:rPr>
          <w:color w:val="auto"/>
        </w:rPr>
        <w:tab/>
      </w:r>
      <w:bookmarkStart w:id="34" w:name="_Toc234242781"/>
      <w:r w:rsidR="00D57124" w:rsidRPr="00E00F13">
        <w:rPr>
          <w:color w:val="auto"/>
        </w:rPr>
        <w:t>Problemas por la priorización de la vivienda frente al agua y saneamiento básico</w:t>
      </w:r>
      <w:bookmarkEnd w:id="34"/>
    </w:p>
    <w:p w14:paraId="6E3495C9" w14:textId="77777777" w:rsidR="00DA2B32" w:rsidRPr="00E00F13" w:rsidRDefault="00DA2B32" w:rsidP="00DA2B32">
      <w:pPr>
        <w:spacing w:after="0" w:line="360" w:lineRule="auto"/>
        <w:jc w:val="both"/>
        <w:rPr>
          <w:rFonts w:ascii="Arial" w:hAnsi="Arial" w:cs="Arial"/>
          <w:sz w:val="24"/>
          <w:szCs w:val="24"/>
        </w:rPr>
      </w:pPr>
      <w:r w:rsidRPr="00E00F13">
        <w:rPr>
          <w:rFonts w:ascii="Arial" w:hAnsi="Arial" w:cs="Arial"/>
          <w:sz w:val="24"/>
          <w:szCs w:val="24"/>
        </w:rPr>
        <w:t>El énfasis del MVCT ha estado en la vivienda. El Ministerio heredó un modelo construido durante más de tres décadas centrado en la vivienda nueva como eje casi exclusivo de la política pública. Este énfasis desplazó la noción integral de hábitat y relegó el agua y el saneamiento a un segundo plano.</w:t>
      </w:r>
    </w:p>
    <w:p w14:paraId="72633D5F" w14:textId="77777777" w:rsidR="00DA2B32" w:rsidRPr="00E00F13" w:rsidRDefault="00DA2B32" w:rsidP="00DA2B32">
      <w:pPr>
        <w:spacing w:after="0" w:line="360" w:lineRule="auto"/>
        <w:jc w:val="both"/>
        <w:rPr>
          <w:rFonts w:ascii="Arial" w:hAnsi="Arial" w:cs="Arial"/>
          <w:sz w:val="24"/>
          <w:szCs w:val="24"/>
        </w:rPr>
      </w:pPr>
    </w:p>
    <w:p w14:paraId="6436615E" w14:textId="77777777" w:rsidR="00DA2B32" w:rsidRPr="00E00F13" w:rsidRDefault="00DA2B32" w:rsidP="00DA2B32">
      <w:pPr>
        <w:spacing w:after="0" w:line="360" w:lineRule="auto"/>
        <w:jc w:val="both"/>
        <w:rPr>
          <w:rFonts w:ascii="Arial" w:hAnsi="Arial" w:cs="Arial"/>
          <w:sz w:val="24"/>
          <w:szCs w:val="24"/>
        </w:rPr>
      </w:pPr>
      <w:r w:rsidRPr="00E00F13">
        <w:rPr>
          <w:rFonts w:ascii="Arial" w:hAnsi="Arial" w:cs="Arial"/>
          <w:sz w:val="24"/>
          <w:szCs w:val="24"/>
        </w:rPr>
        <w:t>Este predominio se explica, entre otros, por factores como:</w:t>
      </w:r>
    </w:p>
    <w:p w14:paraId="154236BB" w14:textId="77777777" w:rsidR="00DA2B32" w:rsidRPr="00E00F13" w:rsidRDefault="00DA2B32" w:rsidP="00DA2B32">
      <w:pPr>
        <w:spacing w:after="0" w:line="360" w:lineRule="auto"/>
        <w:jc w:val="both"/>
        <w:rPr>
          <w:rFonts w:ascii="Arial" w:hAnsi="Arial" w:cs="Arial"/>
          <w:b/>
          <w:bCs/>
          <w:sz w:val="24"/>
          <w:szCs w:val="24"/>
        </w:rPr>
      </w:pPr>
    </w:p>
    <w:p w14:paraId="63856E4D" w14:textId="5B16FFCE" w:rsidR="00DA2B32" w:rsidRPr="00E00F13" w:rsidRDefault="00DA2B32" w:rsidP="00CF1ECE">
      <w:pPr>
        <w:spacing w:after="0" w:line="360" w:lineRule="auto"/>
        <w:jc w:val="both"/>
        <w:rPr>
          <w:rFonts w:ascii="Arial" w:hAnsi="Arial" w:cs="Arial"/>
          <w:i/>
          <w:iCs/>
          <w:sz w:val="24"/>
          <w:szCs w:val="24"/>
        </w:rPr>
      </w:pPr>
      <w:r w:rsidRPr="00E00F13">
        <w:rPr>
          <w:rFonts w:ascii="Arial" w:hAnsi="Arial" w:cs="Arial"/>
          <w:b/>
          <w:bCs/>
          <w:i/>
          <w:iCs/>
          <w:sz w:val="24"/>
          <w:szCs w:val="24"/>
        </w:rPr>
        <w:lastRenderedPageBreak/>
        <w:t>Primacía del mercado como rector de la política de vivienda</w:t>
      </w:r>
      <w:r w:rsidR="00D46270" w:rsidRPr="00E00F13">
        <w:rPr>
          <w:rFonts w:ascii="Arial" w:hAnsi="Arial" w:cs="Arial"/>
          <w:i/>
          <w:iCs/>
          <w:sz w:val="24"/>
          <w:szCs w:val="24"/>
        </w:rPr>
        <w:t xml:space="preserve">. </w:t>
      </w:r>
      <w:r w:rsidRPr="00E00F13">
        <w:rPr>
          <w:rFonts w:ascii="Arial" w:hAnsi="Arial" w:cs="Arial"/>
          <w:sz w:val="24"/>
          <w:szCs w:val="24"/>
        </w:rPr>
        <w:t>La</w:t>
      </w:r>
      <w:r w:rsidR="00CF1ECE" w:rsidRPr="00E00F13">
        <w:rPr>
          <w:rFonts w:ascii="Arial" w:hAnsi="Arial" w:cs="Arial"/>
          <w:sz w:val="24"/>
          <w:szCs w:val="24"/>
        </w:rPr>
        <w:t xml:space="preserve"> </w:t>
      </w:r>
      <w:r w:rsidRPr="00E00F13">
        <w:rPr>
          <w:rFonts w:ascii="Arial" w:hAnsi="Arial" w:cs="Arial"/>
          <w:sz w:val="24"/>
          <w:szCs w:val="24"/>
        </w:rPr>
        <w:t>institucionalidad fue configurada bajo la lógica del subsidio individual y del acceso bancario al crédito. En este modelo la familia debía demostrar pobreza</w:t>
      </w:r>
      <w:r w:rsidRPr="00E00F13">
        <w:rPr>
          <w:rFonts w:ascii="Arial" w:hAnsi="Arial" w:cs="Arial"/>
          <w:b/>
          <w:bCs/>
          <w:sz w:val="24"/>
          <w:szCs w:val="24"/>
        </w:rPr>
        <w:t xml:space="preserve"> </w:t>
      </w:r>
      <w:r w:rsidRPr="00E00F13">
        <w:rPr>
          <w:rFonts w:ascii="Arial" w:hAnsi="Arial" w:cs="Arial"/>
          <w:sz w:val="24"/>
          <w:szCs w:val="24"/>
        </w:rPr>
        <w:t>para recibir el subsidio, pero luego debía demostrar estabilidad laboral y capacidad de pago para que un banco le aprobara el crédito.</w:t>
      </w:r>
    </w:p>
    <w:p w14:paraId="10E57EE8" w14:textId="77777777" w:rsidR="00DA2B32" w:rsidRPr="00E00F13" w:rsidRDefault="00DA2B32" w:rsidP="00DA2B32">
      <w:pPr>
        <w:spacing w:after="0" w:line="360" w:lineRule="auto"/>
        <w:jc w:val="both"/>
        <w:rPr>
          <w:rFonts w:ascii="Arial" w:hAnsi="Arial" w:cs="Arial"/>
          <w:sz w:val="24"/>
          <w:szCs w:val="24"/>
        </w:rPr>
      </w:pPr>
    </w:p>
    <w:p w14:paraId="4F423238" w14:textId="757C6BE4" w:rsidR="00DA2B32" w:rsidRPr="00E00F13" w:rsidRDefault="00DA2B32" w:rsidP="00DA2B32">
      <w:pPr>
        <w:spacing w:after="0" w:line="360" w:lineRule="auto"/>
        <w:jc w:val="both"/>
        <w:rPr>
          <w:rFonts w:ascii="Arial" w:hAnsi="Arial" w:cs="Arial"/>
          <w:sz w:val="24"/>
          <w:szCs w:val="24"/>
        </w:rPr>
      </w:pPr>
      <w:r w:rsidRPr="00E00F13">
        <w:rPr>
          <w:rFonts w:ascii="Arial" w:hAnsi="Arial" w:cs="Arial"/>
          <w:sz w:val="24"/>
          <w:szCs w:val="24"/>
        </w:rPr>
        <w:t>Este esquema reforzó la vivienda como producto financiero y subordinó todo lo demás a la lógica del mercado. Pero «todo lo demás» consiste en el agua y saneamiento básico y en el hábitat. La política giró alrededor del subsidio, no alrededor de las personas ni del territorio ni del agua.</w:t>
      </w:r>
      <w:r w:rsidR="00066747" w:rsidRPr="00E00F13">
        <w:rPr>
          <w:rFonts w:ascii="Arial" w:hAnsi="Arial" w:cs="Arial"/>
          <w:sz w:val="24"/>
          <w:szCs w:val="24"/>
        </w:rPr>
        <w:t xml:space="preserve"> </w:t>
      </w:r>
    </w:p>
    <w:p w14:paraId="398D6111" w14:textId="77777777" w:rsidR="00DA2B32" w:rsidRPr="00E00F13" w:rsidRDefault="00DA2B32" w:rsidP="00DA2B32">
      <w:pPr>
        <w:spacing w:after="0" w:line="360" w:lineRule="auto"/>
        <w:jc w:val="both"/>
        <w:rPr>
          <w:rFonts w:ascii="Arial" w:hAnsi="Arial" w:cs="Arial"/>
          <w:sz w:val="24"/>
          <w:szCs w:val="24"/>
        </w:rPr>
      </w:pPr>
    </w:p>
    <w:p w14:paraId="25B5C12A" w14:textId="34D18DE1" w:rsidR="00DA2B32" w:rsidRPr="00E00F13" w:rsidRDefault="00DA2B32" w:rsidP="00D46270">
      <w:pPr>
        <w:spacing w:after="0" w:line="360" w:lineRule="auto"/>
        <w:jc w:val="both"/>
        <w:rPr>
          <w:rFonts w:ascii="Arial" w:hAnsi="Arial" w:cs="Arial"/>
          <w:i/>
          <w:iCs/>
          <w:sz w:val="24"/>
          <w:szCs w:val="24"/>
        </w:rPr>
      </w:pPr>
      <w:r w:rsidRPr="00E00F13">
        <w:rPr>
          <w:rFonts w:ascii="Arial" w:hAnsi="Arial" w:cs="Arial"/>
          <w:b/>
          <w:bCs/>
          <w:i/>
          <w:iCs/>
          <w:sz w:val="24"/>
          <w:szCs w:val="24"/>
        </w:rPr>
        <w:t>Énfasis del sector de la construcción</w:t>
      </w:r>
      <w:r w:rsidR="00D46270" w:rsidRPr="00E00F13">
        <w:rPr>
          <w:rFonts w:ascii="Arial" w:hAnsi="Arial" w:cs="Arial"/>
          <w:b/>
          <w:bCs/>
          <w:i/>
          <w:iCs/>
          <w:sz w:val="24"/>
          <w:szCs w:val="24"/>
        </w:rPr>
        <w:t>.</w:t>
      </w:r>
      <w:r w:rsidR="00D46270" w:rsidRPr="00E00F13">
        <w:rPr>
          <w:rFonts w:ascii="Arial" w:hAnsi="Arial" w:cs="Arial"/>
          <w:i/>
          <w:iCs/>
          <w:sz w:val="24"/>
          <w:szCs w:val="24"/>
        </w:rPr>
        <w:t xml:space="preserve"> </w:t>
      </w:r>
      <w:r w:rsidRPr="00E00F13">
        <w:rPr>
          <w:rFonts w:ascii="Arial" w:hAnsi="Arial" w:cs="Arial"/>
          <w:sz w:val="24"/>
          <w:szCs w:val="24"/>
        </w:rPr>
        <w:t xml:space="preserve">Camacol y los intereses asociados a la producción de vivienda nueva definieron durante décadas los criterios y prioridades de la política pública. La narrativa hegemónica fue </w:t>
      </w:r>
      <w:proofErr w:type="gramStart"/>
      <w:r w:rsidRPr="00E00F13">
        <w:rPr>
          <w:rFonts w:ascii="Arial" w:hAnsi="Arial" w:cs="Arial"/>
          <w:sz w:val="24"/>
          <w:szCs w:val="24"/>
        </w:rPr>
        <w:t>que</w:t>
      </w:r>
      <w:proofErr w:type="gramEnd"/>
      <w:r w:rsidRPr="00E00F13">
        <w:rPr>
          <w:rFonts w:ascii="Arial" w:hAnsi="Arial" w:cs="Arial"/>
          <w:sz w:val="24"/>
          <w:szCs w:val="24"/>
        </w:rPr>
        <w:t xml:space="preserve"> si no hay subsidios, se cae la economía, y que la vivienda nueva es la única forma de cerrar déficit.</w:t>
      </w:r>
    </w:p>
    <w:p w14:paraId="48C03968" w14:textId="77777777" w:rsidR="00DA2B32" w:rsidRPr="00E00F13" w:rsidRDefault="00DA2B32" w:rsidP="00DA2B32">
      <w:pPr>
        <w:spacing w:after="0" w:line="360" w:lineRule="auto"/>
        <w:jc w:val="both"/>
        <w:rPr>
          <w:rFonts w:ascii="Arial" w:hAnsi="Arial" w:cs="Arial"/>
          <w:b/>
          <w:bCs/>
          <w:sz w:val="24"/>
          <w:szCs w:val="24"/>
        </w:rPr>
      </w:pPr>
    </w:p>
    <w:p w14:paraId="116719C2" w14:textId="77777777" w:rsidR="00DA2B32" w:rsidRPr="00E00F13" w:rsidRDefault="00DA2B32" w:rsidP="00DA2B32">
      <w:pPr>
        <w:spacing w:after="0" w:line="360" w:lineRule="auto"/>
        <w:jc w:val="both"/>
        <w:rPr>
          <w:rFonts w:ascii="Arial" w:hAnsi="Arial" w:cs="Arial"/>
          <w:sz w:val="24"/>
          <w:szCs w:val="24"/>
        </w:rPr>
      </w:pPr>
      <w:r w:rsidRPr="00E00F13">
        <w:rPr>
          <w:rFonts w:ascii="Arial" w:hAnsi="Arial" w:cs="Arial"/>
          <w:sz w:val="24"/>
          <w:szCs w:val="24"/>
        </w:rPr>
        <w:t>Esto invisibilizó el mejoramiento, la autogestión y los accesos alternativos al hábitat. También fomentó la idea de que la propiedad privada era la única vía legítima de solución habitacional, desconociendo copropiedades, multifamiliares, arriendo y otras formas de acceso.</w:t>
      </w:r>
    </w:p>
    <w:p w14:paraId="3B53EC30" w14:textId="77777777" w:rsidR="00DA2B32" w:rsidRPr="00E00F13" w:rsidRDefault="00DA2B32" w:rsidP="00DA2B32">
      <w:pPr>
        <w:spacing w:after="0" w:line="360" w:lineRule="auto"/>
        <w:jc w:val="both"/>
        <w:rPr>
          <w:rFonts w:ascii="Arial" w:hAnsi="Arial" w:cs="Arial"/>
          <w:sz w:val="24"/>
          <w:szCs w:val="24"/>
        </w:rPr>
      </w:pPr>
    </w:p>
    <w:p w14:paraId="06A0BD4F" w14:textId="381148DD" w:rsidR="00DA2B32" w:rsidRPr="00E00F13" w:rsidRDefault="00DA2B32" w:rsidP="00035EA9">
      <w:pPr>
        <w:spacing w:after="0" w:line="360" w:lineRule="auto"/>
        <w:jc w:val="both"/>
        <w:rPr>
          <w:rFonts w:ascii="Arial" w:hAnsi="Arial" w:cs="Arial"/>
          <w:i/>
          <w:iCs/>
          <w:sz w:val="24"/>
          <w:szCs w:val="24"/>
        </w:rPr>
      </w:pPr>
      <w:r w:rsidRPr="00E00F13">
        <w:rPr>
          <w:rFonts w:ascii="Arial" w:hAnsi="Arial" w:cs="Arial"/>
          <w:b/>
          <w:bCs/>
          <w:i/>
          <w:iCs/>
          <w:sz w:val="24"/>
          <w:szCs w:val="24"/>
        </w:rPr>
        <w:t>Un rezago estructural en el agua: bajo presupuesto, dispersión de competencias y visión fragmentada</w:t>
      </w:r>
      <w:r w:rsidR="00CF1ECE" w:rsidRPr="00E00F13">
        <w:rPr>
          <w:rFonts w:ascii="Arial" w:hAnsi="Arial" w:cs="Arial"/>
          <w:i/>
          <w:iCs/>
          <w:sz w:val="24"/>
          <w:szCs w:val="24"/>
        </w:rPr>
        <w:t>.</w:t>
      </w:r>
      <w:r w:rsidR="00035EA9" w:rsidRPr="00E00F13">
        <w:rPr>
          <w:rFonts w:ascii="Arial" w:hAnsi="Arial" w:cs="Arial"/>
          <w:i/>
          <w:iCs/>
          <w:sz w:val="24"/>
          <w:szCs w:val="24"/>
        </w:rPr>
        <w:t xml:space="preserve"> </w:t>
      </w:r>
      <w:r w:rsidRPr="00E00F13">
        <w:rPr>
          <w:rFonts w:ascii="Arial" w:hAnsi="Arial" w:cs="Arial"/>
          <w:sz w:val="24"/>
          <w:szCs w:val="24"/>
        </w:rPr>
        <w:t>A diferencia de vivienda —que tenía grandes empresas, presión política y aparato financiero— el agua y el saneamiento básico tuvo históricamente bajo presupuesto, se gestionó con un enfoque «de final de tubo», que consistía principalmente en redes y conexión, y operó bajo una fuerte fragmentación institucional de las entidades con competencias en el sector.</w:t>
      </w:r>
    </w:p>
    <w:p w14:paraId="5F8B3100" w14:textId="77777777" w:rsidR="00DA2B32" w:rsidRPr="00E00F13" w:rsidRDefault="00DA2B32" w:rsidP="00DA2B32">
      <w:pPr>
        <w:spacing w:after="0" w:line="360" w:lineRule="auto"/>
        <w:jc w:val="both"/>
        <w:rPr>
          <w:rFonts w:ascii="Arial" w:hAnsi="Arial" w:cs="Arial"/>
          <w:sz w:val="24"/>
          <w:szCs w:val="24"/>
        </w:rPr>
      </w:pPr>
    </w:p>
    <w:p w14:paraId="79E3BAC4" w14:textId="77777777" w:rsidR="00DA2B32" w:rsidRPr="00E00F13" w:rsidRDefault="00DA2B32" w:rsidP="00DA2B32">
      <w:pPr>
        <w:spacing w:after="0" w:line="360" w:lineRule="auto"/>
        <w:jc w:val="both"/>
        <w:rPr>
          <w:rFonts w:ascii="Arial" w:hAnsi="Arial" w:cs="Arial"/>
          <w:sz w:val="24"/>
          <w:szCs w:val="24"/>
        </w:rPr>
      </w:pPr>
      <w:r w:rsidRPr="00E00F13">
        <w:rPr>
          <w:rFonts w:ascii="Arial" w:hAnsi="Arial" w:cs="Arial"/>
          <w:sz w:val="24"/>
          <w:szCs w:val="24"/>
        </w:rPr>
        <w:t>Esta dispersión restó liderazgo, redujo impacto y permitió que la ruralidad —donde vive el 24% de la población— quedara sistemáticamente rezagada.</w:t>
      </w:r>
    </w:p>
    <w:p w14:paraId="3080F561" w14:textId="77777777" w:rsidR="00DA2B32" w:rsidRPr="00E00F13" w:rsidRDefault="00DA2B32" w:rsidP="00DA2B32">
      <w:pPr>
        <w:rPr>
          <w:rFonts w:ascii="Arial" w:hAnsi="Arial" w:cs="Arial"/>
          <w:sz w:val="24"/>
          <w:szCs w:val="24"/>
        </w:rPr>
      </w:pPr>
    </w:p>
    <w:p w14:paraId="54636DA6" w14:textId="77777777" w:rsidR="00066747" w:rsidRPr="00E00F13" w:rsidRDefault="00066747" w:rsidP="00066747">
      <w:pPr>
        <w:spacing w:after="0" w:line="360" w:lineRule="auto"/>
        <w:jc w:val="both"/>
        <w:rPr>
          <w:rFonts w:ascii="Arial" w:hAnsi="Arial" w:cs="Arial"/>
          <w:sz w:val="24"/>
          <w:szCs w:val="24"/>
        </w:rPr>
      </w:pPr>
      <w:r w:rsidRPr="00E00F13">
        <w:rPr>
          <w:rFonts w:ascii="Arial" w:hAnsi="Arial" w:cs="Arial"/>
          <w:sz w:val="24"/>
          <w:szCs w:val="24"/>
        </w:rPr>
        <w:lastRenderedPageBreak/>
        <w:t>Así, la política pública reproducía un círculo de inequidad: los territorios con menor capacidad no podían acceder a los recursos que los ayudarían a fortalecer esa misma capacidad.</w:t>
      </w:r>
    </w:p>
    <w:p w14:paraId="7383ED1F" w14:textId="77777777" w:rsidR="00066747" w:rsidRPr="00E00F13" w:rsidRDefault="00066747" w:rsidP="00DA2B32">
      <w:pPr>
        <w:spacing w:after="0" w:line="360" w:lineRule="auto"/>
        <w:jc w:val="both"/>
        <w:rPr>
          <w:rFonts w:ascii="Arial" w:hAnsi="Arial" w:cs="Arial"/>
          <w:sz w:val="24"/>
          <w:szCs w:val="24"/>
        </w:rPr>
      </w:pPr>
    </w:p>
    <w:p w14:paraId="5E524D99" w14:textId="5FE1C65E" w:rsidR="00DA2B32" w:rsidRPr="00E00F13" w:rsidRDefault="00DA2B32" w:rsidP="00DA2B32">
      <w:pPr>
        <w:spacing w:after="0" w:line="360" w:lineRule="auto"/>
        <w:jc w:val="both"/>
        <w:rPr>
          <w:rFonts w:ascii="Arial" w:hAnsi="Arial" w:cs="Arial"/>
          <w:sz w:val="24"/>
          <w:szCs w:val="24"/>
        </w:rPr>
      </w:pPr>
      <w:r w:rsidRPr="00E00F13">
        <w:rPr>
          <w:rFonts w:ascii="Arial" w:hAnsi="Arial" w:cs="Arial"/>
          <w:sz w:val="24"/>
          <w:szCs w:val="24"/>
        </w:rPr>
        <w:t xml:space="preserve">Pero, adicional a esto, los proyectos de agua y saneamiento básico requieren un plazo largo para su ejecución. Dadas sus características técnicas y de cobertura y a sus complejidades, su desarrollo consume un tiempo muy amplio, superior al de la construcción y mejoramiento de vivienda. </w:t>
      </w:r>
    </w:p>
    <w:p w14:paraId="1677CBBD" w14:textId="77777777" w:rsidR="00DA2B32" w:rsidRPr="00E00F13" w:rsidRDefault="00DA2B32" w:rsidP="00DA2B32">
      <w:pPr>
        <w:spacing w:after="0" w:line="360" w:lineRule="auto"/>
        <w:jc w:val="both"/>
        <w:rPr>
          <w:rFonts w:ascii="Arial" w:hAnsi="Arial" w:cs="Arial"/>
          <w:sz w:val="24"/>
          <w:szCs w:val="24"/>
        </w:rPr>
      </w:pPr>
    </w:p>
    <w:p w14:paraId="633CD9B1" w14:textId="5E606BC3" w:rsidR="00E25F75" w:rsidRPr="00E00F13" w:rsidRDefault="00DA2B32" w:rsidP="003F26BE">
      <w:pPr>
        <w:spacing w:after="0" w:line="360" w:lineRule="auto"/>
        <w:jc w:val="both"/>
        <w:rPr>
          <w:rFonts w:ascii="Arial" w:hAnsi="Arial" w:cs="Arial"/>
          <w:sz w:val="24"/>
          <w:szCs w:val="24"/>
        </w:rPr>
      </w:pPr>
      <w:r w:rsidRPr="00E00F13">
        <w:rPr>
          <w:rFonts w:ascii="Arial" w:hAnsi="Arial" w:cs="Arial"/>
          <w:sz w:val="24"/>
          <w:szCs w:val="24"/>
        </w:rPr>
        <w:t xml:space="preserve">Estos tiempos largos en el desarrollo del proyecto para que se visibilicen sus impactos generó la idea de que no eran importantes. En el imaginario colectivo se asociaba la inmediatez e importancia de la casa, Mi Casa Ya, pero no del agua y saneamiento básico. Este imaginario fortaleció al sector de la construcción de vivienda nueva. </w:t>
      </w:r>
    </w:p>
    <w:p w14:paraId="3017E5D2" w14:textId="77777777" w:rsidR="00E25F75" w:rsidRPr="00E00F13" w:rsidRDefault="00E25F75" w:rsidP="003F26BE">
      <w:pPr>
        <w:spacing w:after="0" w:line="360" w:lineRule="auto"/>
        <w:jc w:val="both"/>
        <w:rPr>
          <w:rFonts w:ascii="Arial" w:hAnsi="Arial" w:cs="Arial"/>
          <w:sz w:val="24"/>
          <w:szCs w:val="24"/>
        </w:rPr>
      </w:pPr>
    </w:p>
    <w:p w14:paraId="6D516BF0" w14:textId="036ECB2D" w:rsidR="003F26BE" w:rsidRPr="00E00F13" w:rsidRDefault="00D6313C" w:rsidP="00C3412E">
      <w:pPr>
        <w:pStyle w:val="Ttulo2"/>
        <w:rPr>
          <w:color w:val="auto"/>
        </w:rPr>
      </w:pPr>
      <w:bookmarkStart w:id="35" w:name="_Toc234242782"/>
      <w:r w:rsidRPr="00E00F13">
        <w:rPr>
          <w:color w:val="auto"/>
        </w:rPr>
        <w:t>1.</w:t>
      </w:r>
      <w:r w:rsidR="00B61692" w:rsidRPr="00E00F13">
        <w:rPr>
          <w:color w:val="auto"/>
        </w:rPr>
        <w:t>3</w:t>
      </w:r>
      <w:r w:rsidRPr="00E00F13">
        <w:rPr>
          <w:color w:val="auto"/>
        </w:rPr>
        <w:t xml:space="preserve">. </w:t>
      </w:r>
      <w:r w:rsidR="003F26BE" w:rsidRPr="00E00F13">
        <w:rPr>
          <w:color w:val="auto"/>
        </w:rPr>
        <w:t>El conflicto armado</w:t>
      </w:r>
      <w:r w:rsidR="00A618B2" w:rsidRPr="00E00F13">
        <w:rPr>
          <w:color w:val="auto"/>
        </w:rPr>
        <w:t xml:space="preserve"> y la relación entre lo urbano y lo rural</w:t>
      </w:r>
      <w:bookmarkEnd w:id="35"/>
      <w:r w:rsidR="00F46356" w:rsidRPr="00E00F13">
        <w:rPr>
          <w:color w:val="auto"/>
        </w:rPr>
        <w:t xml:space="preserve"> </w:t>
      </w:r>
    </w:p>
    <w:p w14:paraId="04C0DFFF" w14:textId="4AABFDC9" w:rsidR="003F26BE" w:rsidRPr="00E00F13" w:rsidRDefault="00DA44A4" w:rsidP="003F26BE">
      <w:pPr>
        <w:spacing w:after="0" w:line="360" w:lineRule="auto"/>
        <w:jc w:val="both"/>
        <w:rPr>
          <w:rFonts w:ascii="Arial" w:hAnsi="Arial" w:cs="Arial"/>
          <w:sz w:val="24"/>
          <w:szCs w:val="24"/>
        </w:rPr>
      </w:pPr>
      <w:r w:rsidRPr="00E00F13">
        <w:rPr>
          <w:rFonts w:ascii="Arial" w:hAnsi="Arial" w:cs="Arial"/>
          <w:sz w:val="24"/>
          <w:szCs w:val="24"/>
        </w:rPr>
        <w:t>Existe una relación estrecha entre el conflicto armado y la situación de las personas no solo en lo rural, sino también en lo urbano. El conflicto ha creado una dinámica de migración forzada, profundizando la exclusión social y económica en las ciudades, donde la población desplazada del campo a menudo enfrenta pobreza, estigma y precariedad.</w:t>
      </w:r>
    </w:p>
    <w:p w14:paraId="4333F172" w14:textId="3AC26BB2" w:rsidR="005A6ACB" w:rsidRPr="00E00F13" w:rsidRDefault="005A6ACB" w:rsidP="003F26BE">
      <w:pPr>
        <w:spacing w:after="0" w:line="360" w:lineRule="auto"/>
        <w:jc w:val="both"/>
        <w:rPr>
          <w:rFonts w:ascii="Arial" w:hAnsi="Arial" w:cs="Arial"/>
          <w:sz w:val="24"/>
          <w:szCs w:val="24"/>
        </w:rPr>
      </w:pPr>
    </w:p>
    <w:p w14:paraId="4FAA57DE" w14:textId="5B48C5D1" w:rsidR="005A6ACB" w:rsidRPr="00E00F13" w:rsidRDefault="005A6ACB" w:rsidP="005A6ACB">
      <w:pPr>
        <w:spacing w:after="0" w:line="360" w:lineRule="auto"/>
        <w:jc w:val="both"/>
        <w:rPr>
          <w:rFonts w:ascii="Arial" w:hAnsi="Arial" w:cs="Arial"/>
          <w:sz w:val="24"/>
          <w:szCs w:val="24"/>
        </w:rPr>
      </w:pPr>
      <w:r w:rsidRPr="00E00F13">
        <w:rPr>
          <w:rFonts w:ascii="Arial" w:hAnsi="Arial" w:cs="Arial"/>
          <w:sz w:val="24"/>
          <w:szCs w:val="24"/>
        </w:rPr>
        <w:t xml:space="preserve">Con frecuencia se cree que el conflicto solo afectó al ámbito rural. Sin embargo, las ciudades en Colombia han tenido una urbanización forzada, producto del desplazamiento masivo de personas que han huido del campo a las ciudades buscando mejores condiciones o incluso preservar la vida. Esto ha </w:t>
      </w:r>
      <w:r w:rsidR="004F688F" w:rsidRPr="00E00F13">
        <w:rPr>
          <w:rFonts w:ascii="Arial" w:hAnsi="Arial" w:cs="Arial"/>
          <w:sz w:val="24"/>
          <w:szCs w:val="24"/>
        </w:rPr>
        <w:t>producido un sinnúmero de asentamientos informales en las ciudades como refugios y forma de habitar un territorio que para ellos es nuevo. Se ha profundizado así la pobreza en el contexto urbano, con el agravante de su desconexión con posibilidades de empleo, salud, agua potable, vivienda y otros servicios</w:t>
      </w:r>
      <w:r w:rsidRPr="00E00F13">
        <w:rPr>
          <w:rFonts w:ascii="Arial" w:hAnsi="Arial" w:cs="Arial"/>
          <w:sz w:val="24"/>
          <w:szCs w:val="24"/>
        </w:rPr>
        <w:t>.</w:t>
      </w:r>
    </w:p>
    <w:p w14:paraId="5E49C17F" w14:textId="77777777" w:rsidR="00DA44A4" w:rsidRPr="00E00F13" w:rsidRDefault="00DA44A4" w:rsidP="003F26BE">
      <w:pPr>
        <w:spacing w:after="0" w:line="360" w:lineRule="auto"/>
        <w:jc w:val="both"/>
        <w:rPr>
          <w:rFonts w:ascii="Arial" w:hAnsi="Arial" w:cs="Arial"/>
          <w:sz w:val="24"/>
          <w:szCs w:val="24"/>
        </w:rPr>
      </w:pPr>
    </w:p>
    <w:p w14:paraId="21795F25" w14:textId="77777777" w:rsidR="00E00F13" w:rsidRDefault="00DA44A4" w:rsidP="003F26BE">
      <w:pPr>
        <w:spacing w:after="0" w:line="360" w:lineRule="auto"/>
        <w:jc w:val="both"/>
        <w:rPr>
          <w:rFonts w:ascii="Arial" w:hAnsi="Arial" w:cs="Arial"/>
          <w:sz w:val="24"/>
          <w:szCs w:val="24"/>
        </w:rPr>
      </w:pPr>
      <w:r w:rsidRPr="00E00F13">
        <w:rPr>
          <w:rFonts w:ascii="Arial" w:hAnsi="Arial" w:cs="Arial"/>
          <w:sz w:val="24"/>
          <w:szCs w:val="24"/>
        </w:rPr>
        <w:lastRenderedPageBreak/>
        <w:t>U</w:t>
      </w:r>
      <w:r w:rsidR="003F26BE" w:rsidRPr="00E00F13">
        <w:rPr>
          <w:rFonts w:ascii="Arial" w:hAnsi="Arial" w:cs="Arial"/>
          <w:sz w:val="24"/>
          <w:szCs w:val="24"/>
        </w:rPr>
        <w:t>no de los principales rasgos del proceso de ordenamiento territorial colombiano ha sido la «transformación e intervención desordenada de las actividades socioeconómicas» (DNP, 2014). La informalidad en los procesos de ocupación ha estado presente tanto en los territorios rurales como urbanos. En la ruralidad est</w:t>
      </w:r>
      <w:r w:rsidR="008935D0" w:rsidRPr="00E00F13">
        <w:rPr>
          <w:rFonts w:ascii="Arial" w:hAnsi="Arial" w:cs="Arial"/>
          <w:sz w:val="24"/>
          <w:szCs w:val="24"/>
        </w:rPr>
        <w:t>a</w:t>
      </w:r>
      <w:r w:rsidR="003F26BE" w:rsidRPr="00E00F13">
        <w:rPr>
          <w:rFonts w:ascii="Arial" w:hAnsi="Arial" w:cs="Arial"/>
          <w:sz w:val="24"/>
          <w:szCs w:val="24"/>
        </w:rPr>
        <w:t xml:space="preserve"> informalidad se expresó en formas de despojo a través de transacciones legales y despojo administrativo, así como a través de barreras para la consolidación de derechos de propiedad, tales como: «(…) a) problemas relacionados con la información, b) problemas de acceso a los trámites y c) alta discrecionalidad de los funcionarios competentes» </w:t>
      </w:r>
      <w:bookmarkStart w:id="36" w:name="_Hlk214098233"/>
      <w:r w:rsidR="003F26BE" w:rsidRPr="00E00F13">
        <w:rPr>
          <w:rFonts w:ascii="Arial" w:hAnsi="Arial" w:cs="Arial"/>
          <w:sz w:val="24"/>
          <w:szCs w:val="24"/>
        </w:rPr>
        <w:t xml:space="preserve">(CCJ y otros, 2019). </w:t>
      </w:r>
      <w:bookmarkEnd w:id="36"/>
    </w:p>
    <w:p w14:paraId="6CB20C2D" w14:textId="77777777" w:rsidR="00E00F13" w:rsidRDefault="00E00F13" w:rsidP="003F26BE">
      <w:pPr>
        <w:spacing w:after="0" w:line="360" w:lineRule="auto"/>
        <w:jc w:val="both"/>
        <w:rPr>
          <w:rFonts w:ascii="Arial" w:hAnsi="Arial" w:cs="Arial"/>
          <w:sz w:val="24"/>
          <w:szCs w:val="24"/>
        </w:rPr>
      </w:pPr>
    </w:p>
    <w:p w14:paraId="765DE218" w14:textId="4843D0E7" w:rsidR="003F26BE" w:rsidRPr="00E00F13" w:rsidRDefault="003F26BE" w:rsidP="003F26BE">
      <w:pPr>
        <w:spacing w:after="0" w:line="360" w:lineRule="auto"/>
        <w:jc w:val="both"/>
        <w:rPr>
          <w:rFonts w:ascii="Arial" w:hAnsi="Arial" w:cs="Arial"/>
          <w:sz w:val="24"/>
          <w:szCs w:val="24"/>
        </w:rPr>
      </w:pPr>
      <w:r w:rsidRPr="00E00F13">
        <w:rPr>
          <w:rFonts w:ascii="Arial" w:hAnsi="Arial" w:cs="Arial"/>
          <w:sz w:val="24"/>
          <w:szCs w:val="24"/>
        </w:rPr>
        <w:t xml:space="preserve">Con frecuencia la forma de urbanizar ha sido mediante la informalidad, en especial por buena parte de las víctimas de desplazamiento forzado. La informalidad de los centros urbanos guarda relación con la población campesina y popular expulsada de sus territorios que se trasladó a las ciudades como podía, en condiciones adversas. El conflicto armado jugó un lamentable papel protagónico en la vida de las personas tanto en el campo como en la ciudad, y las expulsó a un territorio desconocido en la periferia de las ciudades, excluidas y desintegradas de la población general y del asiento de los poderes públicos y alejadas de los alcances de las políticas públicas. </w:t>
      </w:r>
    </w:p>
    <w:p w14:paraId="0AB7B639" w14:textId="77777777" w:rsidR="003F26BE" w:rsidRPr="00E00F13" w:rsidRDefault="003F26BE" w:rsidP="003F26BE">
      <w:pPr>
        <w:spacing w:after="0" w:line="360" w:lineRule="auto"/>
        <w:jc w:val="both"/>
        <w:rPr>
          <w:rFonts w:ascii="Arial" w:hAnsi="Arial" w:cs="Arial"/>
          <w:sz w:val="24"/>
          <w:szCs w:val="24"/>
        </w:rPr>
      </w:pPr>
    </w:p>
    <w:p w14:paraId="44D653CA" w14:textId="77777777" w:rsidR="003F26BE" w:rsidRPr="00E00F13" w:rsidRDefault="003F26BE" w:rsidP="003F26BE">
      <w:pPr>
        <w:spacing w:after="0" w:line="360" w:lineRule="auto"/>
        <w:jc w:val="both"/>
        <w:rPr>
          <w:rFonts w:ascii="Arial" w:hAnsi="Arial" w:cs="Arial"/>
          <w:sz w:val="24"/>
          <w:szCs w:val="24"/>
        </w:rPr>
      </w:pPr>
      <w:r w:rsidRPr="00E00F13">
        <w:rPr>
          <w:rFonts w:ascii="Arial" w:hAnsi="Arial" w:cs="Arial"/>
          <w:sz w:val="24"/>
          <w:szCs w:val="24"/>
        </w:rPr>
        <w:t xml:space="preserve">Una mirada integradora y relacional del territorio pasa por establecer vasos comunicantes entre la población y las políticas públicas. Ciertamente la vivienda unitaria es fundamental para la supervivencia de las personas, pero en un contexto de complejidades sociales es preciso apostar por ampliar este objetivo hacia el diseño de espacios y el reconocimiento de la biodiversidad para habitar un territorio, en lo que se conoce como el hábitat biodiverso. </w:t>
      </w:r>
    </w:p>
    <w:p w14:paraId="6D59573A" w14:textId="77777777" w:rsidR="003F26BE" w:rsidRPr="00E00F13" w:rsidRDefault="003F26BE" w:rsidP="003F26BE">
      <w:pPr>
        <w:spacing w:after="0" w:line="360" w:lineRule="auto"/>
        <w:jc w:val="both"/>
        <w:rPr>
          <w:rFonts w:ascii="Arial" w:hAnsi="Arial" w:cs="Arial"/>
          <w:sz w:val="24"/>
          <w:szCs w:val="24"/>
        </w:rPr>
      </w:pPr>
    </w:p>
    <w:p w14:paraId="07EBD287" w14:textId="0FBD94BC" w:rsidR="00A618B2" w:rsidRPr="00E00F13" w:rsidRDefault="003F26BE" w:rsidP="003F26BE">
      <w:pPr>
        <w:spacing w:after="0" w:line="360" w:lineRule="auto"/>
        <w:jc w:val="both"/>
        <w:rPr>
          <w:rFonts w:ascii="Arial" w:hAnsi="Arial" w:cs="Arial"/>
          <w:sz w:val="24"/>
          <w:szCs w:val="24"/>
        </w:rPr>
      </w:pPr>
      <w:r w:rsidRPr="00E00F13">
        <w:rPr>
          <w:rFonts w:ascii="Arial" w:hAnsi="Arial" w:cs="Arial"/>
          <w:sz w:val="24"/>
          <w:szCs w:val="24"/>
        </w:rPr>
        <w:t xml:space="preserve">La migración forzada en Colombia no atenúa las condiciones de pobreza, y más bien se comporta de manera inversa. Es importante tener en cuenta esta inversión de valores, debido a las particularidades que rodean la salida de población (expropiación de tierra, pérdida de territorio, del tejido social y de fuentes de </w:t>
      </w:r>
      <w:r w:rsidRPr="00E00F13">
        <w:rPr>
          <w:rFonts w:ascii="Arial" w:hAnsi="Arial" w:cs="Arial"/>
          <w:sz w:val="24"/>
          <w:szCs w:val="24"/>
        </w:rPr>
        <w:lastRenderedPageBreak/>
        <w:t xml:space="preserve">ingresos) y las características de las regiones de recepción (las zonas más deprimidas de las grandes ciudades), con lo cual esta forma de movilidad incrementa las condiciones de pobreza y vulnerabilidad de la población afectada e igualmente de la población residente en la zona de recepción.  </w:t>
      </w:r>
    </w:p>
    <w:p w14:paraId="63BBA9E2" w14:textId="77777777" w:rsidR="003F26BE" w:rsidRPr="00E00F13" w:rsidRDefault="003F26BE" w:rsidP="003F26BE">
      <w:pPr>
        <w:spacing w:after="0" w:line="360" w:lineRule="auto"/>
        <w:jc w:val="both"/>
        <w:rPr>
          <w:rFonts w:ascii="Arial" w:hAnsi="Arial" w:cs="Arial"/>
          <w:sz w:val="24"/>
          <w:szCs w:val="24"/>
        </w:rPr>
      </w:pPr>
    </w:p>
    <w:p w14:paraId="7182F7AB" w14:textId="5787CC83" w:rsidR="003A2302" w:rsidRPr="00E00F13" w:rsidRDefault="00D6313C" w:rsidP="00C3412E">
      <w:pPr>
        <w:pStyle w:val="Ttulo2"/>
        <w:rPr>
          <w:color w:val="auto"/>
        </w:rPr>
      </w:pPr>
      <w:bookmarkStart w:id="37" w:name="_Hlk214099511"/>
      <w:bookmarkStart w:id="38" w:name="_Toc234242783"/>
      <w:r w:rsidRPr="00E00F13">
        <w:rPr>
          <w:color w:val="auto"/>
        </w:rPr>
        <w:t>1.</w:t>
      </w:r>
      <w:r w:rsidR="00B61692" w:rsidRPr="00E00F13">
        <w:rPr>
          <w:color w:val="auto"/>
        </w:rPr>
        <w:t>4</w:t>
      </w:r>
      <w:r w:rsidRPr="00E00F13">
        <w:rPr>
          <w:color w:val="auto"/>
        </w:rPr>
        <w:t xml:space="preserve">. </w:t>
      </w:r>
      <w:bookmarkEnd w:id="37"/>
      <w:r w:rsidR="003A2302" w:rsidRPr="00E00F13">
        <w:rPr>
          <w:color w:val="auto"/>
        </w:rPr>
        <w:t>El modelo económico neoliberal y cómo operó en el sector vivienda y agua</w:t>
      </w:r>
      <w:bookmarkEnd w:id="38"/>
    </w:p>
    <w:p w14:paraId="486444D8" w14:textId="2F35B8A3" w:rsidR="003A2302" w:rsidRPr="00E00F13" w:rsidRDefault="003A2302" w:rsidP="00035EA9">
      <w:pPr>
        <w:pStyle w:val="NormalWeb"/>
        <w:spacing w:before="0" w:beforeAutospacing="0" w:after="0" w:afterAutospacing="0" w:line="360" w:lineRule="auto"/>
        <w:jc w:val="both"/>
        <w:rPr>
          <w:rFonts w:ascii="Arial" w:hAnsi="Arial" w:cs="Arial"/>
        </w:rPr>
      </w:pPr>
      <w:r w:rsidRPr="00E00F13">
        <w:rPr>
          <w:rFonts w:ascii="Arial" w:hAnsi="Arial" w:cs="Arial"/>
        </w:rPr>
        <w:t>Se ha tendido a plantear el debate como una dicotomía entre el mercado y la comunidad. No obstante, tanto el mercado como los procesos sociales tienen cabida en una política pública, siempre que obedezca a un ajuste en el modelo. No es razonable solicitarle a una Junta de Acción Comunal que ejecute un macroproyecto de agua que atraviese varios municipios, ni un proyecto masivo de vivienda de dos mil unidades; en esos casos, quien tiene la capacidad operativa es el mercado. Pero los procesos sociales son fundamentales</w:t>
      </w:r>
      <w:r w:rsidR="0098363C" w:rsidRPr="00E00F13">
        <w:rPr>
          <w:rFonts w:ascii="Arial" w:hAnsi="Arial" w:cs="Arial"/>
        </w:rPr>
        <w:t xml:space="preserve">, por lo que se debe trabajar </w:t>
      </w:r>
      <w:r w:rsidR="0098363C" w:rsidRPr="00E00F13">
        <w:rPr>
          <w:rFonts w:ascii="Helvetica" w:hAnsi="Helvetica" w:cs="Helvetica"/>
          <w:lang w:val="es-ES_tradnl"/>
        </w:rPr>
        <w:t>en conjunto con la comunidad.</w:t>
      </w:r>
    </w:p>
    <w:p w14:paraId="49B1F7B2" w14:textId="77777777" w:rsidR="003A2302" w:rsidRPr="00E00F13" w:rsidRDefault="003A2302" w:rsidP="003A2302"/>
    <w:p w14:paraId="4B7850B7" w14:textId="0CA2EA7E" w:rsidR="003A2302" w:rsidRPr="00E00F13" w:rsidRDefault="002F249D" w:rsidP="00C3412E">
      <w:pPr>
        <w:pStyle w:val="Ttulo3"/>
        <w:rPr>
          <w:color w:val="auto"/>
        </w:rPr>
      </w:pPr>
      <w:bookmarkStart w:id="39" w:name="_Toc234242784"/>
      <w:r w:rsidRPr="00E00F13">
        <w:rPr>
          <w:color w:val="auto"/>
        </w:rPr>
        <w:t xml:space="preserve">1.4.1. </w:t>
      </w:r>
      <w:r w:rsidR="003A2302" w:rsidRPr="00E00F13">
        <w:rPr>
          <w:color w:val="auto"/>
        </w:rPr>
        <w:t>En vivienda</w:t>
      </w:r>
      <w:bookmarkEnd w:id="39"/>
    </w:p>
    <w:p w14:paraId="61BD4948" w14:textId="77777777" w:rsidR="003A2302" w:rsidRPr="00E00F13" w:rsidRDefault="003A2302" w:rsidP="003A2302">
      <w:pPr>
        <w:spacing w:after="0" w:line="360" w:lineRule="auto"/>
        <w:rPr>
          <w:rFonts w:ascii="Arial" w:hAnsi="Arial" w:cs="Arial"/>
          <w:sz w:val="24"/>
          <w:szCs w:val="24"/>
        </w:rPr>
      </w:pPr>
      <w:r w:rsidRPr="00E00F13">
        <w:rPr>
          <w:rFonts w:ascii="Arial" w:hAnsi="Arial" w:cs="Arial"/>
          <w:sz w:val="24"/>
          <w:szCs w:val="24"/>
        </w:rPr>
        <w:t>En vivienda, el modelo ha operado bajo la privatización, la bancarización y el subsidio a la demanda.</w:t>
      </w:r>
    </w:p>
    <w:p w14:paraId="35B12FF7" w14:textId="77777777" w:rsidR="003A2302" w:rsidRPr="00E00F13" w:rsidRDefault="003A2302" w:rsidP="003A2302">
      <w:pPr>
        <w:spacing w:after="0" w:line="360" w:lineRule="auto"/>
        <w:rPr>
          <w:b/>
          <w:bCs/>
          <w:sz w:val="24"/>
          <w:szCs w:val="24"/>
        </w:rPr>
      </w:pPr>
    </w:p>
    <w:p w14:paraId="6989E447" w14:textId="77777777" w:rsidR="003A2302" w:rsidRPr="00E00F13" w:rsidRDefault="003A2302" w:rsidP="003A2302">
      <w:pPr>
        <w:spacing w:after="0" w:line="360" w:lineRule="auto"/>
        <w:jc w:val="both"/>
        <w:rPr>
          <w:rFonts w:ascii="Arial" w:hAnsi="Arial" w:cs="Arial"/>
          <w:sz w:val="24"/>
          <w:szCs w:val="24"/>
        </w:rPr>
      </w:pPr>
      <w:r w:rsidRPr="00E00F13">
        <w:rPr>
          <w:rFonts w:ascii="Arial" w:hAnsi="Arial" w:cs="Arial"/>
          <w:sz w:val="24"/>
          <w:szCs w:val="24"/>
        </w:rPr>
        <w:t>Desde los años noventa, el modelo neoliberal transformó la política pública, debilitando lo público asumiéndolo como ineficiente. De tal manera que se promovió la privatización en vivienda, agua, salud y educación. Se sustituyó el</w:t>
      </w:r>
      <w:r w:rsidRPr="00E00F13">
        <w:rPr>
          <w:rFonts w:ascii="Arial" w:hAnsi="Arial" w:cs="Arial"/>
          <w:b/>
          <w:bCs/>
          <w:sz w:val="24"/>
          <w:szCs w:val="24"/>
        </w:rPr>
        <w:t xml:space="preserve"> </w:t>
      </w:r>
      <w:r w:rsidRPr="00E00F13">
        <w:rPr>
          <w:rFonts w:ascii="Arial" w:hAnsi="Arial" w:cs="Arial"/>
          <w:sz w:val="24"/>
          <w:szCs w:val="24"/>
        </w:rPr>
        <w:t>subsidio a la oferta, como lotes para la autoconstrucción, y los procesos comunitarios como las mingas, por el subsidio a la demanda, dependiente del crédito bancario. Se abandonaron entonces los enfoques comunitarios, progresivos y territoriales.</w:t>
      </w:r>
    </w:p>
    <w:p w14:paraId="6A0777EB" w14:textId="77777777" w:rsidR="003A2302" w:rsidRPr="00E00F13" w:rsidRDefault="003A2302" w:rsidP="003A2302">
      <w:pPr>
        <w:spacing w:after="0" w:line="360" w:lineRule="auto"/>
        <w:jc w:val="both"/>
        <w:rPr>
          <w:rFonts w:ascii="Arial" w:hAnsi="Arial" w:cs="Arial"/>
          <w:sz w:val="24"/>
          <w:szCs w:val="24"/>
        </w:rPr>
      </w:pPr>
    </w:p>
    <w:p w14:paraId="3B906370" w14:textId="1B831322" w:rsidR="003A2302" w:rsidRPr="00E00F13" w:rsidRDefault="003A2302" w:rsidP="003A2302">
      <w:pPr>
        <w:spacing w:after="0" w:line="360" w:lineRule="auto"/>
        <w:jc w:val="both"/>
        <w:rPr>
          <w:rFonts w:ascii="Arial" w:hAnsi="Arial" w:cs="Arial"/>
          <w:sz w:val="24"/>
          <w:szCs w:val="24"/>
        </w:rPr>
      </w:pPr>
      <w:r w:rsidRPr="00E00F13">
        <w:rPr>
          <w:rFonts w:ascii="Arial" w:hAnsi="Arial" w:cs="Arial"/>
          <w:sz w:val="24"/>
          <w:szCs w:val="24"/>
        </w:rPr>
        <w:t>Este modelo redujo el hábitat a un asunto de mercado, desligado de las dinámicas sociales, ambientales y de riesgo.</w:t>
      </w:r>
    </w:p>
    <w:p w14:paraId="0E81CCE8" w14:textId="77777777" w:rsidR="003A2302" w:rsidRPr="00E00F13" w:rsidRDefault="003A2302" w:rsidP="003A2302">
      <w:pPr>
        <w:spacing w:after="0" w:line="360" w:lineRule="auto"/>
        <w:jc w:val="both"/>
        <w:rPr>
          <w:rFonts w:ascii="Arial" w:hAnsi="Arial" w:cs="Arial"/>
        </w:rPr>
      </w:pPr>
    </w:p>
    <w:p w14:paraId="2D439D33" w14:textId="3D1273E2" w:rsidR="003A2302" w:rsidRPr="00E00F13" w:rsidRDefault="005A3831" w:rsidP="00C3412E">
      <w:pPr>
        <w:pStyle w:val="Ttulo3"/>
        <w:rPr>
          <w:color w:val="auto"/>
        </w:rPr>
      </w:pPr>
      <w:bookmarkStart w:id="40" w:name="_Toc234242785"/>
      <w:r w:rsidRPr="00E00F13">
        <w:rPr>
          <w:color w:val="auto"/>
        </w:rPr>
        <w:t xml:space="preserve">1.4.2. </w:t>
      </w:r>
      <w:r w:rsidR="003A2302" w:rsidRPr="00E00F13">
        <w:rPr>
          <w:color w:val="auto"/>
        </w:rPr>
        <w:t>En agua</w:t>
      </w:r>
      <w:bookmarkEnd w:id="40"/>
    </w:p>
    <w:p w14:paraId="15F27B61" w14:textId="244AECCD" w:rsidR="003A2302" w:rsidRPr="00E00F13" w:rsidRDefault="003A2302" w:rsidP="003A2302">
      <w:pPr>
        <w:spacing w:after="0" w:line="360" w:lineRule="auto"/>
        <w:jc w:val="both"/>
        <w:rPr>
          <w:sz w:val="24"/>
          <w:szCs w:val="24"/>
        </w:rPr>
      </w:pPr>
      <w:r w:rsidRPr="00E00F13">
        <w:rPr>
          <w:rFonts w:ascii="Arial" w:hAnsi="Arial" w:cs="Arial"/>
          <w:sz w:val="24"/>
          <w:szCs w:val="24"/>
        </w:rPr>
        <w:t xml:space="preserve">La </w:t>
      </w:r>
      <w:proofErr w:type="spellStart"/>
      <w:r w:rsidRPr="00E00F13">
        <w:rPr>
          <w:rFonts w:ascii="Arial" w:hAnsi="Arial" w:cs="Arial"/>
          <w:sz w:val="24"/>
          <w:szCs w:val="24"/>
        </w:rPr>
        <w:t>invisibilización</w:t>
      </w:r>
      <w:proofErr w:type="spellEnd"/>
      <w:r w:rsidRPr="00E00F13">
        <w:rPr>
          <w:rFonts w:ascii="Arial" w:hAnsi="Arial" w:cs="Arial"/>
          <w:sz w:val="24"/>
          <w:szCs w:val="24"/>
        </w:rPr>
        <w:t xml:space="preserve"> del ciclo hídrico, la ausencia de enfoque territorial y la limitación de los recursos ha sido fundamental para entender cómo ha estado concebido el </w:t>
      </w:r>
      <w:r w:rsidRPr="00E00F13">
        <w:rPr>
          <w:rFonts w:ascii="Arial" w:hAnsi="Arial" w:cs="Arial"/>
          <w:sz w:val="24"/>
          <w:szCs w:val="24"/>
        </w:rPr>
        <w:lastRenderedPageBreak/>
        <w:t>modelo de agua para el consumo humano y saneamiento básico desde hace décadas.</w:t>
      </w:r>
      <w:r w:rsidRPr="00E00F13">
        <w:rPr>
          <w:rFonts w:ascii="Arial" w:hAnsi="Arial" w:cs="Arial"/>
          <w:b/>
          <w:bCs/>
          <w:sz w:val="24"/>
          <w:szCs w:val="24"/>
        </w:rPr>
        <w:t xml:space="preserve"> </w:t>
      </w:r>
      <w:r w:rsidRPr="00E00F13">
        <w:rPr>
          <w:rFonts w:ascii="Arial" w:hAnsi="Arial" w:cs="Arial"/>
          <w:sz w:val="24"/>
          <w:szCs w:val="24"/>
        </w:rPr>
        <w:t>El sistema neoliberal no solo redujo el gasto en agua, sino que también eliminó la idea de ciclo integral y la política se redujo a la construcción de redes, a las plantas de tratamiento y al foco en las coberturas urbanas, que tienen mayor rentabilidad.</w:t>
      </w:r>
    </w:p>
    <w:p w14:paraId="12740784" w14:textId="77777777" w:rsidR="003A2302" w:rsidRPr="00E00F13" w:rsidRDefault="003A2302" w:rsidP="003A2302">
      <w:pPr>
        <w:spacing w:after="0" w:line="360" w:lineRule="auto"/>
        <w:jc w:val="both"/>
        <w:rPr>
          <w:rFonts w:ascii="Arial" w:hAnsi="Arial" w:cs="Arial"/>
        </w:rPr>
      </w:pPr>
    </w:p>
    <w:p w14:paraId="08510D2D" w14:textId="77777777" w:rsidR="003A2302" w:rsidRPr="00E00F13" w:rsidRDefault="003A2302" w:rsidP="003A2302">
      <w:pPr>
        <w:spacing w:after="0" w:line="360" w:lineRule="auto"/>
        <w:jc w:val="both"/>
        <w:rPr>
          <w:rFonts w:ascii="Arial" w:hAnsi="Arial" w:cs="Arial"/>
          <w:sz w:val="24"/>
          <w:szCs w:val="24"/>
        </w:rPr>
      </w:pPr>
      <w:r w:rsidRPr="00E00F13">
        <w:rPr>
          <w:rFonts w:ascii="Arial" w:hAnsi="Arial" w:cs="Arial"/>
          <w:sz w:val="24"/>
          <w:szCs w:val="24"/>
        </w:rPr>
        <w:t>Mientras tanto, se ignoró asuntos estructurales del ciclo como la protección de fuentes generadoras, el manejo de vertimientos, la variabilidad climática (eventos climáticos denominados El Niño, que son más fuertes, y La Niña, que son más intensos), la cosecha de aguas lluvias y, en especial, las dinámicas comunitarias rurales, que históricamente han garantizado acceso.</w:t>
      </w:r>
    </w:p>
    <w:p w14:paraId="28732FFF" w14:textId="77777777" w:rsidR="003A2302" w:rsidRPr="00E00F13" w:rsidRDefault="003A2302" w:rsidP="003A2302">
      <w:pPr>
        <w:spacing w:after="0" w:line="360" w:lineRule="auto"/>
        <w:jc w:val="both"/>
        <w:rPr>
          <w:rFonts w:ascii="Arial" w:hAnsi="Arial" w:cs="Arial"/>
          <w:sz w:val="24"/>
          <w:szCs w:val="24"/>
        </w:rPr>
      </w:pPr>
    </w:p>
    <w:p w14:paraId="66050966" w14:textId="77777777" w:rsidR="003A2302" w:rsidRPr="00E00F13" w:rsidRDefault="003A2302" w:rsidP="003A2302">
      <w:pPr>
        <w:spacing w:after="0" w:line="360" w:lineRule="auto"/>
        <w:jc w:val="both"/>
        <w:rPr>
          <w:rFonts w:ascii="Arial" w:hAnsi="Arial" w:cs="Arial"/>
          <w:sz w:val="24"/>
          <w:szCs w:val="24"/>
        </w:rPr>
      </w:pPr>
      <w:r w:rsidRPr="00E00F13">
        <w:rPr>
          <w:rFonts w:ascii="Arial" w:hAnsi="Arial" w:cs="Arial"/>
          <w:sz w:val="24"/>
          <w:szCs w:val="24"/>
        </w:rPr>
        <w:t>Esto se agravó por una visión de los recursos focalizada en la vivienda, en especial en la vivienda nueva, restándole ingentes recursos al tema del agua y el saneamiento básico. Pero más allá de los recursos, el enfoque giraba en torno a la vivienda.</w:t>
      </w:r>
    </w:p>
    <w:p w14:paraId="6A467DFF" w14:textId="77777777" w:rsidR="003A2302" w:rsidRPr="00E00F13" w:rsidRDefault="003A2302" w:rsidP="003A2302">
      <w:pPr>
        <w:spacing w:after="0" w:line="360" w:lineRule="auto"/>
        <w:jc w:val="both"/>
        <w:rPr>
          <w:rFonts w:ascii="Arial" w:hAnsi="Arial" w:cs="Arial"/>
          <w:sz w:val="24"/>
          <w:szCs w:val="24"/>
        </w:rPr>
      </w:pPr>
    </w:p>
    <w:p w14:paraId="2D5C87B7" w14:textId="77777777" w:rsidR="003A2302" w:rsidRPr="00E00F13" w:rsidRDefault="003A2302" w:rsidP="003A2302">
      <w:pPr>
        <w:spacing w:after="0" w:line="360" w:lineRule="auto"/>
        <w:jc w:val="both"/>
        <w:rPr>
          <w:rFonts w:ascii="Arial" w:hAnsi="Arial" w:cs="Arial"/>
          <w:sz w:val="24"/>
          <w:szCs w:val="24"/>
        </w:rPr>
      </w:pPr>
      <w:r w:rsidRPr="00E00F13">
        <w:rPr>
          <w:rFonts w:ascii="Arial" w:hAnsi="Arial" w:cs="Arial"/>
          <w:sz w:val="24"/>
          <w:szCs w:val="24"/>
        </w:rPr>
        <w:t>El resultado fue un sistema urbano relativamente atendido, pero un país rural con brechas estructurales y sin instrumentos para afrontar riesgos crecientes.</w:t>
      </w:r>
    </w:p>
    <w:p w14:paraId="1D19E813" w14:textId="77777777" w:rsidR="00D6313C" w:rsidRPr="00E00F13" w:rsidRDefault="00D6313C" w:rsidP="003F26BE">
      <w:pPr>
        <w:spacing w:after="0" w:line="360" w:lineRule="auto"/>
        <w:jc w:val="both"/>
        <w:rPr>
          <w:rFonts w:ascii="Arial" w:hAnsi="Arial" w:cs="Arial"/>
          <w:sz w:val="24"/>
          <w:szCs w:val="24"/>
        </w:rPr>
      </w:pPr>
    </w:p>
    <w:p w14:paraId="53A1695F" w14:textId="47C62187" w:rsidR="003F26BE" w:rsidRPr="00E00F13" w:rsidRDefault="00400538" w:rsidP="00C3412E">
      <w:pPr>
        <w:pStyle w:val="Ttulo2"/>
        <w:rPr>
          <w:color w:val="auto"/>
        </w:rPr>
      </w:pPr>
      <w:bookmarkStart w:id="41" w:name="_Hlk212627506"/>
      <w:bookmarkStart w:id="42" w:name="_Toc234242786"/>
      <w:r w:rsidRPr="00E00F13">
        <w:rPr>
          <w:color w:val="auto"/>
        </w:rPr>
        <w:t>1.</w:t>
      </w:r>
      <w:r w:rsidR="00B61692" w:rsidRPr="00E00F13">
        <w:rPr>
          <w:color w:val="auto"/>
        </w:rPr>
        <w:t>5</w:t>
      </w:r>
      <w:r w:rsidR="00F46356" w:rsidRPr="00E00F13">
        <w:rPr>
          <w:color w:val="auto"/>
        </w:rPr>
        <w:t>.</w:t>
      </w:r>
      <w:r w:rsidRPr="00E00F13">
        <w:rPr>
          <w:color w:val="auto"/>
        </w:rPr>
        <w:t xml:space="preserve"> </w:t>
      </w:r>
      <w:r w:rsidR="003F26BE" w:rsidRPr="00E00F13">
        <w:rPr>
          <w:color w:val="auto"/>
        </w:rPr>
        <w:t>Limitaciones del diseño institucional para el ordenamiento territorial</w:t>
      </w:r>
      <w:bookmarkEnd w:id="42"/>
      <w:r w:rsidR="00A564C0" w:rsidRPr="00E00F13">
        <w:rPr>
          <w:color w:val="auto"/>
        </w:rPr>
        <w:t xml:space="preserve"> </w:t>
      </w:r>
    </w:p>
    <w:bookmarkEnd w:id="41"/>
    <w:p w14:paraId="72545533" w14:textId="54CDAC35" w:rsidR="003F26BE" w:rsidRPr="00E00F13" w:rsidRDefault="00776A6E" w:rsidP="003F26BE">
      <w:pPr>
        <w:spacing w:after="0" w:line="360" w:lineRule="auto"/>
        <w:jc w:val="both"/>
        <w:rPr>
          <w:rFonts w:ascii="Arial" w:hAnsi="Arial" w:cs="Arial"/>
          <w:sz w:val="24"/>
          <w:szCs w:val="24"/>
        </w:rPr>
      </w:pPr>
      <w:r w:rsidRPr="00E00F13">
        <w:rPr>
          <w:rFonts w:ascii="Arial" w:hAnsi="Arial" w:cs="Arial"/>
          <w:sz w:val="24"/>
          <w:szCs w:val="24"/>
          <w:lang w:val="es-ES_tradnl"/>
        </w:rPr>
        <w:t xml:space="preserve">El </w:t>
      </w:r>
      <w:r w:rsidR="003F26BE" w:rsidRPr="00E00F13">
        <w:rPr>
          <w:rFonts w:ascii="Arial" w:hAnsi="Arial" w:cs="Arial"/>
          <w:sz w:val="24"/>
          <w:szCs w:val="24"/>
        </w:rPr>
        <w:t>tipo de configuración institucional ha sido parte de los problemas asociados con</w:t>
      </w:r>
      <w:r w:rsidR="00A564C0" w:rsidRPr="00E00F13">
        <w:rPr>
          <w:rFonts w:ascii="Arial" w:hAnsi="Arial" w:cs="Arial"/>
          <w:sz w:val="24"/>
          <w:szCs w:val="24"/>
        </w:rPr>
        <w:t xml:space="preserve"> el efectivo desarrollo</w:t>
      </w:r>
      <w:r w:rsidR="003F26BE" w:rsidRPr="00E00F13">
        <w:rPr>
          <w:rFonts w:ascii="Arial" w:hAnsi="Arial" w:cs="Arial"/>
          <w:sz w:val="24"/>
          <w:szCs w:val="24"/>
        </w:rPr>
        <w:t xml:space="preserve"> </w:t>
      </w:r>
      <w:r w:rsidR="00A564C0" w:rsidRPr="00E00F13">
        <w:rPr>
          <w:rFonts w:ascii="Arial" w:hAnsi="Arial" w:cs="Arial"/>
          <w:sz w:val="24"/>
          <w:szCs w:val="24"/>
        </w:rPr>
        <w:t>d</w:t>
      </w:r>
      <w:r w:rsidR="003F26BE" w:rsidRPr="00E00F13">
        <w:rPr>
          <w:rFonts w:ascii="Arial" w:hAnsi="Arial" w:cs="Arial"/>
          <w:sz w:val="24"/>
          <w:szCs w:val="24"/>
        </w:rPr>
        <w:t>el ordenamiento territorial. La consolidación de poderes locales elitistas regionales y las intermediaciones clientelistas, basadas en relaciones patriarcales de parentesco y compadrazgo, han sido parte de los órdenes político-institucionales que terminaron por imponerse en el marco de un proceso de descentralización que nació en medio de la degradación del conflicto armado interno durante la década del noventa.</w:t>
      </w:r>
    </w:p>
    <w:p w14:paraId="28557C37" w14:textId="77777777" w:rsidR="003F26BE" w:rsidRPr="00E00F13" w:rsidRDefault="003F26BE" w:rsidP="003F26BE">
      <w:pPr>
        <w:spacing w:after="0" w:line="360" w:lineRule="auto"/>
        <w:jc w:val="both"/>
        <w:rPr>
          <w:rFonts w:ascii="Arial" w:hAnsi="Arial" w:cs="Arial"/>
          <w:sz w:val="24"/>
          <w:szCs w:val="24"/>
        </w:rPr>
      </w:pPr>
    </w:p>
    <w:p w14:paraId="728B1907" w14:textId="77777777" w:rsidR="003F26BE" w:rsidRPr="00E00F13" w:rsidRDefault="003F26BE" w:rsidP="003F26BE">
      <w:pPr>
        <w:spacing w:after="0" w:line="360" w:lineRule="auto"/>
        <w:jc w:val="both"/>
        <w:rPr>
          <w:rFonts w:ascii="Arial" w:hAnsi="Arial" w:cs="Arial"/>
          <w:sz w:val="24"/>
          <w:szCs w:val="24"/>
        </w:rPr>
      </w:pPr>
      <w:r w:rsidRPr="00E00F13">
        <w:rPr>
          <w:rFonts w:ascii="Arial" w:hAnsi="Arial" w:cs="Arial"/>
          <w:sz w:val="24"/>
          <w:szCs w:val="24"/>
        </w:rPr>
        <w:t xml:space="preserve">La descentralización fiscal no logró la reducción de brechas entre las regiones, por el contrario, de acuerdo con González «(…) las disparidades entre las regiones </w:t>
      </w:r>
      <w:r w:rsidRPr="00E00F13">
        <w:rPr>
          <w:rFonts w:ascii="Arial" w:hAnsi="Arial" w:cs="Arial"/>
          <w:sz w:val="24"/>
          <w:szCs w:val="24"/>
        </w:rPr>
        <w:lastRenderedPageBreak/>
        <w:t>aumentaron», con lo cual, en 2013, para 16 departamentos el 80% de sus ingresos provenía de transferencias del nivel central: «Bolívar, Córdoba, Magdalena, Guajira, Cesar y Sucre en la Costa Caribe; en el occidente, Chocó, Cauca y Nariño; en el suroccidente, Caquetá, Huila y Putumayo; y en el oriente, Norte de Santander, Guainía, Vichada y Guaviare» (p.162). El limitado desarrollo territorial de estos departamentos también se expresó en la debilidad institucional para el manejo de la justicia, la presentación de servicios básicos y la gestión de recursos.</w:t>
      </w:r>
    </w:p>
    <w:p w14:paraId="5D4C1395" w14:textId="77777777" w:rsidR="003F26BE" w:rsidRPr="00E00F13" w:rsidRDefault="003F26BE" w:rsidP="003F26BE">
      <w:pPr>
        <w:spacing w:after="0" w:line="360" w:lineRule="auto"/>
        <w:jc w:val="both"/>
        <w:rPr>
          <w:rFonts w:ascii="Arial" w:hAnsi="Arial" w:cs="Arial"/>
          <w:sz w:val="24"/>
          <w:szCs w:val="24"/>
        </w:rPr>
      </w:pPr>
    </w:p>
    <w:p w14:paraId="4A9826A7" w14:textId="77777777" w:rsidR="003F26BE" w:rsidRPr="00E00F13" w:rsidRDefault="003F26BE" w:rsidP="003F26BE">
      <w:pPr>
        <w:spacing w:after="0" w:line="360" w:lineRule="auto"/>
        <w:jc w:val="both"/>
        <w:rPr>
          <w:rFonts w:ascii="Arial" w:hAnsi="Arial" w:cs="Arial"/>
          <w:sz w:val="24"/>
          <w:szCs w:val="24"/>
        </w:rPr>
      </w:pPr>
      <w:r w:rsidRPr="00E00F13">
        <w:rPr>
          <w:rFonts w:ascii="Arial" w:hAnsi="Arial" w:cs="Arial"/>
          <w:sz w:val="24"/>
          <w:szCs w:val="24"/>
        </w:rPr>
        <w:t>Sin embargo, la debilidad institucional no se focalizó en algunos departamentos y regiones. El rezago fue generalizado. Y los esfuerzos por actualizar y armonizar el diseño institucional para el desarrollo territorial de la segunda década del dos mil no lograron concretarse. En 2021, a las limitaciones existentes, se sumaron aquellas derivadas de la lenta implementación del Acuerdo Final.</w:t>
      </w:r>
    </w:p>
    <w:p w14:paraId="4A0FA13F" w14:textId="77777777" w:rsidR="003F26BE" w:rsidRPr="00E00F13" w:rsidRDefault="003F26BE" w:rsidP="003F26BE">
      <w:pPr>
        <w:spacing w:after="0" w:line="360" w:lineRule="auto"/>
        <w:jc w:val="both"/>
        <w:rPr>
          <w:rFonts w:ascii="Arial" w:hAnsi="Arial" w:cs="Arial"/>
          <w:sz w:val="24"/>
          <w:szCs w:val="24"/>
        </w:rPr>
      </w:pPr>
    </w:p>
    <w:p w14:paraId="54A9B9CA" w14:textId="77777777" w:rsidR="003F26BE" w:rsidRPr="00E00F13" w:rsidRDefault="003F26BE" w:rsidP="003F26BE">
      <w:pPr>
        <w:spacing w:after="0" w:line="360" w:lineRule="auto"/>
        <w:jc w:val="both"/>
        <w:rPr>
          <w:rFonts w:ascii="Arial" w:hAnsi="Arial" w:cs="Arial"/>
          <w:sz w:val="24"/>
          <w:szCs w:val="24"/>
        </w:rPr>
      </w:pPr>
      <w:r w:rsidRPr="00E00F13">
        <w:rPr>
          <w:rFonts w:ascii="Arial" w:hAnsi="Arial" w:cs="Arial"/>
          <w:sz w:val="24"/>
          <w:szCs w:val="24"/>
        </w:rPr>
        <w:t xml:space="preserve">Además de las reconfiguraciones violentas de los territorios y la institucionalización de órdenes ligados al conflicto armado interno, otros problemas han limitado el desarrollo territorial en Colombia, como lo señalan Umaña y </w:t>
      </w:r>
      <w:proofErr w:type="spellStart"/>
      <w:r w:rsidRPr="00E00F13">
        <w:rPr>
          <w:rFonts w:ascii="Arial" w:hAnsi="Arial" w:cs="Arial"/>
          <w:sz w:val="24"/>
          <w:szCs w:val="24"/>
        </w:rPr>
        <w:t>Quilindo</w:t>
      </w:r>
      <w:proofErr w:type="spellEnd"/>
      <w:r w:rsidRPr="00E00F13">
        <w:rPr>
          <w:rFonts w:ascii="Arial" w:hAnsi="Arial" w:cs="Arial"/>
          <w:sz w:val="24"/>
          <w:szCs w:val="24"/>
        </w:rPr>
        <w:t xml:space="preserve"> (2012, 99-104):</w:t>
      </w:r>
    </w:p>
    <w:p w14:paraId="0E49544D" w14:textId="77777777" w:rsidR="003F26BE" w:rsidRPr="00E00F13" w:rsidRDefault="003F26BE" w:rsidP="005E33C6">
      <w:pPr>
        <w:numPr>
          <w:ilvl w:val="0"/>
          <w:numId w:val="3"/>
        </w:numPr>
        <w:spacing w:after="0" w:line="360" w:lineRule="auto"/>
        <w:jc w:val="both"/>
        <w:rPr>
          <w:rFonts w:ascii="Arial" w:hAnsi="Arial" w:cs="Arial"/>
          <w:sz w:val="24"/>
          <w:szCs w:val="24"/>
        </w:rPr>
      </w:pPr>
      <w:r w:rsidRPr="00E00F13">
        <w:rPr>
          <w:rFonts w:ascii="Arial" w:hAnsi="Arial" w:cs="Arial"/>
          <w:sz w:val="24"/>
          <w:szCs w:val="24"/>
        </w:rPr>
        <w:t>Bajas capacidades para la gestión territorial</w:t>
      </w:r>
    </w:p>
    <w:p w14:paraId="2E33C040" w14:textId="77777777" w:rsidR="003F26BE" w:rsidRPr="00E00F13" w:rsidRDefault="003F26BE" w:rsidP="005E33C6">
      <w:pPr>
        <w:numPr>
          <w:ilvl w:val="0"/>
          <w:numId w:val="3"/>
        </w:numPr>
        <w:spacing w:after="0" w:line="360" w:lineRule="auto"/>
        <w:jc w:val="both"/>
        <w:rPr>
          <w:rFonts w:ascii="Arial" w:hAnsi="Arial" w:cs="Arial"/>
          <w:sz w:val="24"/>
          <w:szCs w:val="24"/>
        </w:rPr>
      </w:pPr>
      <w:r w:rsidRPr="00E00F13">
        <w:rPr>
          <w:rFonts w:ascii="Arial" w:hAnsi="Arial" w:cs="Arial"/>
          <w:sz w:val="24"/>
          <w:szCs w:val="24"/>
        </w:rPr>
        <w:t>Superposición y desencuentro de visiones sectoriales de país, de las cuales se desprenden instrumentos y orientaciones distintas sobre los posibles usos del suelo. Estas visiones son las de los sectores ambiental, minero-energético, agropecuario, infraestructura y transporte, vivienda y la ruralidad. Otras visiones son las que provienen de las organizaciones sociales, campesinas y de los pueblos étnicos</w:t>
      </w:r>
    </w:p>
    <w:p w14:paraId="12632C86" w14:textId="77777777" w:rsidR="003F26BE" w:rsidRPr="00E00F13" w:rsidRDefault="003F26BE" w:rsidP="005E33C6">
      <w:pPr>
        <w:numPr>
          <w:ilvl w:val="0"/>
          <w:numId w:val="3"/>
        </w:numPr>
        <w:spacing w:after="0" w:line="360" w:lineRule="auto"/>
        <w:jc w:val="both"/>
        <w:rPr>
          <w:rFonts w:ascii="Arial" w:hAnsi="Arial" w:cs="Arial"/>
          <w:sz w:val="24"/>
          <w:szCs w:val="24"/>
        </w:rPr>
      </w:pPr>
      <w:r w:rsidRPr="00E00F13">
        <w:rPr>
          <w:rFonts w:ascii="Arial" w:hAnsi="Arial" w:cs="Arial"/>
          <w:sz w:val="24"/>
          <w:szCs w:val="24"/>
        </w:rPr>
        <w:t>El sesgo urbano del ordenamiento territorial</w:t>
      </w:r>
    </w:p>
    <w:p w14:paraId="01AFB8EC" w14:textId="77777777" w:rsidR="003F26BE" w:rsidRPr="00E00F13" w:rsidRDefault="003F26BE" w:rsidP="005E33C6">
      <w:pPr>
        <w:numPr>
          <w:ilvl w:val="0"/>
          <w:numId w:val="3"/>
        </w:numPr>
        <w:spacing w:after="0" w:line="360" w:lineRule="auto"/>
        <w:jc w:val="both"/>
        <w:rPr>
          <w:rFonts w:ascii="Arial" w:hAnsi="Arial" w:cs="Arial"/>
          <w:sz w:val="24"/>
          <w:szCs w:val="24"/>
        </w:rPr>
      </w:pPr>
      <w:r w:rsidRPr="00E00F13">
        <w:rPr>
          <w:rFonts w:ascii="Arial" w:hAnsi="Arial" w:cs="Arial"/>
          <w:sz w:val="24"/>
          <w:szCs w:val="24"/>
        </w:rPr>
        <w:t>Las limitaciones del proceso de descentralización, el vacío y sobreposición de competencias entre niveles de gobierno</w:t>
      </w:r>
    </w:p>
    <w:p w14:paraId="4D55D79A" w14:textId="77777777" w:rsidR="003F26BE" w:rsidRPr="00E00F13" w:rsidRDefault="003F26BE" w:rsidP="005E33C6">
      <w:pPr>
        <w:numPr>
          <w:ilvl w:val="0"/>
          <w:numId w:val="3"/>
        </w:numPr>
        <w:spacing w:after="0" w:line="360" w:lineRule="auto"/>
        <w:jc w:val="both"/>
        <w:rPr>
          <w:rFonts w:ascii="Arial" w:hAnsi="Arial" w:cs="Arial"/>
          <w:sz w:val="24"/>
          <w:szCs w:val="24"/>
        </w:rPr>
      </w:pPr>
      <w:r w:rsidRPr="00E00F13">
        <w:rPr>
          <w:rFonts w:ascii="Arial" w:hAnsi="Arial" w:cs="Arial"/>
          <w:sz w:val="24"/>
          <w:szCs w:val="24"/>
        </w:rPr>
        <w:t>La ausencia de mecanismos e incentivos tendientes a promover y fortalecer procesos de asociatividad supramunicipal</w:t>
      </w:r>
    </w:p>
    <w:p w14:paraId="713D0CAE" w14:textId="77777777" w:rsidR="003F26BE" w:rsidRPr="00E00F13" w:rsidRDefault="003F26BE" w:rsidP="005E33C6">
      <w:pPr>
        <w:numPr>
          <w:ilvl w:val="0"/>
          <w:numId w:val="3"/>
        </w:numPr>
        <w:spacing w:after="0" w:line="360" w:lineRule="auto"/>
        <w:jc w:val="both"/>
        <w:rPr>
          <w:rFonts w:ascii="Arial" w:hAnsi="Arial" w:cs="Arial"/>
          <w:sz w:val="24"/>
          <w:szCs w:val="24"/>
        </w:rPr>
      </w:pPr>
      <w:r w:rsidRPr="00E00F13">
        <w:rPr>
          <w:rFonts w:ascii="Arial" w:hAnsi="Arial" w:cs="Arial"/>
          <w:sz w:val="24"/>
          <w:szCs w:val="24"/>
        </w:rPr>
        <w:lastRenderedPageBreak/>
        <w:t>La desarticulación de las instancias de participación, la ausencia de canales para la resolución de conflictos y la participación sin incidencia</w:t>
      </w:r>
    </w:p>
    <w:p w14:paraId="4E1C68F8" w14:textId="77777777" w:rsidR="003F26BE" w:rsidRPr="00E00F13" w:rsidRDefault="003F26BE" w:rsidP="005E33C6">
      <w:pPr>
        <w:numPr>
          <w:ilvl w:val="0"/>
          <w:numId w:val="3"/>
        </w:numPr>
        <w:spacing w:after="0" w:line="360" w:lineRule="auto"/>
        <w:jc w:val="both"/>
        <w:rPr>
          <w:rFonts w:ascii="Arial" w:hAnsi="Arial" w:cs="Arial"/>
          <w:sz w:val="24"/>
          <w:szCs w:val="24"/>
        </w:rPr>
      </w:pPr>
      <w:r w:rsidRPr="00E00F13">
        <w:rPr>
          <w:rFonts w:ascii="Arial" w:hAnsi="Arial" w:cs="Arial"/>
          <w:sz w:val="24"/>
          <w:szCs w:val="24"/>
        </w:rPr>
        <w:t>La desarticulación entre instrumentos, entre sectores e instrumentos y entre normas para el ordenamiento</w:t>
      </w:r>
    </w:p>
    <w:p w14:paraId="32F3D261" w14:textId="77777777" w:rsidR="003F26BE" w:rsidRPr="00E00F13" w:rsidRDefault="003F26BE" w:rsidP="005E33C6">
      <w:pPr>
        <w:numPr>
          <w:ilvl w:val="0"/>
          <w:numId w:val="3"/>
        </w:numPr>
        <w:spacing w:after="0" w:line="360" w:lineRule="auto"/>
        <w:jc w:val="both"/>
        <w:rPr>
          <w:rFonts w:ascii="Arial" w:hAnsi="Arial" w:cs="Arial"/>
          <w:sz w:val="24"/>
          <w:szCs w:val="24"/>
        </w:rPr>
      </w:pPr>
      <w:r w:rsidRPr="00E00F13">
        <w:rPr>
          <w:rFonts w:ascii="Arial" w:hAnsi="Arial" w:cs="Arial"/>
          <w:sz w:val="24"/>
          <w:szCs w:val="24"/>
        </w:rPr>
        <w:t xml:space="preserve">Estrategias y política generales para territorios que son heterogéneos y diversos </w:t>
      </w:r>
    </w:p>
    <w:p w14:paraId="4EDA9660" w14:textId="77777777" w:rsidR="003F26BE" w:rsidRPr="00E00F13" w:rsidRDefault="003F26BE" w:rsidP="005E33C6">
      <w:pPr>
        <w:numPr>
          <w:ilvl w:val="0"/>
          <w:numId w:val="3"/>
        </w:numPr>
        <w:spacing w:after="0" w:line="360" w:lineRule="auto"/>
        <w:jc w:val="both"/>
        <w:rPr>
          <w:rFonts w:ascii="Arial" w:hAnsi="Arial" w:cs="Arial"/>
          <w:sz w:val="24"/>
          <w:szCs w:val="24"/>
        </w:rPr>
      </w:pPr>
      <w:r w:rsidRPr="00E00F13">
        <w:rPr>
          <w:rFonts w:ascii="Arial" w:hAnsi="Arial" w:cs="Arial"/>
          <w:sz w:val="24"/>
          <w:szCs w:val="24"/>
        </w:rPr>
        <w:t xml:space="preserve">La ausencia de una Política General de Ordenamiento </w:t>
      </w:r>
    </w:p>
    <w:p w14:paraId="32C7B120" w14:textId="77777777" w:rsidR="003F26BE" w:rsidRPr="00E00F13" w:rsidRDefault="003F26BE" w:rsidP="005E33C6">
      <w:pPr>
        <w:numPr>
          <w:ilvl w:val="0"/>
          <w:numId w:val="3"/>
        </w:numPr>
        <w:spacing w:after="0" w:line="360" w:lineRule="auto"/>
        <w:jc w:val="both"/>
        <w:rPr>
          <w:rFonts w:ascii="Arial" w:hAnsi="Arial" w:cs="Arial"/>
          <w:sz w:val="24"/>
          <w:szCs w:val="24"/>
        </w:rPr>
      </w:pPr>
      <w:r w:rsidRPr="00E00F13">
        <w:rPr>
          <w:rFonts w:ascii="Arial" w:hAnsi="Arial" w:cs="Arial"/>
          <w:sz w:val="24"/>
          <w:szCs w:val="24"/>
        </w:rPr>
        <w:t>La ausencia de recursos para el fortalecimiento institucional en los territorios, así como para el funcionamiento y fortalecimiento de instancias de participación y de procesos asociativos</w:t>
      </w:r>
    </w:p>
    <w:p w14:paraId="31E2E0B5" w14:textId="77777777" w:rsidR="003F26BE" w:rsidRPr="00E00F13" w:rsidRDefault="003F26BE" w:rsidP="003F26BE">
      <w:pPr>
        <w:spacing w:after="0" w:line="360" w:lineRule="auto"/>
        <w:jc w:val="both"/>
        <w:rPr>
          <w:rFonts w:ascii="Arial" w:hAnsi="Arial" w:cs="Arial"/>
          <w:sz w:val="24"/>
          <w:szCs w:val="24"/>
        </w:rPr>
      </w:pPr>
    </w:p>
    <w:p w14:paraId="67D34F8D" w14:textId="271589AC" w:rsidR="003F26BE" w:rsidRPr="00E00F13" w:rsidRDefault="003F26BE" w:rsidP="003F26BE">
      <w:pPr>
        <w:spacing w:after="0" w:line="360" w:lineRule="auto"/>
        <w:jc w:val="both"/>
        <w:rPr>
          <w:rFonts w:ascii="Arial" w:hAnsi="Arial" w:cs="Arial"/>
          <w:sz w:val="24"/>
          <w:szCs w:val="24"/>
        </w:rPr>
      </w:pPr>
      <w:r w:rsidRPr="00E00F13">
        <w:rPr>
          <w:rFonts w:ascii="Arial" w:hAnsi="Arial" w:cs="Arial"/>
          <w:sz w:val="24"/>
          <w:szCs w:val="24"/>
        </w:rPr>
        <w:t xml:space="preserve">Por su parte, la debilidad de lo público y comunitario está vinculada a la fragmentación y desactualización de los sistemas de información sobre </w:t>
      </w:r>
      <w:r w:rsidR="00517E84" w:rsidRPr="00E00F13">
        <w:rPr>
          <w:rFonts w:ascii="Arial" w:hAnsi="Arial" w:cs="Arial"/>
          <w:sz w:val="24"/>
          <w:szCs w:val="24"/>
        </w:rPr>
        <w:t xml:space="preserve">agua, saneamiento básico, </w:t>
      </w:r>
      <w:r w:rsidRPr="00E00F13">
        <w:rPr>
          <w:rFonts w:ascii="Arial" w:hAnsi="Arial" w:cs="Arial"/>
          <w:sz w:val="24"/>
          <w:szCs w:val="24"/>
        </w:rPr>
        <w:t xml:space="preserve">vivienda y hábitat. La existencia de múltiples plataformas no integradas dificulta obtener una visión holística de los datos, mientras que los retrasos en la actualización de la información obstaculizan la toma de decisiones oportuna. </w:t>
      </w:r>
      <w:r w:rsidR="002F1487" w:rsidRPr="00E00F13">
        <w:rPr>
          <w:rFonts w:ascii="Arial" w:hAnsi="Arial" w:cs="Arial"/>
          <w:sz w:val="24"/>
          <w:szCs w:val="24"/>
        </w:rPr>
        <w:t>Con frecuencia</w:t>
      </w:r>
      <w:r w:rsidRPr="00E00F13">
        <w:rPr>
          <w:rFonts w:ascii="Arial" w:hAnsi="Arial" w:cs="Arial"/>
          <w:sz w:val="24"/>
          <w:szCs w:val="24"/>
        </w:rPr>
        <w:t xml:space="preserve"> las entidades territoriales reportan dificultades para acceder a información actualizada del MVCT. El Plan Nacional de Desarrollo 2022-2026 resalta la necesidad de fortalecer estos sistemas para mejorar la gestión pública. </w:t>
      </w:r>
    </w:p>
    <w:p w14:paraId="309FBF39" w14:textId="77777777" w:rsidR="003F26BE" w:rsidRPr="00E00F13" w:rsidRDefault="003F26BE" w:rsidP="003F26BE">
      <w:pPr>
        <w:spacing w:after="0" w:line="360" w:lineRule="auto"/>
        <w:jc w:val="both"/>
        <w:rPr>
          <w:rFonts w:ascii="Arial" w:hAnsi="Arial" w:cs="Arial"/>
          <w:sz w:val="24"/>
          <w:szCs w:val="24"/>
        </w:rPr>
      </w:pPr>
    </w:p>
    <w:p w14:paraId="7B77AFDE" w14:textId="040AF540" w:rsidR="003F26BE" w:rsidRPr="00E00F13" w:rsidRDefault="003F26BE" w:rsidP="003F26BE">
      <w:pPr>
        <w:spacing w:after="0" w:line="360" w:lineRule="auto"/>
        <w:jc w:val="both"/>
        <w:rPr>
          <w:rFonts w:ascii="Arial" w:hAnsi="Arial" w:cs="Arial"/>
          <w:sz w:val="24"/>
          <w:szCs w:val="24"/>
        </w:rPr>
      </w:pPr>
      <w:r w:rsidRPr="00E00F13">
        <w:rPr>
          <w:rFonts w:ascii="Arial" w:hAnsi="Arial" w:cs="Arial"/>
          <w:sz w:val="24"/>
          <w:szCs w:val="24"/>
        </w:rPr>
        <w:t>Por otro lado, la baja participación de las comunidades en la toma de decisiones sobre vivienda</w:t>
      </w:r>
      <w:r w:rsidR="002F1487" w:rsidRPr="00E00F13">
        <w:rPr>
          <w:rFonts w:ascii="Arial" w:hAnsi="Arial" w:cs="Arial"/>
          <w:sz w:val="24"/>
          <w:szCs w:val="24"/>
        </w:rPr>
        <w:t>,</w:t>
      </w:r>
      <w:r w:rsidRPr="00E00F13">
        <w:rPr>
          <w:rFonts w:ascii="Arial" w:hAnsi="Arial" w:cs="Arial"/>
          <w:sz w:val="24"/>
          <w:szCs w:val="24"/>
        </w:rPr>
        <w:t xml:space="preserve"> hábitat</w:t>
      </w:r>
      <w:r w:rsidR="002F1487" w:rsidRPr="00E00F13">
        <w:rPr>
          <w:rFonts w:ascii="Arial" w:hAnsi="Arial" w:cs="Arial"/>
          <w:sz w:val="24"/>
          <w:szCs w:val="24"/>
        </w:rPr>
        <w:t xml:space="preserve">, agua y saneamiento </w:t>
      </w:r>
      <w:r w:rsidRPr="00E00F13">
        <w:rPr>
          <w:rFonts w:ascii="Arial" w:hAnsi="Arial" w:cs="Arial"/>
          <w:sz w:val="24"/>
          <w:szCs w:val="24"/>
        </w:rPr>
        <w:t xml:space="preserve">reduce la efectividad y sostenibilidad de los proyectos. La limitada participación en planificación y gestión, junto con decisiones centralizadas sin mecanismos efectivos de consulta, perpetúan desigualdades espaciales y culturales. La falta de recursos y capacitación en las comunidades también limita su </w:t>
      </w:r>
      <w:proofErr w:type="gramStart"/>
      <w:r w:rsidRPr="00E00F13">
        <w:rPr>
          <w:rFonts w:ascii="Arial" w:hAnsi="Arial" w:cs="Arial"/>
          <w:sz w:val="24"/>
          <w:szCs w:val="24"/>
        </w:rPr>
        <w:t>participación activa</w:t>
      </w:r>
      <w:proofErr w:type="gramEnd"/>
      <w:r w:rsidRPr="00E00F13">
        <w:rPr>
          <w:rFonts w:ascii="Arial" w:hAnsi="Arial" w:cs="Arial"/>
          <w:sz w:val="24"/>
          <w:szCs w:val="24"/>
        </w:rPr>
        <w:t xml:space="preserve">. </w:t>
      </w:r>
    </w:p>
    <w:p w14:paraId="39A2C066" w14:textId="77777777" w:rsidR="003F26BE" w:rsidRPr="00E00F13" w:rsidRDefault="003F26BE" w:rsidP="003F26BE">
      <w:pPr>
        <w:spacing w:after="0" w:line="360" w:lineRule="auto"/>
        <w:jc w:val="both"/>
        <w:rPr>
          <w:rFonts w:ascii="Arial" w:hAnsi="Arial" w:cs="Arial"/>
          <w:sz w:val="24"/>
          <w:szCs w:val="24"/>
        </w:rPr>
      </w:pPr>
    </w:p>
    <w:p w14:paraId="33BBE07F" w14:textId="336F44AD" w:rsidR="003F26BE" w:rsidRPr="00E00F13" w:rsidRDefault="003F26BE" w:rsidP="003F26BE">
      <w:pPr>
        <w:spacing w:after="0" w:line="360" w:lineRule="auto"/>
        <w:jc w:val="both"/>
        <w:rPr>
          <w:rFonts w:ascii="Arial" w:hAnsi="Arial" w:cs="Arial"/>
          <w:sz w:val="24"/>
          <w:szCs w:val="24"/>
        </w:rPr>
      </w:pPr>
      <w:r w:rsidRPr="00E00F13">
        <w:rPr>
          <w:rFonts w:ascii="Arial" w:hAnsi="Arial" w:cs="Arial"/>
          <w:sz w:val="24"/>
          <w:szCs w:val="24"/>
        </w:rPr>
        <w:t xml:space="preserve">La insuficiente capacidad técnica y operativa en comunidades y gobiernos locales complica la implementación efectiva y sostenible de proyectos de hábitat. La desconexión entre las políticas nacionales y las necesidades específicas dificulta la </w:t>
      </w:r>
      <w:r w:rsidRPr="00E00F13">
        <w:rPr>
          <w:rFonts w:ascii="Arial" w:hAnsi="Arial" w:cs="Arial"/>
          <w:sz w:val="24"/>
          <w:szCs w:val="24"/>
        </w:rPr>
        <w:lastRenderedPageBreak/>
        <w:t>formulación de soluciones adecuadas, perpetuando los bajos niveles de calidad y sostenibilidad en los proyectos.</w:t>
      </w:r>
    </w:p>
    <w:p w14:paraId="4EAA606A" w14:textId="7941A4F6" w:rsidR="002F1487" w:rsidRPr="00E00F13" w:rsidRDefault="002F1487" w:rsidP="003F26BE">
      <w:pPr>
        <w:spacing w:after="0" w:line="360" w:lineRule="auto"/>
        <w:jc w:val="both"/>
        <w:rPr>
          <w:rFonts w:ascii="Arial" w:hAnsi="Arial" w:cs="Arial"/>
          <w:sz w:val="24"/>
          <w:szCs w:val="24"/>
        </w:rPr>
      </w:pPr>
    </w:p>
    <w:p w14:paraId="7C0D852C" w14:textId="74F729C0" w:rsidR="00517E84" w:rsidRPr="00E00F13" w:rsidRDefault="002F1487" w:rsidP="00517E84">
      <w:pPr>
        <w:spacing w:after="0" w:line="360" w:lineRule="auto"/>
        <w:jc w:val="both"/>
        <w:rPr>
          <w:rFonts w:ascii="Arial" w:hAnsi="Arial" w:cs="Arial"/>
          <w:b/>
          <w:bCs/>
          <w:sz w:val="24"/>
          <w:szCs w:val="24"/>
        </w:rPr>
      </w:pPr>
      <w:r w:rsidRPr="00E00F13">
        <w:rPr>
          <w:rFonts w:ascii="Arial" w:hAnsi="Arial" w:cs="Arial"/>
          <w:sz w:val="24"/>
          <w:szCs w:val="24"/>
        </w:rPr>
        <w:t xml:space="preserve">A la par de esta situación de país, </w:t>
      </w:r>
      <w:r w:rsidR="00517E84" w:rsidRPr="00E00F13">
        <w:rPr>
          <w:rFonts w:ascii="Arial" w:hAnsi="Arial" w:cs="Arial"/>
          <w:sz w:val="24"/>
          <w:szCs w:val="24"/>
        </w:rPr>
        <w:t xml:space="preserve">en términos administrativos e institucionales, en materia de agua y saneamiento básico, el Ministerio estaba diseñado para operar bajo una lógica de demanda, recibiendo proyectos listos desde las entidades territoriales. Los municipios de categorías 5 y 6 no tenían músculo técnico ni financiero para cumplir con los requisitos de la Resolución 661 de 2019, lo que producía altos volúmenes de proyectos devueltos. En esta resolución se establecen los requisitos de presentación y </w:t>
      </w:r>
      <w:proofErr w:type="spellStart"/>
      <w:r w:rsidR="00517E84" w:rsidRPr="00E00F13">
        <w:rPr>
          <w:rFonts w:ascii="Arial" w:hAnsi="Arial" w:cs="Arial"/>
          <w:sz w:val="24"/>
          <w:szCs w:val="24"/>
        </w:rPr>
        <w:t>viabilización</w:t>
      </w:r>
      <w:proofErr w:type="spellEnd"/>
      <w:r w:rsidR="00517E84" w:rsidRPr="00E00F13">
        <w:rPr>
          <w:rFonts w:ascii="Arial" w:hAnsi="Arial" w:cs="Arial"/>
          <w:sz w:val="24"/>
          <w:szCs w:val="24"/>
        </w:rPr>
        <w:t xml:space="preserve"> de proyectos del sector de agua potable y saneamiento básico que soliciten apoyo financiero de la Nación, así como de aquellos que han sido priorizados en el marco de los Planes Departamentales de Agua y de los programas que implemente el Ministerio de Vivienda, Ciudad y Territorio, a través del Viceministerio de Agua y Saneamiento Básico.</w:t>
      </w:r>
    </w:p>
    <w:p w14:paraId="2DBADDB9" w14:textId="77777777" w:rsidR="00517E84" w:rsidRPr="00E00F13" w:rsidRDefault="00517E84" w:rsidP="00517E84">
      <w:pPr>
        <w:spacing w:after="0" w:line="360" w:lineRule="auto"/>
        <w:jc w:val="both"/>
        <w:rPr>
          <w:rFonts w:ascii="Arial" w:hAnsi="Arial" w:cs="Arial"/>
          <w:sz w:val="24"/>
          <w:szCs w:val="24"/>
        </w:rPr>
      </w:pPr>
    </w:p>
    <w:p w14:paraId="74D8DC0B" w14:textId="71009032" w:rsidR="00517E84" w:rsidRPr="00E00F13" w:rsidRDefault="00517E84" w:rsidP="00517E84">
      <w:pPr>
        <w:spacing w:after="0" w:line="360" w:lineRule="auto"/>
        <w:jc w:val="both"/>
        <w:rPr>
          <w:rFonts w:ascii="Arial" w:hAnsi="Arial" w:cs="Arial"/>
          <w:sz w:val="24"/>
          <w:szCs w:val="24"/>
        </w:rPr>
      </w:pPr>
      <w:r w:rsidRPr="00E00F13">
        <w:rPr>
          <w:rFonts w:ascii="Arial" w:hAnsi="Arial" w:cs="Arial"/>
          <w:sz w:val="24"/>
          <w:szCs w:val="24"/>
        </w:rPr>
        <w:t>Los proyectos no incorporaban el enfoque diferencial, en un país con marcados indicadores de desigualdad poblacional y territorial, por lo tanto</w:t>
      </w:r>
      <w:r w:rsidR="00C3412E" w:rsidRPr="00E00F13">
        <w:rPr>
          <w:rFonts w:ascii="Arial" w:hAnsi="Arial" w:cs="Arial"/>
          <w:sz w:val="24"/>
          <w:szCs w:val="24"/>
        </w:rPr>
        <w:t>,</w:t>
      </w:r>
      <w:r w:rsidRPr="00E00F13">
        <w:rPr>
          <w:rFonts w:ascii="Arial" w:hAnsi="Arial" w:cs="Arial"/>
          <w:sz w:val="24"/>
          <w:szCs w:val="24"/>
        </w:rPr>
        <w:t xml:space="preserve"> no existían instrumentos como las fichas de inversión para proyectos diferenciales en agua y saneamiento básico. Adicionalmente, no eran claras las funciones de los equipos del Ministerio que trabajaban los proyectos. La estructura del Viceministerio de agua no permitía llegar a zonas de difícil acceso.</w:t>
      </w:r>
    </w:p>
    <w:p w14:paraId="3E7E8A08" w14:textId="77777777" w:rsidR="00517E84" w:rsidRPr="00E00F13" w:rsidRDefault="00517E84" w:rsidP="00517E84">
      <w:pPr>
        <w:spacing w:after="0" w:line="360" w:lineRule="auto"/>
        <w:jc w:val="both"/>
        <w:rPr>
          <w:rFonts w:ascii="Arial" w:hAnsi="Arial" w:cs="Arial"/>
          <w:sz w:val="24"/>
          <w:szCs w:val="24"/>
        </w:rPr>
      </w:pPr>
    </w:p>
    <w:p w14:paraId="17822E73" w14:textId="77777777" w:rsidR="00517E84" w:rsidRPr="00E00F13" w:rsidRDefault="00517E84" w:rsidP="00517E84">
      <w:pPr>
        <w:spacing w:after="0" w:line="360" w:lineRule="auto"/>
        <w:jc w:val="both"/>
        <w:rPr>
          <w:rFonts w:ascii="Arial" w:hAnsi="Arial" w:cs="Arial"/>
          <w:b/>
          <w:bCs/>
          <w:sz w:val="24"/>
          <w:szCs w:val="24"/>
        </w:rPr>
      </w:pPr>
      <w:r w:rsidRPr="00E00F13">
        <w:rPr>
          <w:rFonts w:ascii="Arial" w:hAnsi="Arial" w:cs="Arial"/>
          <w:sz w:val="24"/>
          <w:szCs w:val="24"/>
        </w:rPr>
        <w:t>En términos sociales y territoriales, la falta de incorporación real de las comunidades organizadas en la gestión, tanto de agua y saneamiento básico como de vivienda, produjo la desconfianza de comunidades hacia el Estado, que, aunado al persistente conflicto armado, dificultaba el ingreso, ejecución y operación de proyectos. En este modelo de gestión institucional era difícil entender la necesidad de comprender relaciones de poder locales, grupos armados, conflictividades, sistemas comunitarios y la ruptura del tejido social por efectos del conflicto y la vinculación de estos factores en la misionalidad del Ministerio.</w:t>
      </w:r>
    </w:p>
    <w:p w14:paraId="783CA793" w14:textId="77777777" w:rsidR="00517E84" w:rsidRPr="00E00F13" w:rsidRDefault="00517E84" w:rsidP="00517E84">
      <w:pPr>
        <w:spacing w:after="0" w:line="360" w:lineRule="auto"/>
        <w:jc w:val="both"/>
        <w:rPr>
          <w:rFonts w:ascii="Arial" w:hAnsi="Arial" w:cs="Arial"/>
          <w:b/>
          <w:bCs/>
          <w:sz w:val="24"/>
          <w:szCs w:val="24"/>
        </w:rPr>
      </w:pPr>
    </w:p>
    <w:p w14:paraId="49F59C47" w14:textId="77777777" w:rsidR="00517E84" w:rsidRPr="00E00F13" w:rsidRDefault="00517E84" w:rsidP="00517E84">
      <w:pPr>
        <w:spacing w:after="0" w:line="360" w:lineRule="auto"/>
        <w:jc w:val="both"/>
        <w:rPr>
          <w:rFonts w:ascii="Arial" w:hAnsi="Arial" w:cs="Arial"/>
          <w:sz w:val="24"/>
          <w:szCs w:val="24"/>
        </w:rPr>
      </w:pPr>
      <w:r w:rsidRPr="00E00F13">
        <w:rPr>
          <w:rFonts w:ascii="Arial" w:hAnsi="Arial" w:cs="Arial"/>
          <w:sz w:val="24"/>
          <w:szCs w:val="24"/>
        </w:rPr>
        <w:lastRenderedPageBreak/>
        <w:t>Los requisitos prediales y ambientales el panorama ha mostrado diseños sin contexto, contemplándose un saneamiento predial casi imposible en territorios donde ni municipios ni comunidades tienen títulos claros. Aunado a trámites ambientales complejos como concesiones o permisos de ocupación de cauce, que dificultan inversiones en zonas rurales dispersas.</w:t>
      </w:r>
    </w:p>
    <w:p w14:paraId="6E791C98" w14:textId="77777777" w:rsidR="00517E84" w:rsidRPr="00E00F13" w:rsidRDefault="00517E84" w:rsidP="00517E84">
      <w:pPr>
        <w:spacing w:after="0" w:line="360" w:lineRule="auto"/>
        <w:rPr>
          <w:rFonts w:ascii="Arial" w:hAnsi="Arial" w:cs="Arial"/>
          <w:b/>
          <w:bCs/>
          <w:sz w:val="24"/>
          <w:szCs w:val="24"/>
        </w:rPr>
      </w:pPr>
    </w:p>
    <w:p w14:paraId="374AD407" w14:textId="71AF1099" w:rsidR="00517E84" w:rsidRPr="00E00F13" w:rsidRDefault="00517E84" w:rsidP="00517E84">
      <w:pPr>
        <w:spacing w:after="0" w:line="360" w:lineRule="auto"/>
        <w:jc w:val="both"/>
        <w:rPr>
          <w:rFonts w:ascii="Arial" w:hAnsi="Arial" w:cs="Arial"/>
          <w:sz w:val="24"/>
          <w:szCs w:val="24"/>
        </w:rPr>
      </w:pPr>
      <w:r w:rsidRPr="00E00F13">
        <w:rPr>
          <w:rFonts w:ascii="Arial" w:hAnsi="Arial" w:cs="Arial"/>
          <w:sz w:val="24"/>
          <w:szCs w:val="24"/>
        </w:rPr>
        <w:t>En términos conceptuales y normativos, la normatividad histórica ha priorizado la prestación convencional: la que establece la Ley 142 de 1994 sobre el régimen de los servicios públicos domiciliarios, y deja en el limbo a las comunidades organizadas. En ese modelo se dejaba un vacío en el reconocimiento de gestores comunitarios.</w:t>
      </w:r>
    </w:p>
    <w:p w14:paraId="4CB4DE18" w14:textId="77777777" w:rsidR="00517E84" w:rsidRPr="00E00F13" w:rsidRDefault="00517E84" w:rsidP="00517E84">
      <w:pPr>
        <w:spacing w:after="0" w:line="360" w:lineRule="auto"/>
        <w:rPr>
          <w:rFonts w:ascii="Arial" w:hAnsi="Arial" w:cs="Arial"/>
          <w:sz w:val="24"/>
          <w:szCs w:val="24"/>
        </w:rPr>
      </w:pPr>
    </w:p>
    <w:p w14:paraId="51B9187B" w14:textId="77777777" w:rsidR="00517E84" w:rsidRPr="00E00F13" w:rsidRDefault="00517E84" w:rsidP="00193D38">
      <w:pPr>
        <w:spacing w:after="0" w:line="360" w:lineRule="auto"/>
        <w:jc w:val="both"/>
        <w:rPr>
          <w:rFonts w:ascii="Arial" w:hAnsi="Arial" w:cs="Arial"/>
          <w:sz w:val="24"/>
          <w:szCs w:val="24"/>
        </w:rPr>
      </w:pPr>
      <w:r w:rsidRPr="00E00F13">
        <w:rPr>
          <w:rFonts w:ascii="Arial" w:hAnsi="Arial" w:cs="Arial"/>
          <w:sz w:val="24"/>
          <w:szCs w:val="24"/>
        </w:rPr>
        <w:t xml:space="preserve">Es así </w:t>
      </w:r>
      <w:proofErr w:type="gramStart"/>
      <w:r w:rsidRPr="00E00F13">
        <w:rPr>
          <w:rFonts w:ascii="Arial" w:hAnsi="Arial" w:cs="Arial"/>
          <w:sz w:val="24"/>
          <w:szCs w:val="24"/>
        </w:rPr>
        <w:t>que</w:t>
      </w:r>
      <w:proofErr w:type="gramEnd"/>
      <w:r w:rsidRPr="00E00F13">
        <w:rPr>
          <w:rFonts w:ascii="Arial" w:hAnsi="Arial" w:cs="Arial"/>
          <w:sz w:val="24"/>
          <w:szCs w:val="24"/>
        </w:rPr>
        <w:t xml:space="preserve"> faltaban lineamientos técnicos para los esquemas diferenciales, modelo de gestión alternos en vivienda, agua y saneamiento básico.</w:t>
      </w:r>
    </w:p>
    <w:p w14:paraId="49A04100" w14:textId="77777777" w:rsidR="003F26BE" w:rsidRPr="00E00F13" w:rsidRDefault="003F26BE" w:rsidP="003F26BE">
      <w:pPr>
        <w:spacing w:after="0" w:line="360" w:lineRule="auto"/>
        <w:jc w:val="both"/>
        <w:rPr>
          <w:rFonts w:ascii="Arial" w:hAnsi="Arial" w:cs="Arial"/>
          <w:sz w:val="24"/>
          <w:szCs w:val="24"/>
        </w:rPr>
      </w:pPr>
    </w:p>
    <w:p w14:paraId="2E1652CD" w14:textId="45BEEF19" w:rsidR="007E7439" w:rsidRPr="00E00F13" w:rsidRDefault="007E7439" w:rsidP="00C3412E">
      <w:pPr>
        <w:pStyle w:val="Ttulo2"/>
        <w:rPr>
          <w:color w:val="auto"/>
        </w:rPr>
      </w:pPr>
      <w:bookmarkStart w:id="43" w:name="_Toc234242787"/>
      <w:r w:rsidRPr="00E00F13">
        <w:rPr>
          <w:color w:val="auto"/>
        </w:rPr>
        <w:t>1.</w:t>
      </w:r>
      <w:r w:rsidR="00B61692" w:rsidRPr="00E00F13">
        <w:rPr>
          <w:color w:val="auto"/>
        </w:rPr>
        <w:t>6</w:t>
      </w:r>
      <w:r w:rsidRPr="00E00F13">
        <w:rPr>
          <w:color w:val="auto"/>
        </w:rPr>
        <w:t xml:space="preserve">. El concepto y enfoque </w:t>
      </w:r>
      <w:proofErr w:type="spellStart"/>
      <w:r w:rsidRPr="00E00F13">
        <w:rPr>
          <w:color w:val="auto"/>
        </w:rPr>
        <w:t>viviendístico</w:t>
      </w:r>
      <w:proofErr w:type="spellEnd"/>
      <w:r w:rsidRPr="00E00F13">
        <w:rPr>
          <w:color w:val="auto"/>
        </w:rPr>
        <w:t xml:space="preserve"> y homogeneizador</w:t>
      </w:r>
      <w:bookmarkEnd w:id="43"/>
      <w:r w:rsidRPr="00E00F13">
        <w:rPr>
          <w:color w:val="auto"/>
        </w:rPr>
        <w:t xml:space="preserve"> </w:t>
      </w:r>
    </w:p>
    <w:p w14:paraId="77508B95" w14:textId="64CE1ED2" w:rsidR="003F26BE" w:rsidRPr="00E00F13" w:rsidRDefault="003F26BE" w:rsidP="003F26BE">
      <w:pPr>
        <w:spacing w:after="0" w:line="360" w:lineRule="auto"/>
        <w:jc w:val="both"/>
        <w:rPr>
          <w:rFonts w:ascii="Arial" w:hAnsi="Arial" w:cs="Arial"/>
          <w:sz w:val="24"/>
          <w:szCs w:val="24"/>
        </w:rPr>
      </w:pPr>
      <w:r w:rsidRPr="00E00F13">
        <w:rPr>
          <w:rFonts w:ascii="Arial" w:hAnsi="Arial" w:cs="Arial"/>
          <w:sz w:val="24"/>
          <w:szCs w:val="24"/>
        </w:rPr>
        <w:t xml:space="preserve">La </w:t>
      </w:r>
      <w:r w:rsidR="009659E5" w:rsidRPr="00E00F13">
        <w:rPr>
          <w:rFonts w:ascii="Arial" w:hAnsi="Arial" w:cs="Arial"/>
          <w:sz w:val="24"/>
          <w:szCs w:val="24"/>
        </w:rPr>
        <w:t>falta de</w:t>
      </w:r>
      <w:r w:rsidRPr="00E00F13">
        <w:rPr>
          <w:rFonts w:ascii="Arial" w:hAnsi="Arial" w:cs="Arial"/>
          <w:sz w:val="24"/>
          <w:szCs w:val="24"/>
        </w:rPr>
        <w:t xml:space="preserve"> articulación entre las políticas de vivienda, agua, saneamiento y hábitat y las particularidades regionales han sido causa de desigualdades en el acceso a servicios básicos, afectando también la sostenibilidad ambiental. El Plan Nacional de Desarrollo 2022-2026</w:t>
      </w:r>
      <w:r w:rsidR="000F786E" w:rsidRPr="00E00F13">
        <w:rPr>
          <w:rFonts w:ascii="Arial" w:hAnsi="Arial" w:cs="Arial"/>
          <w:sz w:val="24"/>
          <w:szCs w:val="24"/>
        </w:rPr>
        <w:t xml:space="preserve"> «Colombia Potencia Mundial de la Vida»</w:t>
      </w:r>
      <w:r w:rsidRPr="00E00F13">
        <w:rPr>
          <w:rFonts w:ascii="Arial" w:hAnsi="Arial" w:cs="Arial"/>
          <w:sz w:val="24"/>
          <w:szCs w:val="24"/>
        </w:rPr>
        <w:t xml:space="preserve"> indicó que el 30% de los municipios enfrenta dificultades en la implementación de estas políticas debido a su falta de adaptación a contextos locales. Las deficiencias en el acceso a agua potable y saneamiento básico influyen negativamente en la salud pública y el desarrollo sostenible. Muchas áreas carecen de infraestructura adecuada para el suministro y tratamiento de aguas, exacerbado por la contaminación de fuentes hídricas debido a prácticas industriales y agrícolas. </w:t>
      </w:r>
    </w:p>
    <w:p w14:paraId="6807C2D8" w14:textId="77777777" w:rsidR="003F26BE" w:rsidRPr="00E00F13" w:rsidRDefault="003F26BE" w:rsidP="003F26BE">
      <w:pPr>
        <w:spacing w:after="0" w:line="360" w:lineRule="auto"/>
        <w:jc w:val="both"/>
        <w:rPr>
          <w:rFonts w:ascii="Arial" w:hAnsi="Arial" w:cs="Arial"/>
          <w:sz w:val="24"/>
          <w:szCs w:val="24"/>
        </w:rPr>
      </w:pPr>
    </w:p>
    <w:p w14:paraId="0CCAD215" w14:textId="77777777" w:rsidR="003F26BE" w:rsidRPr="00E00F13" w:rsidRDefault="003F26BE" w:rsidP="003F26BE">
      <w:pPr>
        <w:spacing w:after="0" w:line="360" w:lineRule="auto"/>
        <w:jc w:val="both"/>
        <w:rPr>
          <w:rFonts w:ascii="Arial" w:hAnsi="Arial" w:cs="Arial"/>
          <w:sz w:val="24"/>
          <w:szCs w:val="24"/>
        </w:rPr>
      </w:pPr>
      <w:r w:rsidRPr="00E00F13">
        <w:rPr>
          <w:rFonts w:ascii="Arial" w:hAnsi="Arial" w:cs="Arial"/>
          <w:sz w:val="24"/>
          <w:szCs w:val="24"/>
        </w:rPr>
        <w:t xml:space="preserve">En el sector de la construcción, la falta de adopción de prácticas de economía circular contribuye a altos niveles de residuos y costos de gestión. Tradicionalmente se generan grandes cantidades de residuos debido a procesos constructivos que no promueven la reutilización. Pese a que este sector representa un 6.5% del PIB </w:t>
      </w:r>
      <w:r w:rsidRPr="00E00F13">
        <w:rPr>
          <w:rFonts w:ascii="Arial" w:hAnsi="Arial" w:cs="Arial"/>
          <w:sz w:val="24"/>
          <w:szCs w:val="24"/>
        </w:rPr>
        <w:lastRenderedPageBreak/>
        <w:t>nacional, solo el 50% de los materiales son reciclados y persisten desafíos como la falta de infraestructura para el reciclaje y la resistencia al cambio.</w:t>
      </w:r>
    </w:p>
    <w:p w14:paraId="5BEA1B89" w14:textId="77777777" w:rsidR="003F26BE" w:rsidRPr="00E00F13" w:rsidRDefault="003F26BE" w:rsidP="003F26BE">
      <w:pPr>
        <w:spacing w:after="0" w:line="360" w:lineRule="auto"/>
        <w:jc w:val="both"/>
        <w:rPr>
          <w:rFonts w:ascii="Arial" w:hAnsi="Arial" w:cs="Arial"/>
          <w:sz w:val="24"/>
          <w:szCs w:val="24"/>
        </w:rPr>
      </w:pPr>
    </w:p>
    <w:p w14:paraId="3F2F418B" w14:textId="77777777" w:rsidR="003F26BE" w:rsidRPr="00E00F13" w:rsidRDefault="003F26BE" w:rsidP="003F26BE">
      <w:pPr>
        <w:spacing w:after="0" w:line="360" w:lineRule="auto"/>
        <w:jc w:val="both"/>
        <w:rPr>
          <w:rFonts w:ascii="Arial" w:hAnsi="Arial" w:cs="Arial"/>
          <w:sz w:val="24"/>
          <w:szCs w:val="24"/>
        </w:rPr>
      </w:pPr>
      <w:r w:rsidRPr="00E00F13">
        <w:rPr>
          <w:rFonts w:ascii="Arial" w:hAnsi="Arial" w:cs="Arial"/>
          <w:sz w:val="24"/>
          <w:szCs w:val="24"/>
        </w:rPr>
        <w:t>El déficit habitacional persiste. La oferta de vivienda social y sostenible es insuficiente. Esto perpetúa el crecimiento informal y restringe el acceso al crédito para poblaciones vulnerables. El PND destaca el déficit habitacional cuantitativo y cualitativo, instando a soluciones efectivas. La precaria condición de muchas viviendas compromete la seguridad y calidad de vida, con deficiencias en servicios básicos como agua y electricidad. Las políticas inclusivas han sido insuficientes para abordar las necesidades específicas de comunidades urbanas y rurales vulnerables.</w:t>
      </w:r>
    </w:p>
    <w:p w14:paraId="12F2451F" w14:textId="77777777" w:rsidR="003F26BE" w:rsidRPr="00E00F13" w:rsidRDefault="003F26BE" w:rsidP="003F26BE">
      <w:pPr>
        <w:spacing w:after="0" w:line="360" w:lineRule="auto"/>
        <w:jc w:val="both"/>
        <w:rPr>
          <w:rFonts w:ascii="Arial" w:hAnsi="Arial" w:cs="Arial"/>
          <w:sz w:val="24"/>
          <w:szCs w:val="24"/>
        </w:rPr>
      </w:pPr>
    </w:p>
    <w:p w14:paraId="73525EA5" w14:textId="77777777" w:rsidR="003F26BE" w:rsidRPr="00E00F13" w:rsidRDefault="003F26BE" w:rsidP="003F26BE">
      <w:pPr>
        <w:spacing w:after="0" w:line="360" w:lineRule="auto"/>
        <w:jc w:val="both"/>
        <w:rPr>
          <w:rFonts w:ascii="Arial" w:hAnsi="Arial" w:cs="Arial"/>
          <w:sz w:val="24"/>
          <w:szCs w:val="24"/>
        </w:rPr>
      </w:pPr>
      <w:r w:rsidRPr="00E00F13">
        <w:rPr>
          <w:rFonts w:ascii="Arial" w:hAnsi="Arial" w:cs="Arial"/>
          <w:sz w:val="24"/>
          <w:szCs w:val="24"/>
        </w:rPr>
        <w:t>El PND y el Ministerio de Vivienda, Ciudad y Territorio han generado publicaciones y estrategias para enfrentar estos desafíos, pero se requiere una mayor sistematización de datos y una actualización continua para reflejar la situación actual, especialmente en áreas rurales de difícil acceso.</w:t>
      </w:r>
    </w:p>
    <w:p w14:paraId="3A05DC79" w14:textId="77777777" w:rsidR="003F26BE" w:rsidRPr="00E00F13" w:rsidRDefault="003F26BE" w:rsidP="003F26BE">
      <w:pPr>
        <w:spacing w:after="0" w:line="360" w:lineRule="auto"/>
        <w:ind w:firstLine="330"/>
        <w:jc w:val="both"/>
        <w:rPr>
          <w:rFonts w:ascii="Arial" w:hAnsi="Arial" w:cs="Arial"/>
          <w:sz w:val="24"/>
          <w:szCs w:val="24"/>
        </w:rPr>
      </w:pPr>
    </w:p>
    <w:p w14:paraId="454F0E50" w14:textId="07188CFA" w:rsidR="006E0B48" w:rsidRPr="00E00F13" w:rsidRDefault="003F26BE" w:rsidP="00193D38">
      <w:pPr>
        <w:spacing w:after="0" w:line="360" w:lineRule="auto"/>
        <w:jc w:val="both"/>
        <w:rPr>
          <w:rFonts w:ascii="Arial" w:hAnsi="Arial" w:cs="Arial"/>
          <w:sz w:val="24"/>
          <w:szCs w:val="24"/>
        </w:rPr>
      </w:pPr>
      <w:r w:rsidRPr="00E00F13">
        <w:rPr>
          <w:rFonts w:ascii="Arial" w:hAnsi="Arial" w:cs="Arial"/>
          <w:sz w:val="24"/>
          <w:szCs w:val="24"/>
        </w:rPr>
        <w:t xml:space="preserve">La concepción de vivienda como mercancía también está relacionada con la poca integración real de los enfoques </w:t>
      </w:r>
      <w:r w:rsidR="00FA1FBC" w:rsidRPr="00E00F13">
        <w:rPr>
          <w:rFonts w:ascii="Arial" w:hAnsi="Arial" w:cs="Arial"/>
          <w:sz w:val="24"/>
          <w:szCs w:val="24"/>
        </w:rPr>
        <w:t>hacia la</w:t>
      </w:r>
      <w:r w:rsidRPr="00E00F13">
        <w:rPr>
          <w:rFonts w:ascii="Arial" w:hAnsi="Arial" w:cs="Arial"/>
          <w:sz w:val="24"/>
          <w:szCs w:val="24"/>
        </w:rPr>
        <w:t xml:space="preserve"> paz, diferencial, </w:t>
      </w:r>
      <w:r w:rsidR="00FA1FBC" w:rsidRPr="00E00F13">
        <w:rPr>
          <w:rFonts w:ascii="Arial" w:hAnsi="Arial" w:cs="Arial"/>
          <w:sz w:val="24"/>
          <w:szCs w:val="24"/>
        </w:rPr>
        <w:t>ambiental</w:t>
      </w:r>
      <w:r w:rsidR="00512182" w:rsidRPr="00E00F13">
        <w:rPr>
          <w:rFonts w:ascii="Arial" w:hAnsi="Arial" w:cs="Arial"/>
          <w:sz w:val="24"/>
          <w:szCs w:val="24"/>
        </w:rPr>
        <w:t xml:space="preserve"> y</w:t>
      </w:r>
      <w:r w:rsidR="00FA1FBC" w:rsidRPr="00E00F13">
        <w:rPr>
          <w:rFonts w:ascii="Arial" w:hAnsi="Arial" w:cs="Arial"/>
          <w:sz w:val="24"/>
          <w:szCs w:val="24"/>
        </w:rPr>
        <w:t xml:space="preserve"> </w:t>
      </w:r>
      <w:r w:rsidRPr="00E00F13">
        <w:rPr>
          <w:rFonts w:ascii="Arial" w:hAnsi="Arial" w:cs="Arial"/>
          <w:sz w:val="24"/>
          <w:szCs w:val="24"/>
        </w:rPr>
        <w:t>del cuidado y del fortalecimiento organizativo, en el desarrollo territorial.</w:t>
      </w:r>
    </w:p>
    <w:p w14:paraId="53E4FBCE" w14:textId="77777777" w:rsidR="00193D38" w:rsidRPr="00E00F13" w:rsidRDefault="00193D38" w:rsidP="00193D38">
      <w:pPr>
        <w:spacing w:after="0" w:line="360" w:lineRule="auto"/>
        <w:jc w:val="both"/>
        <w:rPr>
          <w:rFonts w:ascii="Arial" w:hAnsi="Arial" w:cs="Arial"/>
          <w:sz w:val="24"/>
          <w:szCs w:val="24"/>
        </w:rPr>
      </w:pPr>
    </w:p>
    <w:p w14:paraId="04E4EBB5" w14:textId="00022E88" w:rsidR="006E0B48" w:rsidRPr="00E00F13" w:rsidRDefault="00193D38" w:rsidP="00193D38">
      <w:pPr>
        <w:pStyle w:val="Ttulo2"/>
        <w:jc w:val="both"/>
        <w:rPr>
          <w:color w:val="auto"/>
        </w:rPr>
      </w:pPr>
      <w:bookmarkStart w:id="44" w:name="_Hlk212627033"/>
      <w:bookmarkStart w:id="45" w:name="_Toc234242788"/>
      <w:r w:rsidRPr="00E00F13">
        <w:rPr>
          <w:color w:val="auto"/>
        </w:rPr>
        <w:t xml:space="preserve">1.7. </w:t>
      </w:r>
      <w:r w:rsidR="006E0B48" w:rsidRPr="00E00F13">
        <w:rPr>
          <w:color w:val="auto"/>
        </w:rPr>
        <w:t>La implicación de estos problemas en materia de vivienda y de agua</w:t>
      </w:r>
      <w:r w:rsidR="00E85EC7" w:rsidRPr="00E00F13">
        <w:rPr>
          <w:color w:val="auto"/>
        </w:rPr>
        <w:t xml:space="preserve"> y saneamiento básico</w:t>
      </w:r>
      <w:bookmarkEnd w:id="45"/>
      <w:r w:rsidR="006E0B48" w:rsidRPr="00E00F13">
        <w:rPr>
          <w:color w:val="auto"/>
        </w:rPr>
        <w:t xml:space="preserve"> </w:t>
      </w:r>
    </w:p>
    <w:bookmarkEnd w:id="44"/>
    <w:p w14:paraId="0F6B7AFF" w14:textId="7CC1A895" w:rsidR="006E0B48" w:rsidRPr="00E00F13" w:rsidRDefault="006E0B48" w:rsidP="00CF1ECE">
      <w:pPr>
        <w:pStyle w:val="NormalWeb"/>
        <w:spacing w:line="360" w:lineRule="auto"/>
        <w:jc w:val="both"/>
        <w:rPr>
          <w:rFonts w:ascii="Arial" w:hAnsi="Arial" w:cs="Arial"/>
        </w:rPr>
      </w:pPr>
      <w:r w:rsidRPr="00E00F13">
        <w:rPr>
          <w:rFonts w:ascii="Arial" w:hAnsi="Arial" w:cs="Arial"/>
        </w:rPr>
        <w:t xml:space="preserve">La reconfiguración violenta del territorio producida por el conflicto armado ha generado el despojo violento de tierras y la imposición de órdenes sociales que violentan los derechos humanos, en especial, de las personas que viven en los territorios rurales, pero también en los urbanos. Esto ha ocasionado la profundización de las desigualdades y ha abierto más las brechas sociales, económicas y territoriales. El aumento de la pobreza y el coeficiente de Gini indican las profundas desigualdades. </w:t>
      </w:r>
    </w:p>
    <w:p w14:paraId="295A50DF" w14:textId="77777777" w:rsidR="006E0B48" w:rsidRPr="00E00F13" w:rsidRDefault="006E0B48" w:rsidP="006E0B48">
      <w:pPr>
        <w:spacing w:after="0" w:line="360" w:lineRule="auto"/>
        <w:jc w:val="both"/>
        <w:rPr>
          <w:rFonts w:ascii="Arial" w:hAnsi="Arial" w:cs="Arial"/>
          <w:sz w:val="24"/>
          <w:szCs w:val="24"/>
        </w:rPr>
      </w:pPr>
      <w:r w:rsidRPr="00E00F13">
        <w:rPr>
          <w:rFonts w:ascii="Arial" w:hAnsi="Arial" w:cs="Arial"/>
          <w:sz w:val="24"/>
          <w:szCs w:val="24"/>
        </w:rPr>
        <w:lastRenderedPageBreak/>
        <w:t>El conflicto armado interno, en estrecha combinación con la adopción de un modelo económico extractivista, ha generado desequilibrios espaciales, desplazamiento forzado, apropiación, explotación, despojo, concentrando la propiedad sobre la tierra, el suelo y sus riquezas.</w:t>
      </w:r>
    </w:p>
    <w:p w14:paraId="08DD3263" w14:textId="77777777" w:rsidR="006E0B48" w:rsidRPr="00E00F13" w:rsidRDefault="006E0B48" w:rsidP="006E0B48">
      <w:pPr>
        <w:spacing w:after="0" w:line="360" w:lineRule="auto"/>
        <w:jc w:val="both"/>
        <w:rPr>
          <w:rFonts w:ascii="Arial" w:hAnsi="Arial" w:cs="Arial"/>
          <w:sz w:val="24"/>
          <w:szCs w:val="24"/>
        </w:rPr>
      </w:pPr>
    </w:p>
    <w:p w14:paraId="28E2BC5C" w14:textId="6A22D06A" w:rsidR="006E0B48" w:rsidRPr="00E00F13" w:rsidRDefault="00D14554" w:rsidP="006E0B48">
      <w:pPr>
        <w:spacing w:after="0" w:line="360" w:lineRule="auto"/>
        <w:jc w:val="both"/>
        <w:rPr>
          <w:rFonts w:ascii="Arial" w:hAnsi="Arial" w:cs="Arial"/>
          <w:sz w:val="24"/>
          <w:szCs w:val="24"/>
        </w:rPr>
      </w:pPr>
      <w:r w:rsidRPr="00E00F13">
        <w:rPr>
          <w:rFonts w:ascii="Arial" w:hAnsi="Arial" w:cs="Arial"/>
          <w:sz w:val="24"/>
          <w:szCs w:val="24"/>
        </w:rPr>
        <w:t>En específico, acerca del sector vivienda, l</w:t>
      </w:r>
      <w:r w:rsidR="006E0B48" w:rsidRPr="00E00F13">
        <w:rPr>
          <w:rFonts w:ascii="Arial" w:hAnsi="Arial" w:cs="Arial"/>
          <w:sz w:val="24"/>
          <w:szCs w:val="24"/>
        </w:rPr>
        <w:t xml:space="preserve">a Ley 3 de 1991 crea el Sistema Nacional de Vivienda de Interés Social. En los principios de los años noventa Colombia estaba </w:t>
      </w:r>
      <w:r w:rsidRPr="00E00F13">
        <w:rPr>
          <w:rFonts w:ascii="Arial" w:hAnsi="Arial" w:cs="Arial"/>
          <w:sz w:val="24"/>
          <w:szCs w:val="24"/>
        </w:rPr>
        <w:t xml:space="preserve">orientada por </w:t>
      </w:r>
      <w:r w:rsidR="006E0B48" w:rsidRPr="00E00F13">
        <w:rPr>
          <w:rFonts w:ascii="Arial" w:hAnsi="Arial" w:cs="Arial"/>
          <w:sz w:val="24"/>
          <w:szCs w:val="24"/>
        </w:rPr>
        <w:t xml:space="preserve">la política neoliberal, </w:t>
      </w:r>
      <w:r w:rsidRPr="00E00F13">
        <w:rPr>
          <w:rFonts w:ascii="Arial" w:hAnsi="Arial" w:cs="Arial"/>
          <w:sz w:val="24"/>
          <w:szCs w:val="24"/>
        </w:rPr>
        <w:t>la cual</w:t>
      </w:r>
      <w:r w:rsidR="006E0B48" w:rsidRPr="00E00F13">
        <w:rPr>
          <w:rFonts w:ascii="Arial" w:hAnsi="Arial" w:cs="Arial"/>
          <w:sz w:val="24"/>
          <w:szCs w:val="24"/>
        </w:rPr>
        <w:t xml:space="preserve"> propiciaba la bancarización. Por ello, aunque el fuerte del </w:t>
      </w:r>
      <w:r w:rsidRPr="00E00F13">
        <w:rPr>
          <w:rFonts w:ascii="Arial" w:hAnsi="Arial" w:cs="Arial"/>
          <w:sz w:val="24"/>
          <w:szCs w:val="24"/>
        </w:rPr>
        <w:t>M</w:t>
      </w:r>
      <w:r w:rsidR="006E0B48" w:rsidRPr="00E00F13">
        <w:rPr>
          <w:rFonts w:ascii="Arial" w:hAnsi="Arial" w:cs="Arial"/>
          <w:sz w:val="24"/>
          <w:szCs w:val="24"/>
        </w:rPr>
        <w:t xml:space="preserve">inisterio </w:t>
      </w:r>
      <w:r w:rsidRPr="00E00F13">
        <w:rPr>
          <w:rFonts w:ascii="Arial" w:hAnsi="Arial" w:cs="Arial"/>
          <w:sz w:val="24"/>
          <w:szCs w:val="24"/>
        </w:rPr>
        <w:t>ha debido</w:t>
      </w:r>
      <w:r w:rsidR="006E0B48" w:rsidRPr="00E00F13">
        <w:rPr>
          <w:rFonts w:ascii="Arial" w:hAnsi="Arial" w:cs="Arial"/>
          <w:sz w:val="24"/>
          <w:szCs w:val="24"/>
        </w:rPr>
        <w:t xml:space="preserve"> estar centrado más en el ordenamiento que en la vivienda, </w:t>
      </w:r>
      <w:r w:rsidRPr="00E00F13">
        <w:rPr>
          <w:rFonts w:ascii="Arial" w:hAnsi="Arial" w:cs="Arial"/>
          <w:sz w:val="24"/>
          <w:szCs w:val="24"/>
        </w:rPr>
        <w:t>no</w:t>
      </w:r>
      <w:r w:rsidR="006E0B48" w:rsidRPr="00E00F13">
        <w:rPr>
          <w:rFonts w:ascii="Arial" w:hAnsi="Arial" w:cs="Arial"/>
          <w:sz w:val="24"/>
          <w:szCs w:val="24"/>
        </w:rPr>
        <w:t xml:space="preserve"> se ha</w:t>
      </w:r>
      <w:r w:rsidRPr="00E00F13">
        <w:rPr>
          <w:rFonts w:ascii="Arial" w:hAnsi="Arial" w:cs="Arial"/>
          <w:sz w:val="24"/>
          <w:szCs w:val="24"/>
        </w:rPr>
        <w:t>bían adelantado el conjunto de acciones necesarias en ese sentido</w:t>
      </w:r>
      <w:r w:rsidR="006E0B48" w:rsidRPr="00E00F13">
        <w:rPr>
          <w:rFonts w:ascii="Arial" w:hAnsi="Arial" w:cs="Arial"/>
          <w:sz w:val="24"/>
          <w:szCs w:val="24"/>
        </w:rPr>
        <w:t xml:space="preserve">, básicamente porque la estructuración de políticas del </w:t>
      </w:r>
      <w:r w:rsidRPr="00E00F13">
        <w:rPr>
          <w:rFonts w:ascii="Arial" w:hAnsi="Arial" w:cs="Arial"/>
          <w:sz w:val="24"/>
          <w:szCs w:val="24"/>
        </w:rPr>
        <w:t>M</w:t>
      </w:r>
      <w:r w:rsidR="006E0B48" w:rsidRPr="00E00F13">
        <w:rPr>
          <w:rFonts w:ascii="Arial" w:hAnsi="Arial" w:cs="Arial"/>
          <w:sz w:val="24"/>
          <w:szCs w:val="24"/>
        </w:rPr>
        <w:t>inisterio parte de la Ley 3</w:t>
      </w:r>
      <w:r w:rsidRPr="00E00F13">
        <w:rPr>
          <w:rFonts w:ascii="Arial" w:hAnsi="Arial" w:cs="Arial"/>
          <w:sz w:val="24"/>
          <w:szCs w:val="24"/>
        </w:rPr>
        <w:t xml:space="preserve"> cuyo espíritu está permeado por el contexto </w:t>
      </w:r>
      <w:r w:rsidR="006E0B48" w:rsidRPr="00E00F13">
        <w:rPr>
          <w:rFonts w:ascii="Arial" w:hAnsi="Arial" w:cs="Arial"/>
          <w:sz w:val="24"/>
          <w:szCs w:val="24"/>
        </w:rPr>
        <w:t xml:space="preserve">neoliberal </w:t>
      </w:r>
      <w:r w:rsidRPr="00E00F13">
        <w:rPr>
          <w:rFonts w:ascii="Arial" w:hAnsi="Arial" w:cs="Arial"/>
          <w:sz w:val="24"/>
          <w:szCs w:val="24"/>
        </w:rPr>
        <w:t>orientado</w:t>
      </w:r>
      <w:r w:rsidR="006E0B48" w:rsidRPr="00E00F13">
        <w:rPr>
          <w:rFonts w:ascii="Arial" w:hAnsi="Arial" w:cs="Arial"/>
          <w:sz w:val="24"/>
          <w:szCs w:val="24"/>
        </w:rPr>
        <w:t xml:space="preserve"> a generar una estructura de demanda y oferta articulada a tres aspectos </w:t>
      </w:r>
      <w:r w:rsidRPr="00E00F13">
        <w:rPr>
          <w:rFonts w:ascii="Arial" w:hAnsi="Arial" w:cs="Arial"/>
          <w:sz w:val="24"/>
          <w:szCs w:val="24"/>
        </w:rPr>
        <w:t>para</w:t>
      </w:r>
      <w:r w:rsidR="006E0B48" w:rsidRPr="00E00F13">
        <w:rPr>
          <w:rFonts w:ascii="Arial" w:hAnsi="Arial" w:cs="Arial"/>
          <w:sz w:val="24"/>
          <w:szCs w:val="24"/>
        </w:rPr>
        <w:t xml:space="preserve"> el ingreso de la población a la vivienda: el subsidio, el crédito y el ahorro.</w:t>
      </w:r>
    </w:p>
    <w:p w14:paraId="1D60D856" w14:textId="77777777" w:rsidR="006E0B48" w:rsidRPr="00E00F13" w:rsidRDefault="006E0B48" w:rsidP="006E0B48">
      <w:pPr>
        <w:spacing w:after="0" w:line="360" w:lineRule="auto"/>
        <w:jc w:val="both"/>
        <w:rPr>
          <w:rFonts w:ascii="Arial" w:hAnsi="Arial" w:cs="Arial"/>
          <w:sz w:val="24"/>
          <w:szCs w:val="24"/>
        </w:rPr>
      </w:pPr>
    </w:p>
    <w:p w14:paraId="27581696" w14:textId="6DC4EAE7" w:rsidR="006E0B48" w:rsidRPr="00E00F13" w:rsidRDefault="006E0B48" w:rsidP="006E0B48">
      <w:pPr>
        <w:spacing w:after="0" w:line="360" w:lineRule="auto"/>
        <w:jc w:val="both"/>
        <w:rPr>
          <w:rFonts w:ascii="Arial" w:hAnsi="Arial" w:cs="Arial"/>
          <w:sz w:val="24"/>
          <w:szCs w:val="24"/>
        </w:rPr>
      </w:pPr>
      <w:r w:rsidRPr="00E00F13">
        <w:rPr>
          <w:rFonts w:ascii="Arial" w:hAnsi="Arial" w:cs="Arial"/>
          <w:sz w:val="24"/>
          <w:szCs w:val="24"/>
        </w:rPr>
        <w:t xml:space="preserve">Eso generó una disparidad enorme en el país, porque el crédito y el subsidio dependen fundamentalmente de que la demanda tenga acceso a fuentes de crédito y </w:t>
      </w:r>
      <w:r w:rsidR="00D14554" w:rsidRPr="00E00F13">
        <w:rPr>
          <w:rFonts w:ascii="Arial" w:hAnsi="Arial" w:cs="Arial"/>
          <w:sz w:val="24"/>
          <w:szCs w:val="24"/>
        </w:rPr>
        <w:t>que cuente con la posibilidad</w:t>
      </w:r>
      <w:r w:rsidRPr="00E00F13">
        <w:rPr>
          <w:rFonts w:ascii="Arial" w:hAnsi="Arial" w:cs="Arial"/>
          <w:sz w:val="24"/>
          <w:szCs w:val="24"/>
        </w:rPr>
        <w:t xml:space="preserve"> </w:t>
      </w:r>
      <w:r w:rsidR="00D14554" w:rsidRPr="00E00F13">
        <w:rPr>
          <w:rFonts w:ascii="Arial" w:hAnsi="Arial" w:cs="Arial"/>
          <w:sz w:val="24"/>
          <w:szCs w:val="24"/>
        </w:rPr>
        <w:t>d</w:t>
      </w:r>
      <w:r w:rsidRPr="00E00F13">
        <w:rPr>
          <w:rFonts w:ascii="Arial" w:hAnsi="Arial" w:cs="Arial"/>
          <w:sz w:val="24"/>
          <w:szCs w:val="24"/>
        </w:rPr>
        <w:t xml:space="preserve">el ahorro vía cesantías. Y la formalización </w:t>
      </w:r>
      <w:r w:rsidR="00D14554" w:rsidRPr="00E00F13">
        <w:rPr>
          <w:rFonts w:ascii="Arial" w:hAnsi="Arial" w:cs="Arial"/>
          <w:sz w:val="24"/>
          <w:szCs w:val="24"/>
        </w:rPr>
        <w:t xml:space="preserve">laboral </w:t>
      </w:r>
      <w:r w:rsidRPr="00E00F13">
        <w:rPr>
          <w:rFonts w:ascii="Arial" w:hAnsi="Arial" w:cs="Arial"/>
          <w:sz w:val="24"/>
          <w:szCs w:val="24"/>
        </w:rPr>
        <w:t>está muy concentrada en el centro del país, entre cinco o diez ciudades. Y eso hace que se excluya todo lo que es la periferia, como La Guajira, el Pacífico, la Amazonía y los llanos</w:t>
      </w:r>
      <w:r w:rsidR="00D14554" w:rsidRPr="00E00F13">
        <w:rPr>
          <w:rFonts w:ascii="Arial" w:hAnsi="Arial" w:cs="Arial"/>
          <w:sz w:val="24"/>
          <w:szCs w:val="24"/>
        </w:rPr>
        <w:t>, entre otras zonas. El alcance territorial y poblacional estaban limitados.</w:t>
      </w:r>
    </w:p>
    <w:p w14:paraId="79674CEF" w14:textId="77777777" w:rsidR="006E0B48" w:rsidRPr="00E00F13" w:rsidRDefault="006E0B48" w:rsidP="006E0B48">
      <w:pPr>
        <w:spacing w:after="0" w:line="360" w:lineRule="auto"/>
        <w:jc w:val="both"/>
        <w:rPr>
          <w:rFonts w:ascii="Arial" w:hAnsi="Arial" w:cs="Arial"/>
          <w:sz w:val="24"/>
          <w:szCs w:val="24"/>
        </w:rPr>
      </w:pPr>
    </w:p>
    <w:p w14:paraId="58227067" w14:textId="5D47BE06" w:rsidR="006E0B48" w:rsidRPr="00E00F13" w:rsidRDefault="006E0B48" w:rsidP="006E0B48">
      <w:pPr>
        <w:spacing w:after="0" w:line="360" w:lineRule="auto"/>
        <w:jc w:val="both"/>
        <w:rPr>
          <w:rFonts w:ascii="Arial" w:hAnsi="Arial" w:cs="Arial"/>
          <w:sz w:val="24"/>
          <w:szCs w:val="24"/>
        </w:rPr>
      </w:pPr>
      <w:r w:rsidRPr="00E00F13">
        <w:rPr>
          <w:rFonts w:ascii="Arial" w:hAnsi="Arial" w:cs="Arial"/>
          <w:sz w:val="24"/>
          <w:szCs w:val="24"/>
        </w:rPr>
        <w:t xml:space="preserve">En este sentido, desde la Ley 3 el centro de preocupaciones del ministerio se focalizó en la concepción del mercado para acceder a vivienda social a partir de esos tres elementos de la economía que son el crédito, el subsidio y el ahorro. Y los tres pasan por la bancarización y por el sector empresarial de las grandes y homogéneas construcciones de vivienda social. Lo que condujo a que casi el 90% de los recursos del ministerio han sido establecidos </w:t>
      </w:r>
      <w:r w:rsidR="00D14554" w:rsidRPr="00E00F13">
        <w:rPr>
          <w:rFonts w:ascii="Arial" w:hAnsi="Arial" w:cs="Arial"/>
          <w:sz w:val="24"/>
          <w:szCs w:val="24"/>
        </w:rPr>
        <w:t xml:space="preserve">según el modelo denominado </w:t>
      </w:r>
      <w:r w:rsidRPr="00E00F13">
        <w:rPr>
          <w:rFonts w:ascii="Arial" w:hAnsi="Arial" w:cs="Arial"/>
          <w:sz w:val="24"/>
          <w:szCs w:val="24"/>
        </w:rPr>
        <w:t>Mi Casa Ya.</w:t>
      </w:r>
      <w:r w:rsidR="00D14554" w:rsidRPr="00E00F13">
        <w:rPr>
          <w:rFonts w:ascii="Arial" w:hAnsi="Arial" w:cs="Arial"/>
          <w:sz w:val="24"/>
          <w:szCs w:val="24"/>
        </w:rPr>
        <w:t xml:space="preserve"> </w:t>
      </w:r>
      <w:r w:rsidRPr="00E00F13">
        <w:rPr>
          <w:rFonts w:ascii="Arial" w:hAnsi="Arial" w:cs="Arial"/>
          <w:sz w:val="24"/>
          <w:szCs w:val="24"/>
        </w:rPr>
        <w:t xml:space="preserve">De esta manera, los recursos del ministerio, en su mayoría, quedaron atados a Mi Casa Ya, que fue el programa con el que se encontró el gobierno progresista cuando asumió el MVCT. </w:t>
      </w:r>
    </w:p>
    <w:p w14:paraId="3C3EFA4F" w14:textId="77777777" w:rsidR="006E0B48" w:rsidRPr="00E00F13" w:rsidRDefault="006E0B48" w:rsidP="006E0B48">
      <w:pPr>
        <w:spacing w:after="0" w:line="360" w:lineRule="auto"/>
        <w:jc w:val="both"/>
        <w:rPr>
          <w:rFonts w:ascii="Arial" w:hAnsi="Arial" w:cs="Arial"/>
          <w:sz w:val="24"/>
          <w:szCs w:val="24"/>
        </w:rPr>
      </w:pPr>
    </w:p>
    <w:p w14:paraId="57157FD7" w14:textId="35793D80" w:rsidR="006E0B48" w:rsidRPr="00E00F13" w:rsidRDefault="00502CFA" w:rsidP="003E3CF4">
      <w:pPr>
        <w:spacing w:after="0" w:line="360" w:lineRule="auto"/>
        <w:jc w:val="both"/>
        <w:rPr>
          <w:rFonts w:ascii="Arial" w:hAnsi="Arial" w:cs="Arial"/>
          <w:sz w:val="24"/>
          <w:szCs w:val="24"/>
        </w:rPr>
      </w:pPr>
      <w:r w:rsidRPr="00E00F13">
        <w:rPr>
          <w:rFonts w:ascii="Arial" w:hAnsi="Arial" w:cs="Arial"/>
          <w:sz w:val="24"/>
          <w:szCs w:val="24"/>
        </w:rPr>
        <w:t>E</w:t>
      </w:r>
      <w:r w:rsidR="006E0B48" w:rsidRPr="00E00F13">
        <w:rPr>
          <w:rFonts w:ascii="Arial" w:hAnsi="Arial" w:cs="Arial"/>
          <w:sz w:val="24"/>
          <w:szCs w:val="24"/>
        </w:rPr>
        <w:t xml:space="preserve">xiste un </w:t>
      </w:r>
      <w:proofErr w:type="spellStart"/>
      <w:r w:rsidR="006E0B48" w:rsidRPr="00E00F13">
        <w:rPr>
          <w:rFonts w:ascii="Arial" w:hAnsi="Arial" w:cs="Arial"/>
          <w:sz w:val="24"/>
          <w:szCs w:val="24"/>
        </w:rPr>
        <w:t>Conpes</w:t>
      </w:r>
      <w:proofErr w:type="spellEnd"/>
      <w:r w:rsidR="006E0B48" w:rsidRPr="00E00F13">
        <w:rPr>
          <w:rFonts w:ascii="Arial" w:hAnsi="Arial" w:cs="Arial"/>
          <w:sz w:val="24"/>
          <w:szCs w:val="24"/>
        </w:rPr>
        <w:t xml:space="preserve"> que lo sostiene y que limita el desmonte del programa de manera rápida. </w:t>
      </w:r>
      <w:r w:rsidRPr="00E00F13">
        <w:rPr>
          <w:rFonts w:ascii="Arial" w:hAnsi="Arial" w:cs="Arial"/>
          <w:sz w:val="24"/>
          <w:szCs w:val="24"/>
        </w:rPr>
        <w:t xml:space="preserve">No pretende desmontarse la vivienda social, lo que cambiaría es la forma como se desarrolla. Para ello, </w:t>
      </w:r>
      <w:r w:rsidR="006E0B48" w:rsidRPr="00E00F13">
        <w:rPr>
          <w:rFonts w:ascii="Arial" w:hAnsi="Arial" w:cs="Arial"/>
          <w:sz w:val="24"/>
          <w:szCs w:val="24"/>
        </w:rPr>
        <w:t xml:space="preserve">a partir del año 2022 </w:t>
      </w:r>
      <w:r w:rsidRPr="00E00F13">
        <w:rPr>
          <w:rFonts w:ascii="Arial" w:hAnsi="Arial" w:cs="Arial"/>
          <w:sz w:val="24"/>
          <w:szCs w:val="24"/>
        </w:rPr>
        <w:t>se han estado gestionando</w:t>
      </w:r>
      <w:r w:rsidR="006E0B48" w:rsidRPr="00E00F13">
        <w:rPr>
          <w:rFonts w:ascii="Arial" w:hAnsi="Arial" w:cs="Arial"/>
          <w:sz w:val="24"/>
          <w:szCs w:val="24"/>
        </w:rPr>
        <w:t xml:space="preserve"> las herramientas normativas (decretos) y metodológicas</w:t>
      </w:r>
      <w:r w:rsidRPr="00E00F13">
        <w:rPr>
          <w:rFonts w:ascii="Arial" w:hAnsi="Arial" w:cs="Arial"/>
          <w:sz w:val="24"/>
          <w:szCs w:val="24"/>
        </w:rPr>
        <w:t xml:space="preserve"> necesarias</w:t>
      </w:r>
      <w:r w:rsidR="006E0B48" w:rsidRPr="00E00F13">
        <w:rPr>
          <w:rFonts w:ascii="Arial" w:hAnsi="Arial" w:cs="Arial"/>
          <w:sz w:val="24"/>
          <w:szCs w:val="24"/>
        </w:rPr>
        <w:t xml:space="preserve"> para asumir una nueva forma de acceder a la vivienda social. </w:t>
      </w:r>
    </w:p>
    <w:p w14:paraId="6ED63E75" w14:textId="77777777" w:rsidR="006E0B48" w:rsidRPr="00E00F13" w:rsidRDefault="006E0B48" w:rsidP="003E3CF4">
      <w:pPr>
        <w:spacing w:after="0" w:line="360" w:lineRule="auto"/>
        <w:jc w:val="both"/>
        <w:rPr>
          <w:rFonts w:ascii="Arial" w:hAnsi="Arial" w:cs="Arial"/>
          <w:sz w:val="24"/>
          <w:szCs w:val="24"/>
        </w:rPr>
      </w:pPr>
    </w:p>
    <w:p w14:paraId="3C75AB86" w14:textId="54218557" w:rsidR="003E3CF4" w:rsidRPr="00E00F13" w:rsidRDefault="006E0B48" w:rsidP="003E3CF4">
      <w:pPr>
        <w:spacing w:after="0" w:line="360" w:lineRule="auto"/>
        <w:jc w:val="both"/>
        <w:rPr>
          <w:rFonts w:ascii="Arial" w:hAnsi="Arial" w:cs="Arial"/>
          <w:sz w:val="24"/>
          <w:szCs w:val="24"/>
        </w:rPr>
      </w:pPr>
      <w:r w:rsidRPr="00E00F13">
        <w:rPr>
          <w:rFonts w:ascii="Arial" w:hAnsi="Arial" w:cs="Arial"/>
          <w:sz w:val="24"/>
          <w:szCs w:val="24"/>
        </w:rPr>
        <w:t>Con respecto a la competencia del MVCT del acceso al agua para el consumo humano</w:t>
      </w:r>
      <w:r w:rsidR="00A56E11" w:rsidRPr="00E00F13">
        <w:rPr>
          <w:rFonts w:ascii="Arial" w:hAnsi="Arial" w:cs="Arial"/>
          <w:sz w:val="24"/>
          <w:szCs w:val="24"/>
        </w:rPr>
        <w:t xml:space="preserve"> y saneamiento básico</w:t>
      </w:r>
      <w:r w:rsidRPr="00E00F13">
        <w:rPr>
          <w:rFonts w:ascii="Arial" w:hAnsi="Arial" w:cs="Arial"/>
          <w:sz w:val="24"/>
          <w:szCs w:val="24"/>
        </w:rPr>
        <w:t xml:space="preserve">, </w:t>
      </w:r>
      <w:r w:rsidR="003E3CF4" w:rsidRPr="00E00F13">
        <w:rPr>
          <w:rFonts w:ascii="Arial" w:hAnsi="Arial" w:cs="Arial"/>
          <w:sz w:val="24"/>
          <w:szCs w:val="24"/>
        </w:rPr>
        <w:t>a lo descrito se suma un problema estructural en materia de agua y saneamiento. Históricamente, el agua no ha sido una prioridad presupuestal. Esto ha generado un desbalance en la asignación de recursos y en la definición de proyectos estratégicos, lo que llevó a que la discusión se enfocara en soluciones que algunos llaman «de final de tubo»: redes, plantas de tratamiento y conexión final. Pero estas soluciones no consideran integralmente el ciclo del agua: ni las fuentes generadoras, ni el manejo del agua contaminada, ni los riesgos derivados de la variabilidad climática.</w:t>
      </w:r>
    </w:p>
    <w:p w14:paraId="09421517" w14:textId="77777777" w:rsidR="003E3CF4" w:rsidRPr="00E00F13" w:rsidRDefault="003E3CF4" w:rsidP="003E3CF4">
      <w:pPr>
        <w:spacing w:after="0" w:line="360" w:lineRule="auto"/>
        <w:jc w:val="both"/>
        <w:rPr>
          <w:rFonts w:ascii="Arial" w:hAnsi="Arial" w:cs="Arial"/>
        </w:rPr>
      </w:pPr>
    </w:p>
    <w:p w14:paraId="472FCBED" w14:textId="36FB0AE9" w:rsidR="003E3CF4" w:rsidRPr="00E00F13" w:rsidRDefault="003E3CF4" w:rsidP="003E3CF4">
      <w:pPr>
        <w:spacing w:after="0" w:line="360" w:lineRule="auto"/>
        <w:jc w:val="both"/>
        <w:rPr>
          <w:rFonts w:ascii="Arial" w:hAnsi="Arial" w:cs="Arial"/>
          <w:sz w:val="24"/>
          <w:szCs w:val="24"/>
        </w:rPr>
      </w:pPr>
      <w:r w:rsidRPr="00E00F13">
        <w:rPr>
          <w:rFonts w:ascii="Arial" w:hAnsi="Arial" w:cs="Arial"/>
          <w:sz w:val="24"/>
          <w:szCs w:val="24"/>
        </w:rPr>
        <w:t xml:space="preserve">Hoy el país vive eventos climáticos extremos —los ciclos de El Niño y La Niña más intensos, sequías prolongadas, lluvias torrenciales y avenidas súbitas— que superan la capacidad institucional de respuesta y afectan directamente el acceso al agua. Persisten además vacíos de articulación entre las entidades responsables: Ambiente, Minas, el IDEAM, el Servicio Geológico y el Viceministerio de Agua. Esa fragmentación se traduce en intervenciones parciales y desconectadas: la </w:t>
      </w:r>
      <w:proofErr w:type="gramStart"/>
      <w:r w:rsidRPr="00E00F13">
        <w:rPr>
          <w:rFonts w:ascii="Arial" w:hAnsi="Arial" w:cs="Arial"/>
          <w:sz w:val="24"/>
          <w:szCs w:val="24"/>
        </w:rPr>
        <w:t>reforestación</w:t>
      </w:r>
      <w:proofErr w:type="gramEnd"/>
      <w:r w:rsidRPr="00E00F13">
        <w:rPr>
          <w:rFonts w:ascii="Arial" w:hAnsi="Arial" w:cs="Arial"/>
          <w:sz w:val="24"/>
          <w:szCs w:val="24"/>
        </w:rPr>
        <w:t xml:space="preserve"> por un lado, las plantas de tratamiento por otro, las redes en otra lógica, sin un hilo conductor territorial.</w:t>
      </w:r>
    </w:p>
    <w:p w14:paraId="0FAF2243" w14:textId="77777777" w:rsidR="003E3CF4" w:rsidRPr="00E00F13" w:rsidRDefault="003E3CF4" w:rsidP="003E3CF4">
      <w:pPr>
        <w:spacing w:after="0" w:line="360" w:lineRule="auto"/>
        <w:jc w:val="both"/>
        <w:rPr>
          <w:rFonts w:ascii="Arial" w:hAnsi="Arial" w:cs="Arial"/>
          <w:sz w:val="24"/>
          <w:szCs w:val="24"/>
        </w:rPr>
      </w:pPr>
    </w:p>
    <w:p w14:paraId="4CC20BAD" w14:textId="656508E7" w:rsidR="003E3CF4" w:rsidRPr="00E00F13" w:rsidRDefault="003E3CF4" w:rsidP="003E3CF4">
      <w:pPr>
        <w:spacing w:after="0" w:line="360" w:lineRule="auto"/>
        <w:jc w:val="both"/>
        <w:rPr>
          <w:rFonts w:ascii="Arial" w:hAnsi="Arial" w:cs="Arial"/>
          <w:sz w:val="24"/>
          <w:szCs w:val="24"/>
        </w:rPr>
      </w:pPr>
      <w:r w:rsidRPr="00E00F13">
        <w:rPr>
          <w:rFonts w:ascii="Arial" w:hAnsi="Arial" w:cs="Arial"/>
          <w:sz w:val="24"/>
          <w:szCs w:val="24"/>
        </w:rPr>
        <w:t xml:space="preserve">La ausencia de una visión integral del hábitat explica por qué no se logra ordenar el territorio alrededor del agua, a pesar de que existen lineamientos. Las competencias desarticuladas, las autoridades ambientales con bajo control sobre vertimientos y un modelo de gestión sin la participación real de las organizaciones comunitarias agravan la crisis. En territorios como La Guajira, por ejemplo, se </w:t>
      </w:r>
      <w:r w:rsidR="00E00F13">
        <w:rPr>
          <w:rFonts w:ascii="Arial" w:hAnsi="Arial" w:cs="Arial"/>
          <w:sz w:val="24"/>
          <w:szCs w:val="24"/>
        </w:rPr>
        <w:t>reconoció</w:t>
      </w:r>
      <w:r w:rsidRPr="00E00F13">
        <w:rPr>
          <w:rFonts w:ascii="Arial" w:hAnsi="Arial" w:cs="Arial"/>
          <w:sz w:val="24"/>
          <w:szCs w:val="24"/>
        </w:rPr>
        <w:t xml:space="preserve"> la </w:t>
      </w:r>
      <w:r w:rsidRPr="00E00F13">
        <w:rPr>
          <w:rFonts w:ascii="Arial" w:hAnsi="Arial" w:cs="Arial"/>
          <w:sz w:val="24"/>
          <w:szCs w:val="24"/>
        </w:rPr>
        <w:lastRenderedPageBreak/>
        <w:t>necesidad de articular conocimiento técnico sobre aguas subterráneas, pronósticos del IDEAM y estrategias locales de abastecimiento, incluidas prácticas de cosecha de agua lluvia que ya están contempladas en la normatividad.</w:t>
      </w:r>
    </w:p>
    <w:p w14:paraId="4B46D38C" w14:textId="77777777" w:rsidR="003E3CF4" w:rsidRPr="00E00F13" w:rsidRDefault="003E3CF4" w:rsidP="003E3CF4">
      <w:pPr>
        <w:spacing w:after="0" w:line="360" w:lineRule="auto"/>
        <w:jc w:val="both"/>
        <w:rPr>
          <w:rFonts w:ascii="Arial" w:hAnsi="Arial" w:cs="Arial"/>
          <w:sz w:val="24"/>
          <w:szCs w:val="24"/>
        </w:rPr>
      </w:pPr>
    </w:p>
    <w:p w14:paraId="772E8AAE" w14:textId="1F18F627" w:rsidR="003E3CF4" w:rsidRPr="00E00F13" w:rsidRDefault="003E3CF4" w:rsidP="003E3CF4">
      <w:pPr>
        <w:spacing w:after="0" w:line="360" w:lineRule="auto"/>
        <w:jc w:val="both"/>
        <w:rPr>
          <w:rFonts w:ascii="Arial" w:hAnsi="Arial" w:cs="Arial"/>
          <w:sz w:val="24"/>
          <w:szCs w:val="24"/>
        </w:rPr>
      </w:pPr>
      <w:r w:rsidRPr="00E00F13">
        <w:rPr>
          <w:rFonts w:ascii="Arial" w:hAnsi="Arial" w:cs="Arial"/>
          <w:sz w:val="24"/>
          <w:szCs w:val="24"/>
        </w:rPr>
        <w:t xml:space="preserve">Tanto en la vivienda como en el agua y saneamiento básico, el reto actual es superar ese mosaico institucional y pasar a un enfoque de política integral de hábitat que articule vivienda, agua, riesgo, clima, medio ambiente, ordenamiento territorial y que involucre, de manera estructural, los enfoques diferenciales, ambientales, del territorio y de víctimas y hacia la paz. En el entendido de la construcción de confianza con las personas que habitan los territorios y una mejor lectura del contexto sociopolítico del país, incluyendo el conflicto armado. </w:t>
      </w:r>
    </w:p>
    <w:p w14:paraId="4F8B39D5" w14:textId="02933CBF" w:rsidR="003E3CF4" w:rsidRPr="00E00F13" w:rsidRDefault="003E3CF4" w:rsidP="003E3CF4">
      <w:pPr>
        <w:spacing w:after="0" w:line="360" w:lineRule="auto"/>
        <w:jc w:val="both"/>
        <w:rPr>
          <w:rFonts w:ascii="Arial" w:hAnsi="Arial" w:cs="Arial"/>
          <w:sz w:val="24"/>
          <w:szCs w:val="24"/>
        </w:rPr>
      </w:pPr>
      <w:r w:rsidRPr="00E00F13">
        <w:rPr>
          <w:rFonts w:ascii="Arial" w:hAnsi="Arial" w:cs="Arial"/>
          <w:sz w:val="24"/>
          <w:szCs w:val="24"/>
        </w:rPr>
        <w:br/>
        <w:t>El principal cambio logrado es que, desde el Ministerio, se ha comenzado a cuestionar y modificar el modelo centrado exclusivamente en el mercado, reposicionando el hábitat como marco conceptual y operativo, y abriendo discusiones antes inexistentes sobre ciclo del agua, riesgos climáticos, articulación sectorial y nuevas formas de acceso y mejora progresiva. También, sobre los contextos territoriales para ampliar la cobertura tanto poblacional como territorial.</w:t>
      </w:r>
    </w:p>
    <w:p w14:paraId="4BD42805" w14:textId="2B368DB3" w:rsidR="006E0B48" w:rsidRDefault="006E0B48" w:rsidP="006E0B48">
      <w:pPr>
        <w:spacing w:after="0" w:line="360" w:lineRule="auto"/>
        <w:jc w:val="both"/>
        <w:rPr>
          <w:rFonts w:ascii="Arial" w:hAnsi="Arial" w:cs="Arial"/>
          <w:sz w:val="24"/>
          <w:szCs w:val="24"/>
        </w:rPr>
      </w:pPr>
    </w:p>
    <w:p w14:paraId="32D1A133" w14:textId="77777777" w:rsidR="00E00F13" w:rsidRDefault="00E00F13" w:rsidP="006E0B48">
      <w:pPr>
        <w:spacing w:after="0" w:line="360" w:lineRule="auto"/>
        <w:jc w:val="both"/>
        <w:rPr>
          <w:rFonts w:ascii="Arial" w:hAnsi="Arial" w:cs="Arial"/>
          <w:sz w:val="24"/>
          <w:szCs w:val="24"/>
        </w:rPr>
      </w:pPr>
    </w:p>
    <w:p w14:paraId="45FA13B7" w14:textId="77777777" w:rsidR="00E00F13" w:rsidRDefault="00E00F13" w:rsidP="006E0B48">
      <w:pPr>
        <w:spacing w:after="0" w:line="360" w:lineRule="auto"/>
        <w:jc w:val="both"/>
        <w:rPr>
          <w:rFonts w:ascii="Arial" w:hAnsi="Arial" w:cs="Arial"/>
          <w:sz w:val="24"/>
          <w:szCs w:val="24"/>
        </w:rPr>
      </w:pPr>
    </w:p>
    <w:p w14:paraId="1DAB7304" w14:textId="77777777" w:rsidR="00E00F13" w:rsidRDefault="00E00F13" w:rsidP="006E0B48">
      <w:pPr>
        <w:spacing w:after="0" w:line="360" w:lineRule="auto"/>
        <w:jc w:val="both"/>
        <w:rPr>
          <w:rFonts w:ascii="Arial" w:hAnsi="Arial" w:cs="Arial"/>
          <w:sz w:val="24"/>
          <w:szCs w:val="24"/>
        </w:rPr>
      </w:pPr>
    </w:p>
    <w:p w14:paraId="582131E8" w14:textId="77777777" w:rsidR="00E00F13" w:rsidRDefault="00E00F13" w:rsidP="006E0B48">
      <w:pPr>
        <w:spacing w:after="0" w:line="360" w:lineRule="auto"/>
        <w:jc w:val="both"/>
        <w:rPr>
          <w:rFonts w:ascii="Arial" w:hAnsi="Arial" w:cs="Arial"/>
          <w:sz w:val="24"/>
          <w:szCs w:val="24"/>
        </w:rPr>
      </w:pPr>
    </w:p>
    <w:p w14:paraId="18BDF94D" w14:textId="77777777" w:rsidR="00E00F13" w:rsidRDefault="00E00F13" w:rsidP="006E0B48">
      <w:pPr>
        <w:spacing w:after="0" w:line="360" w:lineRule="auto"/>
        <w:jc w:val="both"/>
        <w:rPr>
          <w:rFonts w:ascii="Arial" w:hAnsi="Arial" w:cs="Arial"/>
          <w:sz w:val="24"/>
          <w:szCs w:val="24"/>
        </w:rPr>
      </w:pPr>
    </w:p>
    <w:p w14:paraId="2A4C088A" w14:textId="77777777" w:rsidR="00E00F13" w:rsidRDefault="00E00F13" w:rsidP="006E0B48">
      <w:pPr>
        <w:spacing w:after="0" w:line="360" w:lineRule="auto"/>
        <w:jc w:val="both"/>
        <w:rPr>
          <w:rFonts w:ascii="Arial" w:hAnsi="Arial" w:cs="Arial"/>
          <w:sz w:val="24"/>
          <w:szCs w:val="24"/>
        </w:rPr>
      </w:pPr>
    </w:p>
    <w:p w14:paraId="7104944A" w14:textId="77777777" w:rsidR="00E00F13" w:rsidRDefault="00E00F13" w:rsidP="006E0B48">
      <w:pPr>
        <w:spacing w:after="0" w:line="360" w:lineRule="auto"/>
        <w:jc w:val="both"/>
        <w:rPr>
          <w:rFonts w:ascii="Arial" w:hAnsi="Arial" w:cs="Arial"/>
          <w:sz w:val="24"/>
          <w:szCs w:val="24"/>
        </w:rPr>
      </w:pPr>
    </w:p>
    <w:p w14:paraId="17392BB7" w14:textId="77777777" w:rsidR="00E00F13" w:rsidRDefault="00E00F13" w:rsidP="006E0B48">
      <w:pPr>
        <w:spacing w:after="0" w:line="360" w:lineRule="auto"/>
        <w:jc w:val="both"/>
        <w:rPr>
          <w:rFonts w:ascii="Arial" w:hAnsi="Arial" w:cs="Arial"/>
          <w:sz w:val="24"/>
          <w:szCs w:val="24"/>
        </w:rPr>
      </w:pPr>
    </w:p>
    <w:p w14:paraId="364BD9CA" w14:textId="77777777" w:rsidR="00E00F13" w:rsidRDefault="00E00F13" w:rsidP="006E0B48">
      <w:pPr>
        <w:spacing w:after="0" w:line="360" w:lineRule="auto"/>
        <w:jc w:val="both"/>
        <w:rPr>
          <w:rFonts w:ascii="Arial" w:hAnsi="Arial" w:cs="Arial"/>
          <w:sz w:val="24"/>
          <w:szCs w:val="24"/>
        </w:rPr>
      </w:pPr>
    </w:p>
    <w:p w14:paraId="4F2C2CD2" w14:textId="77777777" w:rsidR="00E00F13" w:rsidRDefault="00E00F13" w:rsidP="006E0B48">
      <w:pPr>
        <w:spacing w:after="0" w:line="360" w:lineRule="auto"/>
        <w:jc w:val="both"/>
        <w:rPr>
          <w:rFonts w:ascii="Arial" w:hAnsi="Arial" w:cs="Arial"/>
          <w:sz w:val="24"/>
          <w:szCs w:val="24"/>
        </w:rPr>
      </w:pPr>
    </w:p>
    <w:p w14:paraId="46D73BC9" w14:textId="77777777" w:rsidR="00E00F13" w:rsidRPr="00E00F13" w:rsidRDefault="00E00F13" w:rsidP="006E0B48">
      <w:pPr>
        <w:spacing w:after="0" w:line="360" w:lineRule="auto"/>
        <w:jc w:val="both"/>
        <w:rPr>
          <w:rFonts w:ascii="Arial" w:hAnsi="Arial" w:cs="Arial"/>
          <w:sz w:val="24"/>
          <w:szCs w:val="24"/>
        </w:rPr>
      </w:pPr>
    </w:p>
    <w:p w14:paraId="31DFF2AF" w14:textId="11A3D293" w:rsidR="00D75845" w:rsidRPr="00E00F13" w:rsidRDefault="003F26BE" w:rsidP="00D75845">
      <w:pPr>
        <w:pStyle w:val="Ttulo1"/>
        <w:jc w:val="both"/>
        <w:rPr>
          <w:color w:val="auto"/>
        </w:rPr>
      </w:pPr>
      <w:bookmarkStart w:id="46" w:name="_Toc234242789"/>
      <w:r w:rsidRPr="00E00F13">
        <w:rPr>
          <w:color w:val="auto"/>
        </w:rPr>
        <w:lastRenderedPageBreak/>
        <w:t xml:space="preserve">2. </w:t>
      </w:r>
      <w:r w:rsidR="00D75845" w:rsidRPr="00E00F13">
        <w:rPr>
          <w:color w:val="auto"/>
        </w:rPr>
        <w:t>Decisiones estratégicas de política pública: los lineamientos de una nueva política sobre el hábitat biodiverso</w:t>
      </w:r>
      <w:bookmarkEnd w:id="46"/>
      <w:r w:rsidR="00D75845" w:rsidRPr="00E00F13">
        <w:rPr>
          <w:color w:val="auto"/>
        </w:rPr>
        <w:t xml:space="preserve"> </w:t>
      </w:r>
    </w:p>
    <w:p w14:paraId="5277337B" w14:textId="77777777" w:rsidR="00D75845" w:rsidRPr="00E00F13" w:rsidRDefault="00D75845" w:rsidP="003F26BE">
      <w:pPr>
        <w:spacing w:after="0" w:line="360" w:lineRule="auto"/>
        <w:jc w:val="both"/>
        <w:rPr>
          <w:rFonts w:ascii="Arial" w:hAnsi="Arial" w:cs="Arial"/>
          <w:sz w:val="24"/>
          <w:szCs w:val="24"/>
          <w:lang w:val="es-ES_tradnl"/>
        </w:rPr>
      </w:pPr>
    </w:p>
    <w:p w14:paraId="0D90BA1B" w14:textId="012E05B9" w:rsidR="003F26BE" w:rsidRPr="00E00F13" w:rsidRDefault="003F26BE" w:rsidP="003F26BE">
      <w:pPr>
        <w:spacing w:after="0" w:line="360" w:lineRule="auto"/>
        <w:jc w:val="both"/>
        <w:rPr>
          <w:rFonts w:ascii="Arial" w:hAnsi="Arial" w:cs="Arial"/>
          <w:sz w:val="24"/>
          <w:szCs w:val="24"/>
          <w:lang w:val="es-ES_tradnl"/>
        </w:rPr>
      </w:pPr>
      <w:r w:rsidRPr="00E00F13">
        <w:rPr>
          <w:rFonts w:ascii="Arial" w:hAnsi="Arial" w:cs="Arial"/>
          <w:sz w:val="24"/>
          <w:szCs w:val="24"/>
          <w:lang w:val="es-ES_tradnl"/>
        </w:rPr>
        <w:t xml:space="preserve">En </w:t>
      </w:r>
      <w:r w:rsidR="00725889" w:rsidRPr="00E00F13">
        <w:rPr>
          <w:rFonts w:ascii="Arial" w:hAnsi="Arial" w:cs="Arial"/>
          <w:sz w:val="24"/>
          <w:szCs w:val="24"/>
          <w:lang w:val="es-ES_tradnl"/>
        </w:rPr>
        <w:t xml:space="preserve">atención a los problemas </w:t>
      </w:r>
      <w:r w:rsidR="00CD6790" w:rsidRPr="00E00F13">
        <w:rPr>
          <w:rFonts w:ascii="Arial" w:hAnsi="Arial" w:cs="Arial"/>
          <w:sz w:val="24"/>
          <w:szCs w:val="24"/>
          <w:lang w:val="es-ES_tradnl"/>
        </w:rPr>
        <w:t>descritos</w:t>
      </w:r>
      <w:r w:rsidR="008A0906" w:rsidRPr="00E00F13">
        <w:rPr>
          <w:rFonts w:ascii="Arial" w:hAnsi="Arial" w:cs="Arial"/>
          <w:sz w:val="24"/>
          <w:szCs w:val="24"/>
          <w:lang w:val="es-ES_tradnl"/>
        </w:rPr>
        <w:t>, y dada</w:t>
      </w:r>
      <w:r w:rsidRPr="00E00F13">
        <w:rPr>
          <w:rFonts w:ascii="Arial" w:hAnsi="Arial" w:cs="Arial"/>
          <w:sz w:val="24"/>
          <w:szCs w:val="24"/>
          <w:lang w:val="es-ES_tradnl"/>
        </w:rPr>
        <w:t xml:space="preserve"> la necesidad de entrar en la modernidad de un país que lo reclama, el Ministerio de Vivienda, Ciudad y Territorio se ha venido alineando estratégicamente bajo la noción de «Nuestro Hábitat Biodiverso». Noción que fue mandatada popularmente, reconocida y recogida en el programa de gobierno, en el </w:t>
      </w:r>
      <w:r w:rsidRPr="00E00F13">
        <w:rPr>
          <w:rFonts w:ascii="Arial" w:hAnsi="Arial" w:cs="Arial"/>
          <w:i/>
          <w:iCs/>
          <w:sz w:val="24"/>
          <w:szCs w:val="24"/>
          <w:lang w:val="es-ES_tradnl"/>
        </w:rPr>
        <w:t>Plan Nacional de Desarrollo Colombia Potencia Mundial de la Vida</w:t>
      </w:r>
      <w:r w:rsidRPr="00E00F13">
        <w:rPr>
          <w:rFonts w:ascii="Arial" w:hAnsi="Arial" w:cs="Arial"/>
          <w:sz w:val="24"/>
          <w:szCs w:val="24"/>
          <w:lang w:val="es-ES_tradnl"/>
        </w:rPr>
        <w:t>, y en cada una de las reglamentaciones que concretan los cambios de paradigma que impulsan las acciones de política en el primer gobierno progresista de la República.</w:t>
      </w:r>
    </w:p>
    <w:p w14:paraId="29F6A04E" w14:textId="77777777" w:rsidR="00CD07D3" w:rsidRPr="00E00F13" w:rsidRDefault="00CD07D3" w:rsidP="00CD07D3">
      <w:pPr>
        <w:spacing w:after="0" w:line="360" w:lineRule="auto"/>
        <w:jc w:val="both"/>
        <w:rPr>
          <w:rFonts w:ascii="Arial" w:hAnsi="Arial" w:cs="Arial"/>
          <w:sz w:val="24"/>
          <w:szCs w:val="24"/>
        </w:rPr>
      </w:pPr>
    </w:p>
    <w:p w14:paraId="757096FE" w14:textId="7DD58839" w:rsidR="00CD07D3" w:rsidRPr="00E00F13" w:rsidRDefault="00CD07D3" w:rsidP="00CD07D3">
      <w:pPr>
        <w:pStyle w:val="Ttulo2"/>
        <w:rPr>
          <w:color w:val="auto"/>
        </w:rPr>
      </w:pPr>
      <w:bookmarkStart w:id="47" w:name="_Toc234242790"/>
      <w:r w:rsidRPr="00E00F13">
        <w:rPr>
          <w:color w:val="auto"/>
        </w:rPr>
        <w:t xml:space="preserve">2.1. Lineamientos de política sobre el hábitat biodiverso: </w:t>
      </w:r>
      <w:r w:rsidR="003A412D" w:rsidRPr="00E00F13">
        <w:rPr>
          <w:color w:val="auto"/>
        </w:rPr>
        <w:t>fundamentos políticos, apuestas institucionales y</w:t>
      </w:r>
      <w:r w:rsidR="00E2398F" w:rsidRPr="00E00F13">
        <w:rPr>
          <w:color w:val="auto"/>
        </w:rPr>
        <w:t xml:space="preserve"> datos que sustentan esta política</w:t>
      </w:r>
      <w:bookmarkEnd w:id="47"/>
    </w:p>
    <w:p w14:paraId="6CE034CC" w14:textId="11C74DB6" w:rsidR="00E42A4B" w:rsidRPr="00E00F13" w:rsidRDefault="00CD07D3" w:rsidP="00CD07D3">
      <w:pPr>
        <w:spacing w:after="0" w:line="360" w:lineRule="auto"/>
        <w:jc w:val="both"/>
        <w:rPr>
          <w:rFonts w:ascii="Arial" w:hAnsi="Arial" w:cs="Arial"/>
          <w:sz w:val="24"/>
          <w:szCs w:val="24"/>
        </w:rPr>
      </w:pPr>
      <w:r w:rsidRPr="00E00F13">
        <w:rPr>
          <w:rFonts w:ascii="Arial" w:hAnsi="Arial" w:cs="Arial"/>
          <w:sz w:val="24"/>
          <w:szCs w:val="24"/>
        </w:rPr>
        <w:t xml:space="preserve">El hábitat se entiende como la relación que las sociedades establecen con su entorno. </w:t>
      </w:r>
      <w:r w:rsidR="00E42A4B" w:rsidRPr="00E00F13">
        <w:rPr>
          <w:rFonts w:ascii="Arial" w:hAnsi="Arial" w:cs="Arial"/>
          <w:sz w:val="24"/>
          <w:szCs w:val="24"/>
        </w:rPr>
        <w:t xml:space="preserve">En Colombia el hábitat es biodiverso porque el país lo es. Las transformaciones territoriales del hábitat no son homogéneas en cada parte del país. Si bien el déficit cuantitativo expresa una dimensión objetiva del problema de la vivienda en Colombia, esta medida reduce no solo el problema, sino fundamentalmente la búsqueda de soluciones a la sola oferta de nuevas unidades habitacionales. No obstante, es claro que se puede construir viviendas estandarizadas cuando las condiciones territoriales no son las mismas. Viviendas palafíticas, viviendas con posibilidades de recoger agua lluvias en lugares donde hay escasez hídrica o viviendas cuyos espacios se adaptan a tierras </w:t>
      </w:r>
      <w:proofErr w:type="gramStart"/>
      <w:r w:rsidR="00E42A4B" w:rsidRPr="00E00F13">
        <w:rPr>
          <w:rFonts w:ascii="Arial" w:hAnsi="Arial" w:cs="Arial"/>
          <w:sz w:val="24"/>
          <w:szCs w:val="24"/>
        </w:rPr>
        <w:t>muy frías o muy calientes</w:t>
      </w:r>
      <w:proofErr w:type="gramEnd"/>
      <w:r w:rsidR="00E42A4B" w:rsidRPr="00E00F13">
        <w:rPr>
          <w:rFonts w:ascii="Arial" w:hAnsi="Arial" w:cs="Arial"/>
          <w:sz w:val="24"/>
          <w:szCs w:val="24"/>
        </w:rPr>
        <w:t xml:space="preserve">, son parte de la idea de un hábitat biodiverso. </w:t>
      </w:r>
    </w:p>
    <w:p w14:paraId="3B5FA25A" w14:textId="77777777" w:rsidR="00E42A4B" w:rsidRPr="00E00F13" w:rsidRDefault="00E42A4B" w:rsidP="00CD07D3">
      <w:pPr>
        <w:spacing w:after="0" w:line="360" w:lineRule="auto"/>
        <w:jc w:val="both"/>
        <w:rPr>
          <w:rFonts w:ascii="Arial" w:hAnsi="Arial" w:cs="Arial"/>
          <w:sz w:val="24"/>
          <w:szCs w:val="24"/>
        </w:rPr>
      </w:pPr>
    </w:p>
    <w:p w14:paraId="7B5D7320" w14:textId="298A582B" w:rsidR="00CD07D3" w:rsidRPr="00E00F13" w:rsidRDefault="00CD07D3" w:rsidP="00CD07D3">
      <w:pPr>
        <w:spacing w:after="0" w:line="360" w:lineRule="auto"/>
        <w:jc w:val="both"/>
        <w:rPr>
          <w:rFonts w:ascii="Arial" w:hAnsi="Arial" w:cs="Arial"/>
          <w:sz w:val="24"/>
          <w:szCs w:val="24"/>
        </w:rPr>
      </w:pPr>
      <w:r w:rsidRPr="00E00F13">
        <w:rPr>
          <w:rFonts w:ascii="Arial" w:hAnsi="Arial" w:cs="Arial"/>
          <w:sz w:val="24"/>
          <w:szCs w:val="24"/>
        </w:rPr>
        <w:t>El cambio profundo que esta apuesta encarna es robustecer las capacidades instituciones de lo público en un sector que desde la década de</w:t>
      </w:r>
      <w:r w:rsidR="00331D9B" w:rsidRPr="00E00F13">
        <w:rPr>
          <w:rFonts w:ascii="Arial" w:hAnsi="Arial" w:cs="Arial"/>
          <w:sz w:val="24"/>
          <w:szCs w:val="24"/>
        </w:rPr>
        <w:t xml:space="preserve"> los noventa </w:t>
      </w:r>
      <w:r w:rsidRPr="00E00F13">
        <w:rPr>
          <w:rFonts w:ascii="Arial" w:hAnsi="Arial" w:cs="Arial"/>
          <w:sz w:val="24"/>
          <w:szCs w:val="24"/>
        </w:rPr>
        <w:t xml:space="preserve">fue reducido a la producción de vivienda nueva, bajo el control de la banca, </w:t>
      </w:r>
      <w:r w:rsidR="00331D9B" w:rsidRPr="00E00F13">
        <w:rPr>
          <w:rFonts w:ascii="Arial" w:hAnsi="Arial" w:cs="Arial"/>
          <w:sz w:val="24"/>
          <w:szCs w:val="24"/>
        </w:rPr>
        <w:t xml:space="preserve">de </w:t>
      </w:r>
      <w:r w:rsidRPr="00E00F13">
        <w:rPr>
          <w:rFonts w:ascii="Arial" w:hAnsi="Arial" w:cs="Arial"/>
          <w:sz w:val="24"/>
          <w:szCs w:val="24"/>
        </w:rPr>
        <w:t xml:space="preserve">los constructores y </w:t>
      </w:r>
      <w:r w:rsidR="00331D9B" w:rsidRPr="00E00F13">
        <w:rPr>
          <w:rFonts w:ascii="Arial" w:hAnsi="Arial" w:cs="Arial"/>
          <w:sz w:val="24"/>
          <w:szCs w:val="24"/>
        </w:rPr>
        <w:t xml:space="preserve">de </w:t>
      </w:r>
      <w:r w:rsidRPr="00E00F13">
        <w:rPr>
          <w:rFonts w:ascii="Arial" w:hAnsi="Arial" w:cs="Arial"/>
          <w:sz w:val="24"/>
          <w:szCs w:val="24"/>
        </w:rPr>
        <w:t xml:space="preserve">los propietarios, en un modelo de la vivienda como unidad. Escenario que limitó el accionar del ministerio al de observador y regulador de una </w:t>
      </w:r>
      <w:r w:rsidRPr="00E00F13">
        <w:rPr>
          <w:rFonts w:ascii="Arial" w:hAnsi="Arial" w:cs="Arial"/>
          <w:sz w:val="24"/>
          <w:szCs w:val="24"/>
        </w:rPr>
        <w:lastRenderedPageBreak/>
        <w:t>dinámica dominada por el mercado, y que también dejó por fuera de la ecuación a actores fundamentales como la población, organizaciones sociales, comunitarias y populares, arrendatarios, organizaciones populares de vivienda, entre otros</w:t>
      </w:r>
      <w:r w:rsidR="00E42A4B" w:rsidRPr="00E00F13">
        <w:rPr>
          <w:rFonts w:ascii="Arial" w:hAnsi="Arial" w:cs="Arial"/>
          <w:sz w:val="24"/>
          <w:szCs w:val="24"/>
        </w:rPr>
        <w:t>, así como las propias dinámicas climáticas y de vida de cada uno de los territorios</w:t>
      </w:r>
      <w:r w:rsidRPr="00E00F13">
        <w:rPr>
          <w:rFonts w:ascii="Arial" w:hAnsi="Arial" w:cs="Arial"/>
          <w:sz w:val="24"/>
          <w:szCs w:val="24"/>
        </w:rPr>
        <w:t>.</w:t>
      </w:r>
    </w:p>
    <w:p w14:paraId="1019E663" w14:textId="77777777" w:rsidR="00C260B9" w:rsidRPr="00E00F13" w:rsidRDefault="00C260B9" w:rsidP="00CD07D3">
      <w:pPr>
        <w:spacing w:after="0" w:line="360" w:lineRule="auto"/>
        <w:jc w:val="both"/>
        <w:rPr>
          <w:rFonts w:ascii="Arial" w:hAnsi="Arial" w:cs="Arial"/>
          <w:sz w:val="24"/>
          <w:szCs w:val="24"/>
        </w:rPr>
      </w:pPr>
    </w:p>
    <w:p w14:paraId="259FADA1" w14:textId="77777777" w:rsidR="00CD07D3" w:rsidRPr="00E00F13" w:rsidRDefault="00CD07D3" w:rsidP="00CD07D3">
      <w:pPr>
        <w:spacing w:after="0" w:line="360" w:lineRule="auto"/>
        <w:jc w:val="both"/>
        <w:rPr>
          <w:rFonts w:ascii="Arial" w:hAnsi="Arial" w:cs="Arial"/>
          <w:sz w:val="24"/>
          <w:szCs w:val="24"/>
        </w:rPr>
      </w:pPr>
    </w:p>
    <w:p w14:paraId="79D4AEE9" w14:textId="2814290A" w:rsidR="00CD07D3" w:rsidRPr="00E00F13" w:rsidRDefault="00AE2F71" w:rsidP="00CC68BA">
      <w:pPr>
        <w:pStyle w:val="Ttulo3"/>
        <w:jc w:val="both"/>
        <w:rPr>
          <w:color w:val="auto"/>
        </w:rPr>
      </w:pPr>
      <w:bookmarkStart w:id="48" w:name="_Toc234242791"/>
      <w:r w:rsidRPr="00E00F13">
        <w:rPr>
          <w:color w:val="auto"/>
        </w:rPr>
        <w:t>2.1.</w:t>
      </w:r>
      <w:r w:rsidR="00C260B9" w:rsidRPr="00E00F13">
        <w:rPr>
          <w:color w:val="auto"/>
        </w:rPr>
        <w:t>1</w:t>
      </w:r>
      <w:r w:rsidR="00CD07D3" w:rsidRPr="00E00F13">
        <w:rPr>
          <w:color w:val="auto"/>
        </w:rPr>
        <w:t xml:space="preserve">. Los objetivos. </w:t>
      </w:r>
      <w:r w:rsidR="00C260B9" w:rsidRPr="00E00F13">
        <w:rPr>
          <w:color w:val="auto"/>
        </w:rPr>
        <w:t xml:space="preserve">Los fundamentos políticos. </w:t>
      </w:r>
      <w:r w:rsidR="00181B60" w:rsidRPr="00E00F13">
        <w:rPr>
          <w:color w:val="auto"/>
        </w:rPr>
        <w:t>De lo mío a lo nuestro, un cambio profundo del sector desde el</w:t>
      </w:r>
      <w:r w:rsidR="00CC68BA" w:rsidRPr="00E00F13">
        <w:rPr>
          <w:color w:val="auto"/>
        </w:rPr>
        <w:t xml:space="preserve"> Hábita</w:t>
      </w:r>
      <w:r w:rsidR="00C260B9" w:rsidRPr="00E00F13">
        <w:rPr>
          <w:color w:val="auto"/>
        </w:rPr>
        <w:t>t</w:t>
      </w:r>
      <w:r w:rsidR="00CC68BA" w:rsidRPr="00E00F13">
        <w:rPr>
          <w:color w:val="auto"/>
        </w:rPr>
        <w:t xml:space="preserve"> Biodiverso</w:t>
      </w:r>
      <w:bookmarkEnd w:id="48"/>
      <w:r w:rsidR="00CC68BA" w:rsidRPr="00E00F13">
        <w:rPr>
          <w:color w:val="auto"/>
        </w:rPr>
        <w:t xml:space="preserve"> </w:t>
      </w:r>
    </w:p>
    <w:p w14:paraId="6B4B4B20" w14:textId="77777777" w:rsidR="00C260B9" w:rsidRPr="00E00F13" w:rsidRDefault="00C260B9" w:rsidP="00E2398F">
      <w:pPr>
        <w:spacing w:after="0" w:line="360" w:lineRule="auto"/>
        <w:jc w:val="both"/>
        <w:rPr>
          <w:rFonts w:ascii="Arial" w:hAnsi="Arial" w:cs="Arial"/>
          <w:sz w:val="24"/>
          <w:szCs w:val="24"/>
          <w:lang w:val="es-ES"/>
        </w:rPr>
      </w:pPr>
    </w:p>
    <w:p w14:paraId="66590C49" w14:textId="5D25B70F" w:rsidR="00C260B9" w:rsidRPr="00E00F13" w:rsidRDefault="00C260B9" w:rsidP="00A52348">
      <w:pPr>
        <w:pStyle w:val="Ttulo3"/>
        <w:rPr>
          <w:color w:val="auto"/>
          <w:lang w:val="es-ES"/>
        </w:rPr>
      </w:pPr>
      <w:bookmarkStart w:id="49" w:name="_Toc234242792"/>
      <w:r w:rsidRPr="00E00F13">
        <w:rPr>
          <w:color w:val="auto"/>
          <w:lang w:val="es-ES"/>
        </w:rPr>
        <w:t>Los objetivos</w:t>
      </w:r>
      <w:bookmarkEnd w:id="49"/>
    </w:p>
    <w:p w14:paraId="5A609F7F" w14:textId="48184698" w:rsidR="00E2398F" w:rsidRPr="00E00F13" w:rsidRDefault="00E2398F" w:rsidP="00E2398F">
      <w:pPr>
        <w:spacing w:after="0" w:line="360" w:lineRule="auto"/>
        <w:jc w:val="both"/>
        <w:rPr>
          <w:rFonts w:ascii="Arial" w:hAnsi="Arial" w:cs="Arial"/>
          <w:sz w:val="24"/>
          <w:szCs w:val="24"/>
          <w:lang w:val="es-ES"/>
        </w:rPr>
      </w:pPr>
      <w:r w:rsidRPr="00E00F13">
        <w:rPr>
          <w:rFonts w:ascii="Arial" w:hAnsi="Arial" w:cs="Arial"/>
          <w:sz w:val="24"/>
          <w:szCs w:val="24"/>
          <w:lang w:val="es-ES"/>
        </w:rPr>
        <w:t xml:space="preserve">Desde la llegada del nuevo gobierno al </w:t>
      </w:r>
      <w:r w:rsidR="00CC68BA" w:rsidRPr="00E00F13">
        <w:rPr>
          <w:rFonts w:ascii="Arial" w:hAnsi="Arial" w:cs="Arial"/>
          <w:sz w:val="24"/>
          <w:szCs w:val="24"/>
          <w:lang w:val="es-ES"/>
        </w:rPr>
        <w:t>M</w:t>
      </w:r>
      <w:r w:rsidRPr="00E00F13">
        <w:rPr>
          <w:rFonts w:ascii="Arial" w:hAnsi="Arial" w:cs="Arial"/>
          <w:sz w:val="24"/>
          <w:szCs w:val="24"/>
          <w:lang w:val="es-ES"/>
        </w:rPr>
        <w:t>inisterio</w:t>
      </w:r>
      <w:r w:rsidR="00CC68BA" w:rsidRPr="00E00F13">
        <w:rPr>
          <w:rFonts w:ascii="Arial" w:hAnsi="Arial" w:cs="Arial"/>
          <w:sz w:val="24"/>
          <w:szCs w:val="24"/>
          <w:lang w:val="es-ES"/>
        </w:rPr>
        <w:t xml:space="preserve"> de Vivienda, Ciudad y Territorio</w:t>
      </w:r>
      <w:r w:rsidRPr="00E00F13">
        <w:rPr>
          <w:rFonts w:ascii="Arial" w:hAnsi="Arial" w:cs="Arial"/>
          <w:sz w:val="24"/>
          <w:szCs w:val="24"/>
          <w:lang w:val="es-ES"/>
        </w:rPr>
        <w:t xml:space="preserve"> en 2022 comenzó a vislumbrarse el conjunto de problemas profundos y estructurares</w:t>
      </w:r>
      <w:r w:rsidR="00BD5911" w:rsidRPr="00E00F13">
        <w:rPr>
          <w:rFonts w:ascii="Arial" w:hAnsi="Arial" w:cs="Arial"/>
          <w:sz w:val="24"/>
          <w:szCs w:val="24"/>
          <w:lang w:val="es-ES"/>
        </w:rPr>
        <w:t xml:space="preserve"> ya</w:t>
      </w:r>
      <w:r w:rsidRPr="00E00F13">
        <w:rPr>
          <w:rFonts w:ascii="Arial" w:hAnsi="Arial" w:cs="Arial"/>
          <w:sz w:val="24"/>
          <w:szCs w:val="24"/>
          <w:lang w:val="es-ES"/>
        </w:rPr>
        <w:t xml:space="preserve"> descritos</w:t>
      </w:r>
      <w:r w:rsidR="00BD5911" w:rsidRPr="00E00F13">
        <w:rPr>
          <w:rFonts w:ascii="Arial" w:hAnsi="Arial" w:cs="Arial"/>
          <w:sz w:val="24"/>
          <w:szCs w:val="24"/>
          <w:lang w:val="es-ES"/>
        </w:rPr>
        <w:t>,</w:t>
      </w:r>
      <w:r w:rsidRPr="00E00F13">
        <w:rPr>
          <w:rFonts w:ascii="Arial" w:hAnsi="Arial" w:cs="Arial"/>
          <w:sz w:val="24"/>
          <w:szCs w:val="24"/>
          <w:lang w:val="es-ES"/>
        </w:rPr>
        <w:t xml:space="preserve"> que obligaron a revisar las bases neoliberales, homogeneizadoras, bancarizada y con enfoque individualista sobre las cuales estaba construido el modelo de vivienda y agua</w:t>
      </w:r>
      <w:r w:rsidR="00AD0674" w:rsidRPr="00E00F13">
        <w:rPr>
          <w:rFonts w:ascii="Arial" w:hAnsi="Arial" w:cs="Arial"/>
          <w:sz w:val="24"/>
          <w:szCs w:val="24"/>
          <w:lang w:val="es-ES"/>
        </w:rPr>
        <w:t xml:space="preserve"> para el consumo humano y saneamiento</w:t>
      </w:r>
      <w:r w:rsidRPr="00E00F13">
        <w:rPr>
          <w:rFonts w:ascii="Arial" w:hAnsi="Arial" w:cs="Arial"/>
          <w:sz w:val="24"/>
          <w:szCs w:val="24"/>
          <w:lang w:val="es-ES"/>
        </w:rPr>
        <w:t xml:space="preserve"> en el país. Este enfoque, además de presentar ausencia de vocación comunitaria y orientado al beneficio de las grandes empresas constructoras, tenía el problema de concebir la vivienda</w:t>
      </w:r>
      <w:r w:rsidR="00BD5911" w:rsidRPr="00E00F13">
        <w:rPr>
          <w:rFonts w:ascii="Arial" w:hAnsi="Arial" w:cs="Arial"/>
          <w:sz w:val="24"/>
          <w:szCs w:val="24"/>
          <w:lang w:val="es-ES"/>
        </w:rPr>
        <w:t xml:space="preserve"> y el agua</w:t>
      </w:r>
      <w:r w:rsidRPr="00E00F13">
        <w:rPr>
          <w:rFonts w:ascii="Arial" w:hAnsi="Arial" w:cs="Arial"/>
          <w:sz w:val="24"/>
          <w:szCs w:val="24"/>
          <w:lang w:val="es-ES"/>
        </w:rPr>
        <w:t xml:space="preserve"> </w:t>
      </w:r>
      <w:r w:rsidR="00AD0674" w:rsidRPr="00E00F13">
        <w:rPr>
          <w:rFonts w:ascii="Arial" w:hAnsi="Arial" w:cs="Arial"/>
          <w:sz w:val="24"/>
          <w:szCs w:val="24"/>
          <w:lang w:val="es-ES"/>
        </w:rPr>
        <w:t xml:space="preserve">para el consumo humano y saneamiento </w:t>
      </w:r>
      <w:r w:rsidRPr="00E00F13">
        <w:rPr>
          <w:rFonts w:ascii="Arial" w:hAnsi="Arial" w:cs="Arial"/>
          <w:sz w:val="24"/>
          <w:szCs w:val="24"/>
          <w:lang w:val="es-ES"/>
        </w:rPr>
        <w:t>como asunto</w:t>
      </w:r>
      <w:r w:rsidR="00AD0674" w:rsidRPr="00E00F13">
        <w:rPr>
          <w:rFonts w:ascii="Arial" w:hAnsi="Arial" w:cs="Arial"/>
          <w:sz w:val="24"/>
          <w:szCs w:val="24"/>
          <w:lang w:val="es-ES"/>
        </w:rPr>
        <w:t>s</w:t>
      </w:r>
      <w:r w:rsidRPr="00E00F13">
        <w:rPr>
          <w:rFonts w:ascii="Arial" w:hAnsi="Arial" w:cs="Arial"/>
          <w:sz w:val="24"/>
          <w:szCs w:val="24"/>
          <w:lang w:val="es-ES"/>
        </w:rPr>
        <w:t xml:space="preserve"> aislado</w:t>
      </w:r>
      <w:r w:rsidR="00AD0674" w:rsidRPr="00E00F13">
        <w:rPr>
          <w:rFonts w:ascii="Arial" w:hAnsi="Arial" w:cs="Arial"/>
          <w:sz w:val="24"/>
          <w:szCs w:val="24"/>
          <w:lang w:val="es-ES"/>
        </w:rPr>
        <w:t>s</w:t>
      </w:r>
      <w:r w:rsidRPr="00E00F13">
        <w:rPr>
          <w:rFonts w:ascii="Arial" w:hAnsi="Arial" w:cs="Arial"/>
          <w:sz w:val="24"/>
          <w:szCs w:val="24"/>
          <w:lang w:val="es-ES"/>
        </w:rPr>
        <w:t xml:space="preserve">. </w:t>
      </w:r>
    </w:p>
    <w:p w14:paraId="1FD9C08F" w14:textId="77777777" w:rsidR="00E2398F" w:rsidRPr="00E00F13" w:rsidRDefault="00E2398F" w:rsidP="00E2398F">
      <w:pPr>
        <w:spacing w:after="0" w:line="360" w:lineRule="auto"/>
        <w:jc w:val="both"/>
        <w:rPr>
          <w:rFonts w:ascii="Arial" w:hAnsi="Arial" w:cs="Arial"/>
          <w:sz w:val="24"/>
          <w:szCs w:val="24"/>
          <w:lang w:val="es-ES_tradnl"/>
        </w:rPr>
      </w:pPr>
    </w:p>
    <w:p w14:paraId="3CA2A456" w14:textId="3A04D790" w:rsidR="00E2398F" w:rsidRPr="00E00F13" w:rsidRDefault="00E2398F" w:rsidP="00E2398F">
      <w:pPr>
        <w:spacing w:after="0" w:line="360" w:lineRule="auto"/>
        <w:jc w:val="both"/>
        <w:rPr>
          <w:rFonts w:ascii="Arial" w:hAnsi="Arial" w:cs="Arial"/>
          <w:sz w:val="24"/>
          <w:szCs w:val="24"/>
          <w:lang w:val="es-ES_tradnl"/>
        </w:rPr>
      </w:pPr>
      <w:r w:rsidRPr="00E00F13">
        <w:rPr>
          <w:rFonts w:ascii="Arial" w:hAnsi="Arial" w:cs="Arial"/>
          <w:sz w:val="24"/>
          <w:szCs w:val="24"/>
          <w:lang w:val="es-ES_tradnl"/>
        </w:rPr>
        <w:t>Por su parte, la homogeneización de la vivienda nueva que hacía toda la infraestructura idéntica limitaba toda posibilidad de autogestionarse un espacio, ambiente o territorio para vivir sin integrarse a una forma de habitar, leyendo la vivienda sola –individual– desde una perspectiva que no integra las complejidades de los procesos de paz, del conflicto armado, de victimizaciones, de violencias basadas en género</w:t>
      </w:r>
      <w:r w:rsidR="00AD0674" w:rsidRPr="00E00F13">
        <w:rPr>
          <w:rFonts w:ascii="Arial" w:hAnsi="Arial" w:cs="Arial"/>
          <w:sz w:val="24"/>
          <w:szCs w:val="24"/>
          <w:lang w:val="es-ES_tradnl"/>
        </w:rPr>
        <w:t xml:space="preserve"> y del cuidado</w:t>
      </w:r>
      <w:r w:rsidRPr="00E00F13">
        <w:rPr>
          <w:rFonts w:ascii="Arial" w:hAnsi="Arial" w:cs="Arial"/>
          <w:sz w:val="24"/>
          <w:szCs w:val="24"/>
          <w:lang w:val="es-ES_tradnl"/>
        </w:rPr>
        <w:t>. Inclusive, sin conexión en términos de equipamientos urbanos, derecho a la ciudad</w:t>
      </w:r>
      <w:r w:rsidR="00AD0674" w:rsidRPr="00E00F13">
        <w:rPr>
          <w:rFonts w:ascii="Arial" w:hAnsi="Arial" w:cs="Arial"/>
          <w:sz w:val="24"/>
          <w:szCs w:val="24"/>
          <w:lang w:val="es-ES_tradnl"/>
        </w:rPr>
        <w:t xml:space="preserve"> y</w:t>
      </w:r>
      <w:r w:rsidRPr="00E00F13">
        <w:rPr>
          <w:rFonts w:ascii="Arial" w:hAnsi="Arial" w:cs="Arial"/>
          <w:sz w:val="24"/>
          <w:szCs w:val="24"/>
          <w:lang w:val="es-ES_tradnl"/>
        </w:rPr>
        <w:t xml:space="preserve"> al territorio.</w:t>
      </w:r>
    </w:p>
    <w:p w14:paraId="639576A0" w14:textId="77777777" w:rsidR="000931BC" w:rsidRPr="00E00F13" w:rsidRDefault="000931BC" w:rsidP="00E2398F">
      <w:pPr>
        <w:spacing w:after="0" w:line="360" w:lineRule="auto"/>
        <w:jc w:val="both"/>
        <w:rPr>
          <w:rFonts w:ascii="Arial" w:hAnsi="Arial" w:cs="Arial"/>
          <w:sz w:val="24"/>
          <w:szCs w:val="24"/>
          <w:lang w:val="es-ES_tradnl"/>
        </w:rPr>
      </w:pPr>
    </w:p>
    <w:p w14:paraId="4FEDE7EC" w14:textId="77777777" w:rsidR="00E2398F" w:rsidRPr="00E00F13" w:rsidRDefault="00E2398F" w:rsidP="00E2398F">
      <w:pPr>
        <w:spacing w:after="0" w:line="360" w:lineRule="auto"/>
        <w:jc w:val="both"/>
        <w:rPr>
          <w:rFonts w:ascii="Arial" w:hAnsi="Arial" w:cs="Arial"/>
          <w:sz w:val="24"/>
          <w:szCs w:val="24"/>
          <w:lang w:val="es-ES_tradnl"/>
        </w:rPr>
      </w:pPr>
      <w:r w:rsidRPr="00E00F13">
        <w:rPr>
          <w:rFonts w:ascii="Arial" w:hAnsi="Arial" w:cs="Arial"/>
          <w:sz w:val="24"/>
          <w:szCs w:val="24"/>
          <w:lang w:val="es-ES_tradnl"/>
        </w:rPr>
        <w:t xml:space="preserve">La necesidad de un cambio de lógica cobraba sentido por muchas razones. La principal era que, en la medida en que no toda la población colombiana de escasos recursos contaba con capital suficiente ni con la permanencia en un sistema bancario, no podía optar por un subsidio. </w:t>
      </w:r>
    </w:p>
    <w:p w14:paraId="74E7226C" w14:textId="77777777" w:rsidR="00E2398F" w:rsidRPr="00E00F13" w:rsidRDefault="00E2398F" w:rsidP="00E2398F">
      <w:pPr>
        <w:spacing w:after="0" w:line="360" w:lineRule="auto"/>
        <w:jc w:val="both"/>
        <w:rPr>
          <w:rFonts w:ascii="Arial" w:hAnsi="Arial" w:cs="Arial"/>
          <w:sz w:val="24"/>
          <w:szCs w:val="24"/>
          <w:lang w:val="es-ES_tradnl"/>
        </w:rPr>
      </w:pPr>
    </w:p>
    <w:p w14:paraId="62207355" w14:textId="60BF373F" w:rsidR="00E2398F" w:rsidRPr="00E00F13" w:rsidRDefault="00E2398F" w:rsidP="00E2398F">
      <w:pPr>
        <w:spacing w:after="0" w:line="360" w:lineRule="auto"/>
        <w:jc w:val="both"/>
        <w:rPr>
          <w:rFonts w:ascii="Arial" w:hAnsi="Arial" w:cs="Arial"/>
          <w:sz w:val="24"/>
          <w:szCs w:val="24"/>
          <w:lang w:val="es-ES"/>
        </w:rPr>
      </w:pPr>
      <w:r w:rsidRPr="00E00F13">
        <w:rPr>
          <w:rFonts w:ascii="Arial" w:hAnsi="Arial" w:cs="Arial"/>
          <w:sz w:val="24"/>
          <w:szCs w:val="24"/>
          <w:lang w:val="es-ES"/>
        </w:rPr>
        <w:t>Asimismo, estaba ausente la perspectiva de que en Colombia el hábitat es rico en biodiversidad y cultura. La política Nuestro Hábitat Biodiverso promueve el cierre de brechas con programas como el de mejoramiento de vivienda, autogestión y autoconstrucción y reconoce el hábitat popular para fortalecer lazos sociales</w:t>
      </w:r>
      <w:r w:rsidR="00537478" w:rsidRPr="00E00F13">
        <w:rPr>
          <w:rFonts w:ascii="Arial" w:hAnsi="Arial" w:cs="Arial"/>
          <w:sz w:val="24"/>
          <w:szCs w:val="24"/>
          <w:lang w:val="es-ES"/>
        </w:rPr>
        <w:t>; en agua para el consumo humano y saneamiento básico reconoce a la población recicladora de oficio y a las organizaciones comunitarias como ejes estructuradores de una política que atienda a la población</w:t>
      </w:r>
      <w:r w:rsidRPr="00E00F13">
        <w:rPr>
          <w:rFonts w:ascii="Arial" w:hAnsi="Arial" w:cs="Arial"/>
          <w:sz w:val="24"/>
          <w:szCs w:val="24"/>
          <w:lang w:val="es-ES"/>
        </w:rPr>
        <w:t xml:space="preserve">. </w:t>
      </w:r>
    </w:p>
    <w:p w14:paraId="11F56583" w14:textId="77777777" w:rsidR="00E2398F" w:rsidRPr="00E00F13" w:rsidRDefault="00E2398F" w:rsidP="00E2398F">
      <w:pPr>
        <w:spacing w:after="0" w:line="360" w:lineRule="auto"/>
        <w:jc w:val="both"/>
        <w:rPr>
          <w:rFonts w:ascii="Arial" w:hAnsi="Arial" w:cs="Arial"/>
          <w:sz w:val="24"/>
          <w:szCs w:val="24"/>
          <w:lang w:val="es-ES_tradnl"/>
        </w:rPr>
      </w:pPr>
    </w:p>
    <w:p w14:paraId="668EFEF8" w14:textId="110076B1" w:rsidR="00E2398F" w:rsidRPr="00E00F13" w:rsidRDefault="00E2398F" w:rsidP="00E2398F">
      <w:pPr>
        <w:spacing w:after="0" w:line="360" w:lineRule="auto"/>
        <w:jc w:val="both"/>
        <w:rPr>
          <w:rFonts w:ascii="Arial" w:hAnsi="Arial" w:cs="Arial"/>
          <w:sz w:val="24"/>
          <w:szCs w:val="24"/>
          <w:lang w:val="es-ES_tradnl"/>
        </w:rPr>
      </w:pPr>
      <w:r w:rsidRPr="00E00F13">
        <w:rPr>
          <w:rFonts w:ascii="Arial" w:hAnsi="Arial" w:cs="Arial"/>
          <w:sz w:val="24"/>
          <w:szCs w:val="24"/>
          <w:lang w:val="es-ES_tradnl"/>
        </w:rPr>
        <w:t xml:space="preserve">Otra razón ha sido la importancia y necesidad de reconocer que en la zona rural persisten brechas y que el cambio de la política es con las organizaciones comunitarias del agua y de la vivienda, para la transformación de sus territorios. </w:t>
      </w:r>
    </w:p>
    <w:p w14:paraId="5426C5DF" w14:textId="0FCFFCA6" w:rsidR="00B66249" w:rsidRPr="00E00F13" w:rsidRDefault="00B66249" w:rsidP="00E2398F">
      <w:pPr>
        <w:spacing w:after="0" w:line="360" w:lineRule="auto"/>
        <w:jc w:val="both"/>
        <w:rPr>
          <w:rFonts w:ascii="Arial" w:hAnsi="Arial" w:cs="Arial"/>
          <w:sz w:val="24"/>
          <w:szCs w:val="24"/>
          <w:lang w:val="es-ES_tradnl"/>
        </w:rPr>
      </w:pPr>
    </w:p>
    <w:p w14:paraId="0912B547" w14:textId="50F664A7" w:rsidR="00F236E1" w:rsidRPr="00E00F13" w:rsidRDefault="00F236E1" w:rsidP="00F236E1">
      <w:pPr>
        <w:spacing w:after="0" w:line="360" w:lineRule="auto"/>
        <w:jc w:val="both"/>
        <w:rPr>
          <w:rFonts w:ascii="Arial" w:hAnsi="Arial" w:cs="Arial"/>
          <w:sz w:val="24"/>
          <w:szCs w:val="24"/>
        </w:rPr>
      </w:pPr>
      <w:r w:rsidRPr="00E00F13">
        <w:rPr>
          <w:rFonts w:ascii="Arial" w:hAnsi="Arial" w:cs="Arial"/>
          <w:sz w:val="24"/>
          <w:szCs w:val="24"/>
        </w:rPr>
        <w:t>Los avances recientes impulsados desde el Ministerio de Vivienda, Ciudad y Territorio (MVCT) introducen un cambio conceptual profundo. Este giro se mueve desde un modelo que concebía la vivienda y el acceso al agua en clave de mercado —centrado en la demanda, la bancarización y la lógica de subsidios— hacia un enfoque que entiende la vivienda y el agua para el consumo humano como derechos, determinantes del hábitat y componentes esenciales del ordenamiento territorial.</w:t>
      </w:r>
    </w:p>
    <w:p w14:paraId="7245D4CC" w14:textId="77777777" w:rsidR="00C260B9" w:rsidRPr="00E00F13" w:rsidRDefault="00C260B9" w:rsidP="00C260B9">
      <w:pPr>
        <w:spacing w:after="0" w:line="360" w:lineRule="auto"/>
        <w:jc w:val="both"/>
        <w:rPr>
          <w:rFonts w:ascii="Arial" w:hAnsi="Arial" w:cs="Arial"/>
          <w:sz w:val="24"/>
          <w:szCs w:val="24"/>
        </w:rPr>
      </w:pPr>
    </w:p>
    <w:p w14:paraId="0382C7CD" w14:textId="77777777" w:rsidR="00181B60" w:rsidRPr="00E00F13" w:rsidRDefault="00181B60" w:rsidP="00181B60">
      <w:pPr>
        <w:pStyle w:val="Ttulo3"/>
        <w:rPr>
          <w:color w:val="auto"/>
          <w:lang w:val="es"/>
        </w:rPr>
      </w:pPr>
      <w:bookmarkStart w:id="50" w:name="_Toc234242793"/>
      <w:r w:rsidRPr="00E00F13">
        <w:rPr>
          <w:color w:val="auto"/>
          <w:lang w:val="es"/>
        </w:rPr>
        <w:t>De lo mío a lo nuestro: el cambio profundo del sector</w:t>
      </w:r>
      <w:bookmarkEnd w:id="50"/>
    </w:p>
    <w:p w14:paraId="569C47C0" w14:textId="77777777" w:rsidR="00181B60" w:rsidRPr="00E00F13" w:rsidRDefault="00181B60" w:rsidP="00181B60">
      <w:pPr>
        <w:spacing w:after="0" w:line="360" w:lineRule="auto"/>
        <w:jc w:val="both"/>
        <w:rPr>
          <w:rFonts w:ascii="Arial" w:hAnsi="Arial" w:cs="Arial"/>
          <w:sz w:val="24"/>
          <w:szCs w:val="24"/>
          <w:lang w:val="es"/>
        </w:rPr>
      </w:pPr>
      <w:r w:rsidRPr="00E00F13">
        <w:rPr>
          <w:rFonts w:ascii="Arial" w:hAnsi="Arial" w:cs="Arial"/>
          <w:sz w:val="24"/>
          <w:szCs w:val="24"/>
          <w:lang w:val="es"/>
        </w:rPr>
        <w:t>La vivienda es relevante para activar el ecosistema financiero que contribuye a la política Nuestro Hábitat Biodiverso, que impulsamos para que promueva la equidad, la sostenibilidad, la justicia ambiental, la participación comunitaria y la paz territorial.</w:t>
      </w:r>
    </w:p>
    <w:p w14:paraId="40D0BCDD" w14:textId="77777777" w:rsidR="00181B60" w:rsidRPr="00E00F13" w:rsidRDefault="00181B60" w:rsidP="00181B60">
      <w:pPr>
        <w:spacing w:after="0" w:line="360" w:lineRule="auto"/>
        <w:jc w:val="both"/>
        <w:rPr>
          <w:rFonts w:ascii="Arial" w:hAnsi="Arial" w:cs="Arial"/>
          <w:sz w:val="24"/>
          <w:szCs w:val="24"/>
          <w:lang w:val="es"/>
        </w:rPr>
      </w:pPr>
    </w:p>
    <w:p w14:paraId="22EA4B2B" w14:textId="1EAD3B85" w:rsidR="00181B60" w:rsidRPr="00E00F13" w:rsidRDefault="00181B60" w:rsidP="00181B60">
      <w:pPr>
        <w:spacing w:after="0" w:line="360" w:lineRule="auto"/>
        <w:jc w:val="both"/>
        <w:rPr>
          <w:rFonts w:ascii="Arial" w:hAnsi="Arial" w:cs="Arial"/>
          <w:sz w:val="24"/>
          <w:szCs w:val="24"/>
          <w:lang w:val="es"/>
        </w:rPr>
      </w:pPr>
      <w:r w:rsidRPr="00E00F13">
        <w:rPr>
          <w:rFonts w:ascii="Arial" w:hAnsi="Arial" w:cs="Arial"/>
          <w:sz w:val="24"/>
          <w:szCs w:val="24"/>
          <w:lang w:val="es"/>
        </w:rPr>
        <w:t>El cambio de la política habitacional de este gobierno y de esta gestión ministerial incorpora una perspectiva integral del hábitat, que reconoce la diversidad de los territorios, sus correlaciones y dinámicas, y que pone al agua como eje central del ordenamiento territorial.</w:t>
      </w:r>
    </w:p>
    <w:p w14:paraId="11528525" w14:textId="77777777" w:rsidR="00181B60" w:rsidRPr="00E00F13" w:rsidRDefault="00181B60" w:rsidP="00181B60">
      <w:pPr>
        <w:spacing w:after="0" w:line="360" w:lineRule="auto"/>
        <w:jc w:val="both"/>
        <w:rPr>
          <w:rFonts w:ascii="Arial" w:hAnsi="Arial" w:cs="Arial"/>
          <w:sz w:val="24"/>
          <w:szCs w:val="24"/>
          <w:lang w:val="es"/>
        </w:rPr>
      </w:pPr>
    </w:p>
    <w:p w14:paraId="25CA8BB9" w14:textId="77777777" w:rsidR="00181B60" w:rsidRPr="00E00F13" w:rsidRDefault="00181B60" w:rsidP="00181B60">
      <w:pPr>
        <w:spacing w:after="0" w:line="360" w:lineRule="auto"/>
        <w:jc w:val="both"/>
        <w:rPr>
          <w:rFonts w:ascii="Arial" w:hAnsi="Arial" w:cs="Arial"/>
          <w:sz w:val="24"/>
          <w:szCs w:val="24"/>
          <w:lang w:val="es"/>
        </w:rPr>
      </w:pPr>
      <w:r w:rsidRPr="00E00F13">
        <w:rPr>
          <w:rFonts w:ascii="Arial" w:hAnsi="Arial" w:cs="Arial"/>
          <w:sz w:val="24"/>
          <w:szCs w:val="24"/>
          <w:lang w:val="es"/>
        </w:rPr>
        <w:lastRenderedPageBreak/>
        <w:t>La forma como nos asentamos en los territorios es una visión prospectiva de la construcción del mundo humano. Los desafíos climáticos, sanitarios y energéticos han estado siempre presentes, orientando las formas de habitar y configurar los espacios. Por ello, nuestro Programa de Gobierno implica una promesa de valor que promueve el ordenamiento territorial alrededor del agua con determinantes ambientales que inciden en el cuidado de la vida y de los ecosistemas. Así, nuestra política reconoce las distintas formas de habitar y ordenar el territorio basadas en la diversidad biológica, cultural y regional del país.</w:t>
      </w:r>
    </w:p>
    <w:p w14:paraId="665F0348" w14:textId="77777777" w:rsidR="00181B60" w:rsidRPr="00E00F13" w:rsidRDefault="00181B60" w:rsidP="00181B60">
      <w:pPr>
        <w:spacing w:after="0" w:line="360" w:lineRule="auto"/>
        <w:jc w:val="both"/>
        <w:rPr>
          <w:rFonts w:ascii="Arial" w:hAnsi="Arial" w:cs="Arial"/>
          <w:sz w:val="24"/>
          <w:szCs w:val="24"/>
          <w:lang w:val="es"/>
        </w:rPr>
      </w:pPr>
    </w:p>
    <w:p w14:paraId="660DE182" w14:textId="4D71AC7A" w:rsidR="00181B60" w:rsidRPr="00E00F13" w:rsidRDefault="00181B60" w:rsidP="00181B60">
      <w:pPr>
        <w:spacing w:after="0" w:line="360" w:lineRule="auto"/>
        <w:jc w:val="both"/>
        <w:rPr>
          <w:rFonts w:ascii="Arial" w:hAnsi="Arial" w:cs="Arial"/>
          <w:sz w:val="24"/>
          <w:szCs w:val="24"/>
          <w:lang w:val="es"/>
        </w:rPr>
      </w:pPr>
      <w:r w:rsidRPr="00E00F13">
        <w:rPr>
          <w:rFonts w:ascii="Arial" w:hAnsi="Arial" w:cs="Arial"/>
          <w:sz w:val="24"/>
          <w:szCs w:val="24"/>
          <w:lang w:val="es"/>
        </w:rPr>
        <w:t xml:space="preserve">En cumplimiento de las metas incluidas en el Plan Nacional de Desarrollo, entre 2022 y 2024 se ha logrado reducir el déficit habitacional en un 3.6 %, un avance concreto para asegurar condiciones adecuadas de vivienda en el país. Y es que el déficit cuantitativo muestra una reducción sostenida, con corte a 9 de mayo de 2025 se han beneficiado 216.047 hogares, lo que significa un 97 % de cumplimiento de la meta del cuatrienio. El trabajo y el compromiso también. Ha sido para solucionar el déficit cualitativo. </w:t>
      </w:r>
    </w:p>
    <w:p w14:paraId="3D9117D6" w14:textId="77777777" w:rsidR="00181B60" w:rsidRPr="00E00F13" w:rsidRDefault="00181B60" w:rsidP="00181B60">
      <w:pPr>
        <w:spacing w:after="0" w:line="360" w:lineRule="auto"/>
        <w:jc w:val="both"/>
        <w:rPr>
          <w:rFonts w:ascii="Arial" w:hAnsi="Arial" w:cs="Arial"/>
          <w:sz w:val="24"/>
          <w:szCs w:val="24"/>
          <w:lang w:val="es"/>
        </w:rPr>
      </w:pPr>
    </w:p>
    <w:p w14:paraId="024C3DE5" w14:textId="2B8A84AB" w:rsidR="00181B60" w:rsidRPr="00E00F13" w:rsidRDefault="00181B60" w:rsidP="00181B60">
      <w:pPr>
        <w:spacing w:after="0" w:line="360" w:lineRule="auto"/>
        <w:jc w:val="both"/>
        <w:rPr>
          <w:rFonts w:ascii="Arial" w:hAnsi="Arial" w:cs="Arial"/>
          <w:sz w:val="24"/>
          <w:szCs w:val="24"/>
          <w:lang w:val="es"/>
        </w:rPr>
      </w:pPr>
      <w:r w:rsidRPr="00E00F13">
        <w:rPr>
          <w:rFonts w:ascii="Arial" w:hAnsi="Arial" w:cs="Arial"/>
          <w:sz w:val="24"/>
          <w:szCs w:val="24"/>
          <w:lang w:val="es"/>
        </w:rPr>
        <w:t xml:space="preserve">Atender el déficit cualitativo significa entender que en Colombia 3,7 millones de hogares tienen carencias habitacionales y que más de la mitad de las viviendas urbanas, y casi todas la rurales, han sido autoconstruidas o autogestionadas, barrios y veredas que tienen como aliado al tiempo y al trabajo colectivo. A través del mejoramiento de vivienda es como se reconoce que la vivienda no es un fin, un producto de consumo, sino un medio para mejorar la calidad de vida de las comunidades, incrementar sus ingresos y garantizar la sostenibilidad del territorio.  </w:t>
      </w:r>
    </w:p>
    <w:p w14:paraId="41EF22CE" w14:textId="77777777" w:rsidR="00181B60" w:rsidRPr="00E00F13" w:rsidRDefault="00181B60" w:rsidP="00181B60">
      <w:pPr>
        <w:spacing w:after="0" w:line="360" w:lineRule="auto"/>
        <w:jc w:val="both"/>
        <w:rPr>
          <w:rFonts w:ascii="Arial" w:hAnsi="Arial" w:cs="Arial"/>
          <w:sz w:val="24"/>
          <w:szCs w:val="24"/>
          <w:lang w:val="es"/>
        </w:rPr>
      </w:pPr>
    </w:p>
    <w:p w14:paraId="402F643C" w14:textId="6AC68921" w:rsidR="00181B60" w:rsidRPr="00E00F13" w:rsidRDefault="00181B60" w:rsidP="00181B60">
      <w:pPr>
        <w:spacing w:after="0" w:line="360" w:lineRule="auto"/>
        <w:jc w:val="both"/>
        <w:rPr>
          <w:rFonts w:ascii="Arial" w:hAnsi="Arial" w:cs="Arial"/>
          <w:sz w:val="24"/>
          <w:szCs w:val="24"/>
          <w:lang w:val="es"/>
        </w:rPr>
      </w:pPr>
      <w:r w:rsidRPr="00E00F13">
        <w:rPr>
          <w:rFonts w:ascii="Arial" w:hAnsi="Arial" w:cs="Arial"/>
          <w:sz w:val="24"/>
          <w:szCs w:val="24"/>
          <w:lang w:val="es"/>
        </w:rPr>
        <w:t xml:space="preserve">Y es por eso que hemos expedido decretos, con vasos comunicantes, que desarrollan este cambio de paradigma en la política de vivienda: el Decreto 413 de 2025 de mejoramiento de vivienda, el Decreto 585 de 2025, que regula el Programa de Autoconstrucción y Autogestión, y el Decreto 1470 de 2024 de Barrios de Paz, los tres promueven que las familias puedan desarrollar sus proyectos de manera </w:t>
      </w:r>
      <w:r w:rsidRPr="00E00F13">
        <w:rPr>
          <w:rFonts w:ascii="Arial" w:hAnsi="Arial" w:cs="Arial"/>
          <w:sz w:val="24"/>
          <w:szCs w:val="24"/>
          <w:lang w:val="es"/>
        </w:rPr>
        <w:lastRenderedPageBreak/>
        <w:t>colectiva, fortalezcan el trabajo comunitario y cuenten con soluciones adaptadas a las necesidades locales y al medio ambiente.</w:t>
      </w:r>
    </w:p>
    <w:p w14:paraId="1EC42FEE" w14:textId="77777777" w:rsidR="00181B60" w:rsidRPr="00E00F13" w:rsidRDefault="00181B60" w:rsidP="00181B60">
      <w:pPr>
        <w:spacing w:after="0" w:line="360" w:lineRule="auto"/>
        <w:jc w:val="both"/>
        <w:rPr>
          <w:rFonts w:ascii="Arial" w:hAnsi="Arial" w:cs="Arial"/>
          <w:sz w:val="24"/>
          <w:szCs w:val="24"/>
          <w:lang w:val="es"/>
        </w:rPr>
      </w:pPr>
    </w:p>
    <w:p w14:paraId="61106DEA" w14:textId="19366422" w:rsidR="00C260B9" w:rsidRPr="00E00F13" w:rsidRDefault="00C260B9" w:rsidP="00A52348">
      <w:pPr>
        <w:pStyle w:val="Ttulo3"/>
        <w:rPr>
          <w:color w:val="auto"/>
        </w:rPr>
      </w:pPr>
      <w:bookmarkStart w:id="51" w:name="_Toc234242794"/>
      <w:r w:rsidRPr="00E00F13">
        <w:rPr>
          <w:color w:val="auto"/>
        </w:rPr>
        <w:t>Los</w:t>
      </w:r>
      <w:r w:rsidR="00B44717" w:rsidRPr="00E00F13">
        <w:rPr>
          <w:color w:val="auto"/>
        </w:rPr>
        <w:t xml:space="preserve"> cinco</w:t>
      </w:r>
      <w:r w:rsidRPr="00E00F13">
        <w:rPr>
          <w:color w:val="auto"/>
        </w:rPr>
        <w:t xml:space="preserve"> fundamentos políticos</w:t>
      </w:r>
      <w:bookmarkEnd w:id="51"/>
    </w:p>
    <w:p w14:paraId="2403D878" w14:textId="46E6D121" w:rsidR="00C260B9" w:rsidRPr="00E00F13" w:rsidRDefault="00181B60" w:rsidP="00C260B9">
      <w:pPr>
        <w:spacing w:after="0" w:line="360" w:lineRule="auto"/>
        <w:jc w:val="both"/>
        <w:rPr>
          <w:rFonts w:ascii="Arial" w:hAnsi="Arial" w:cs="Arial"/>
          <w:sz w:val="24"/>
          <w:szCs w:val="24"/>
        </w:rPr>
      </w:pPr>
      <w:r w:rsidRPr="00E00F13">
        <w:rPr>
          <w:rFonts w:ascii="Arial" w:hAnsi="Arial" w:cs="Arial"/>
          <w:sz w:val="24"/>
          <w:szCs w:val="24"/>
        </w:rPr>
        <w:t>E</w:t>
      </w:r>
      <w:r w:rsidR="00C260B9" w:rsidRPr="00E00F13">
        <w:rPr>
          <w:rFonts w:ascii="Arial" w:hAnsi="Arial" w:cs="Arial"/>
          <w:sz w:val="24"/>
          <w:szCs w:val="24"/>
        </w:rPr>
        <w:t xml:space="preserve">l cambio de paradigma propuesto y asumido por este ministerio obedece a </w:t>
      </w:r>
      <w:r w:rsidRPr="00E00F13">
        <w:rPr>
          <w:rFonts w:ascii="Arial" w:hAnsi="Arial" w:cs="Arial"/>
          <w:sz w:val="24"/>
          <w:szCs w:val="24"/>
        </w:rPr>
        <w:t>l</w:t>
      </w:r>
      <w:r w:rsidR="00C260B9" w:rsidRPr="00E00F13">
        <w:rPr>
          <w:rFonts w:ascii="Arial" w:hAnsi="Arial" w:cs="Arial"/>
          <w:sz w:val="24"/>
          <w:szCs w:val="24"/>
        </w:rPr>
        <w:t xml:space="preserve">a nueva visión y estrategia en la política pública de Colombia orientada a dar el paso desde los programas que promovían la individualidad de los hogares por lograr un subsidio, hacia políticas habitacionales, en sectores urbanos y rurales, basadas </w:t>
      </w:r>
      <w:r w:rsidR="00C260B9" w:rsidRPr="00E00F13">
        <w:rPr>
          <w:rFonts w:ascii="Arial" w:hAnsi="Arial" w:cs="Arial"/>
          <w:b/>
          <w:bCs/>
          <w:sz w:val="24"/>
          <w:szCs w:val="24"/>
        </w:rPr>
        <w:t xml:space="preserve">en </w:t>
      </w:r>
      <w:r w:rsidR="00724227" w:rsidRPr="00E00F13">
        <w:rPr>
          <w:rFonts w:ascii="Arial" w:hAnsi="Arial" w:cs="Arial"/>
          <w:b/>
          <w:bCs/>
          <w:sz w:val="24"/>
          <w:szCs w:val="24"/>
        </w:rPr>
        <w:t>cinco</w:t>
      </w:r>
      <w:r w:rsidR="00C260B9" w:rsidRPr="00E00F13">
        <w:rPr>
          <w:rFonts w:ascii="Arial" w:hAnsi="Arial" w:cs="Arial"/>
          <w:b/>
          <w:bCs/>
          <w:sz w:val="24"/>
          <w:szCs w:val="24"/>
        </w:rPr>
        <w:t xml:space="preserve"> fundamentos políticos</w:t>
      </w:r>
      <w:r w:rsidR="00C260B9" w:rsidRPr="00E00F13">
        <w:rPr>
          <w:rFonts w:ascii="Arial" w:hAnsi="Arial" w:cs="Arial"/>
          <w:sz w:val="24"/>
          <w:szCs w:val="24"/>
        </w:rPr>
        <w:t>:</w:t>
      </w:r>
    </w:p>
    <w:p w14:paraId="42944856" w14:textId="77777777" w:rsidR="00C260B9" w:rsidRPr="00E00F13" w:rsidRDefault="00C260B9" w:rsidP="00C260B9">
      <w:pPr>
        <w:spacing w:after="0" w:line="360" w:lineRule="auto"/>
        <w:jc w:val="both"/>
        <w:rPr>
          <w:rFonts w:ascii="Arial" w:hAnsi="Arial" w:cs="Arial"/>
          <w:sz w:val="24"/>
          <w:szCs w:val="24"/>
        </w:rPr>
      </w:pPr>
    </w:p>
    <w:p w14:paraId="4DA7F5CA" w14:textId="02D212B8" w:rsidR="00C260B9" w:rsidRPr="00E00F13" w:rsidRDefault="00C260B9">
      <w:pPr>
        <w:pStyle w:val="Prrafodelista"/>
        <w:numPr>
          <w:ilvl w:val="0"/>
          <w:numId w:val="45"/>
        </w:numPr>
        <w:spacing w:after="0" w:line="360" w:lineRule="auto"/>
        <w:jc w:val="both"/>
        <w:rPr>
          <w:rFonts w:ascii="Arial" w:hAnsi="Arial" w:cs="Arial"/>
          <w:sz w:val="24"/>
          <w:szCs w:val="24"/>
        </w:rPr>
      </w:pPr>
      <w:r w:rsidRPr="00E00F13">
        <w:rPr>
          <w:rFonts w:ascii="Arial" w:hAnsi="Arial" w:cs="Arial"/>
          <w:sz w:val="24"/>
          <w:szCs w:val="24"/>
        </w:rPr>
        <w:t xml:space="preserve">En primer lugar, </w:t>
      </w:r>
      <w:r w:rsidRPr="00E00F13">
        <w:rPr>
          <w:rFonts w:ascii="Arial" w:hAnsi="Arial" w:cs="Arial"/>
          <w:b/>
          <w:bCs/>
          <w:sz w:val="24"/>
          <w:szCs w:val="24"/>
        </w:rPr>
        <w:t>fortalecer la base comunitaria y social</w:t>
      </w:r>
      <w:r w:rsidR="00210D2B" w:rsidRPr="00E00F13">
        <w:rPr>
          <w:rFonts w:ascii="Arial" w:hAnsi="Arial" w:cs="Arial"/>
          <w:b/>
          <w:bCs/>
          <w:sz w:val="24"/>
          <w:szCs w:val="24"/>
        </w:rPr>
        <w:t xml:space="preserve"> para recuperar la gobernanza territorial</w:t>
      </w:r>
      <w:r w:rsidRPr="00E00F13">
        <w:rPr>
          <w:rFonts w:ascii="Arial" w:hAnsi="Arial" w:cs="Arial"/>
          <w:sz w:val="24"/>
          <w:szCs w:val="24"/>
        </w:rPr>
        <w:t xml:space="preserve">. El fortalecimiento de la base comunitaria obedece a dos aspectos relevantes. Por un lado, ha sido ella quien ha construido la mayoría de las soluciones habitacionales en Colombia por fuera del mercado y, por el otro, al cumplimiento del plan de gobierno, que propuso alianzas </w:t>
      </w:r>
      <w:proofErr w:type="gramStart"/>
      <w:r w:rsidRPr="00E00F13">
        <w:rPr>
          <w:rFonts w:ascii="Arial" w:hAnsi="Arial" w:cs="Arial"/>
          <w:sz w:val="24"/>
          <w:szCs w:val="24"/>
        </w:rPr>
        <w:t>público populares</w:t>
      </w:r>
      <w:proofErr w:type="gramEnd"/>
      <w:r w:rsidRPr="00E00F13">
        <w:rPr>
          <w:rFonts w:ascii="Arial" w:hAnsi="Arial" w:cs="Arial"/>
          <w:sz w:val="24"/>
          <w:szCs w:val="24"/>
        </w:rPr>
        <w:t xml:space="preserve"> para recuperar la gobernanza territorial.</w:t>
      </w:r>
    </w:p>
    <w:p w14:paraId="3F8D2B76" w14:textId="77777777" w:rsidR="00C260B9" w:rsidRPr="00E00F13" w:rsidRDefault="00C260B9">
      <w:pPr>
        <w:pStyle w:val="Prrafodelista"/>
        <w:numPr>
          <w:ilvl w:val="0"/>
          <w:numId w:val="45"/>
        </w:numPr>
        <w:spacing w:after="0" w:line="360" w:lineRule="auto"/>
        <w:jc w:val="both"/>
        <w:rPr>
          <w:rFonts w:ascii="Arial" w:hAnsi="Arial" w:cs="Arial"/>
          <w:sz w:val="24"/>
          <w:szCs w:val="24"/>
        </w:rPr>
      </w:pPr>
      <w:r w:rsidRPr="00E00F13">
        <w:rPr>
          <w:rFonts w:ascii="Arial" w:hAnsi="Arial" w:cs="Arial"/>
          <w:sz w:val="24"/>
          <w:szCs w:val="24"/>
        </w:rPr>
        <w:t xml:space="preserve"> En segundo lugar, c</w:t>
      </w:r>
      <w:r w:rsidRPr="00E00F13">
        <w:rPr>
          <w:rFonts w:ascii="Arial" w:hAnsi="Arial" w:cs="Arial"/>
          <w:b/>
          <w:bCs/>
          <w:sz w:val="24"/>
          <w:szCs w:val="24"/>
        </w:rPr>
        <w:t>ontribuir con la generación de procesos que dinamicen las economías locales</w:t>
      </w:r>
      <w:r w:rsidRPr="00E00F13">
        <w:rPr>
          <w:rFonts w:ascii="Arial" w:hAnsi="Arial" w:cs="Arial"/>
          <w:sz w:val="24"/>
          <w:szCs w:val="24"/>
        </w:rPr>
        <w:t>, en especial, en municipios alejados de las condiciones del mercado inmobiliario. Esto permite reconocer en lo territorial el esfuerzo local como base del cambio.</w:t>
      </w:r>
    </w:p>
    <w:p w14:paraId="25C928FB" w14:textId="77777777" w:rsidR="00C260B9" w:rsidRPr="00E00F13" w:rsidRDefault="00C260B9">
      <w:pPr>
        <w:pStyle w:val="Prrafodelista"/>
        <w:numPr>
          <w:ilvl w:val="0"/>
          <w:numId w:val="45"/>
        </w:numPr>
        <w:spacing w:after="0" w:line="360" w:lineRule="auto"/>
        <w:jc w:val="both"/>
        <w:rPr>
          <w:rFonts w:ascii="Arial" w:hAnsi="Arial" w:cs="Arial"/>
          <w:sz w:val="24"/>
          <w:szCs w:val="24"/>
        </w:rPr>
      </w:pPr>
      <w:r w:rsidRPr="00E00F13">
        <w:rPr>
          <w:rFonts w:ascii="Arial" w:hAnsi="Arial" w:cs="Arial"/>
          <w:sz w:val="24"/>
          <w:szCs w:val="24"/>
        </w:rPr>
        <w:t xml:space="preserve"> En tercer lugar, </w:t>
      </w:r>
      <w:r w:rsidRPr="00E00F13">
        <w:rPr>
          <w:rFonts w:ascii="Arial" w:hAnsi="Arial" w:cs="Arial"/>
          <w:b/>
          <w:bCs/>
          <w:sz w:val="24"/>
          <w:szCs w:val="24"/>
        </w:rPr>
        <w:t>aportar a la solución de las condiciones habitacionales, a partir de darle un espacio funcional, técnico y financiero a las comunidades</w:t>
      </w:r>
      <w:r w:rsidRPr="00E00F13">
        <w:rPr>
          <w:rFonts w:ascii="Arial" w:hAnsi="Arial" w:cs="Arial"/>
          <w:sz w:val="24"/>
          <w:szCs w:val="24"/>
        </w:rPr>
        <w:t>, quienes, a través de medios organizativos y asociativos especialmente, han configurado las dinámicas urbanas y rurales en este país, para mejorar o construir hábitats populares.</w:t>
      </w:r>
    </w:p>
    <w:p w14:paraId="7AF71318" w14:textId="2612B90A" w:rsidR="009871D1" w:rsidRPr="00E00F13" w:rsidRDefault="009871D1">
      <w:pPr>
        <w:pStyle w:val="Prrafodelista"/>
        <w:numPr>
          <w:ilvl w:val="0"/>
          <w:numId w:val="45"/>
        </w:numPr>
        <w:spacing w:after="0" w:line="360" w:lineRule="auto"/>
        <w:jc w:val="both"/>
        <w:rPr>
          <w:rFonts w:ascii="Arial" w:hAnsi="Arial" w:cs="Arial"/>
          <w:sz w:val="24"/>
          <w:szCs w:val="24"/>
        </w:rPr>
      </w:pPr>
      <w:r w:rsidRPr="00E00F13">
        <w:rPr>
          <w:rFonts w:ascii="Arial" w:hAnsi="Arial" w:cs="Arial"/>
          <w:sz w:val="24"/>
          <w:szCs w:val="24"/>
        </w:rPr>
        <w:t xml:space="preserve">En cuarto lugar, </w:t>
      </w:r>
      <w:r w:rsidRPr="00E00F13">
        <w:rPr>
          <w:rFonts w:ascii="Arial" w:hAnsi="Arial" w:cs="Arial"/>
          <w:b/>
          <w:bCs/>
          <w:sz w:val="24"/>
          <w:szCs w:val="24"/>
        </w:rPr>
        <w:t>partir de las características del territorio, evitando la homogeneización</w:t>
      </w:r>
      <w:r w:rsidRPr="00E00F13">
        <w:rPr>
          <w:rFonts w:ascii="Arial" w:hAnsi="Arial" w:cs="Arial"/>
          <w:sz w:val="24"/>
          <w:szCs w:val="24"/>
        </w:rPr>
        <w:t xml:space="preserve"> de una suerte de vivienda única que para muchos es inhabitable, por no contemplar la idea de hábitat, sino la de mercancía.</w:t>
      </w:r>
    </w:p>
    <w:p w14:paraId="092759F7" w14:textId="269E0BBA" w:rsidR="00724227" w:rsidRPr="00E00F13" w:rsidRDefault="00724227">
      <w:pPr>
        <w:pStyle w:val="Prrafodelista"/>
        <w:numPr>
          <w:ilvl w:val="0"/>
          <w:numId w:val="45"/>
        </w:numPr>
        <w:spacing w:after="0" w:line="360" w:lineRule="auto"/>
        <w:jc w:val="both"/>
        <w:rPr>
          <w:rFonts w:ascii="Arial" w:hAnsi="Arial" w:cs="Arial"/>
          <w:sz w:val="24"/>
          <w:szCs w:val="24"/>
        </w:rPr>
      </w:pPr>
      <w:r w:rsidRPr="00E00F13">
        <w:rPr>
          <w:rFonts w:ascii="Arial" w:hAnsi="Arial" w:cs="Arial"/>
          <w:sz w:val="24"/>
          <w:szCs w:val="24"/>
        </w:rPr>
        <w:t xml:space="preserve">En quinto lugar, </w:t>
      </w:r>
      <w:r w:rsidRPr="00E00F13">
        <w:rPr>
          <w:rFonts w:ascii="Arial" w:hAnsi="Arial" w:cs="Arial"/>
          <w:b/>
          <w:bCs/>
          <w:sz w:val="24"/>
          <w:szCs w:val="24"/>
        </w:rPr>
        <w:t>trabajar con prioridad en aquellos sectores poblacionales que más lo necesitan</w:t>
      </w:r>
      <w:r w:rsidRPr="00E00F13">
        <w:rPr>
          <w:rFonts w:ascii="Arial" w:hAnsi="Arial" w:cs="Arial"/>
          <w:sz w:val="24"/>
          <w:szCs w:val="24"/>
        </w:rPr>
        <w:t>, anteponiendo la focalización en la clase tradicionalmente ajena a una política de vivienda inclusiva.</w:t>
      </w:r>
    </w:p>
    <w:p w14:paraId="2DC11892" w14:textId="16842F0A" w:rsidR="00F236E1" w:rsidRPr="00E00F13" w:rsidRDefault="00A52348" w:rsidP="00A52348">
      <w:pPr>
        <w:pStyle w:val="Ttulo3"/>
        <w:rPr>
          <w:color w:val="auto"/>
        </w:rPr>
      </w:pPr>
      <w:bookmarkStart w:id="52" w:name="_Toc234242795"/>
      <w:r w:rsidRPr="00E00F13">
        <w:rPr>
          <w:color w:val="auto"/>
        </w:rPr>
        <w:lastRenderedPageBreak/>
        <w:t>A qué le apostamos</w:t>
      </w:r>
      <w:bookmarkEnd w:id="52"/>
    </w:p>
    <w:p w14:paraId="5FBD780D" w14:textId="77777777" w:rsidR="00A52348" w:rsidRPr="00E00F13" w:rsidRDefault="00A52348" w:rsidP="00F236E1">
      <w:pPr>
        <w:spacing w:after="0" w:line="360" w:lineRule="auto"/>
        <w:jc w:val="both"/>
        <w:rPr>
          <w:rFonts w:ascii="Arial" w:hAnsi="Arial" w:cs="Arial"/>
          <w:b/>
          <w:bCs/>
        </w:rPr>
      </w:pPr>
    </w:p>
    <w:p w14:paraId="63D86038" w14:textId="77777777" w:rsidR="00F236E1" w:rsidRPr="00E00F13" w:rsidRDefault="00F236E1" w:rsidP="00F236E1">
      <w:pPr>
        <w:spacing w:after="0" w:line="360" w:lineRule="auto"/>
        <w:jc w:val="both"/>
        <w:rPr>
          <w:rFonts w:ascii="Arial" w:hAnsi="Arial" w:cs="Arial"/>
          <w:sz w:val="24"/>
          <w:szCs w:val="24"/>
        </w:rPr>
      </w:pPr>
      <w:r w:rsidRPr="00E00F13">
        <w:rPr>
          <w:rFonts w:ascii="Arial" w:hAnsi="Arial" w:cs="Arial"/>
          <w:sz w:val="24"/>
          <w:szCs w:val="24"/>
        </w:rPr>
        <w:t>Este nuevo enfoque incorpora tres transformaciones conceptuales esenciales:</w:t>
      </w:r>
    </w:p>
    <w:p w14:paraId="7EF0339C" w14:textId="77777777" w:rsidR="00F236E1" w:rsidRPr="00E00F13" w:rsidRDefault="00F236E1" w:rsidP="00F236E1">
      <w:pPr>
        <w:spacing w:after="0" w:line="360" w:lineRule="auto"/>
        <w:jc w:val="both"/>
        <w:rPr>
          <w:rFonts w:ascii="Arial" w:hAnsi="Arial" w:cs="Arial"/>
          <w:sz w:val="24"/>
          <w:szCs w:val="24"/>
        </w:rPr>
      </w:pPr>
    </w:p>
    <w:p w14:paraId="5FF8DDC2" w14:textId="77777777" w:rsidR="00F236E1" w:rsidRPr="00E00F13" w:rsidRDefault="00F236E1" w:rsidP="00F236E1">
      <w:pPr>
        <w:rPr>
          <w:rFonts w:ascii="Arial" w:hAnsi="Arial" w:cs="Arial"/>
          <w:sz w:val="24"/>
          <w:szCs w:val="24"/>
        </w:rPr>
      </w:pPr>
      <w:r w:rsidRPr="00E00F13">
        <w:rPr>
          <w:rFonts w:ascii="Arial" w:hAnsi="Arial" w:cs="Arial"/>
          <w:sz w:val="24"/>
          <w:szCs w:val="24"/>
        </w:rPr>
        <w:t>a) De la lógica de demanda a la lógica de derechos</w:t>
      </w:r>
    </w:p>
    <w:p w14:paraId="69603F81" w14:textId="77777777" w:rsidR="00F236E1" w:rsidRPr="00E00F13" w:rsidRDefault="00F236E1" w:rsidP="00F236E1">
      <w:pPr>
        <w:spacing w:after="0" w:line="360" w:lineRule="auto"/>
        <w:jc w:val="both"/>
        <w:rPr>
          <w:rFonts w:ascii="Arial" w:hAnsi="Arial" w:cs="Arial"/>
          <w:sz w:val="24"/>
          <w:szCs w:val="24"/>
        </w:rPr>
      </w:pPr>
      <w:r w:rsidRPr="00E00F13">
        <w:rPr>
          <w:rFonts w:ascii="Arial" w:hAnsi="Arial" w:cs="Arial"/>
          <w:sz w:val="24"/>
          <w:szCs w:val="24"/>
        </w:rPr>
        <w:t>El Estado ya no se limita a financiar proyectos bien estructurados que llegan desde municipios con capacidad técnica. Ahora reconoce su obligación de acudir a donde existen mayores necesidades, independientemente de la capacidad de los gobiernos locales para formular proyectos.</w:t>
      </w:r>
    </w:p>
    <w:p w14:paraId="2C712483" w14:textId="77777777" w:rsidR="00F236E1" w:rsidRPr="00E00F13" w:rsidRDefault="00F236E1" w:rsidP="00F236E1">
      <w:pPr>
        <w:spacing w:after="0" w:line="360" w:lineRule="auto"/>
        <w:jc w:val="both"/>
        <w:rPr>
          <w:rFonts w:ascii="Arial" w:hAnsi="Arial" w:cs="Arial"/>
          <w:sz w:val="24"/>
          <w:szCs w:val="24"/>
        </w:rPr>
      </w:pPr>
    </w:p>
    <w:p w14:paraId="0B92779B" w14:textId="77777777" w:rsidR="00F236E1" w:rsidRPr="00E00F13" w:rsidRDefault="00F236E1" w:rsidP="00F236E1">
      <w:pPr>
        <w:rPr>
          <w:rFonts w:ascii="Arial" w:hAnsi="Arial" w:cs="Arial"/>
          <w:sz w:val="24"/>
          <w:szCs w:val="24"/>
        </w:rPr>
      </w:pPr>
      <w:r w:rsidRPr="00E00F13">
        <w:rPr>
          <w:rFonts w:ascii="Arial" w:hAnsi="Arial" w:cs="Arial"/>
          <w:sz w:val="24"/>
          <w:szCs w:val="24"/>
        </w:rPr>
        <w:t>b) Del prestador único a la pluralidad de formas de gestión</w:t>
      </w:r>
    </w:p>
    <w:p w14:paraId="6338B1AE" w14:textId="2AE71277" w:rsidR="00D201D1" w:rsidRPr="00E00F13" w:rsidRDefault="00F236E1" w:rsidP="00F236E1">
      <w:pPr>
        <w:spacing w:after="0" w:line="360" w:lineRule="auto"/>
        <w:jc w:val="both"/>
        <w:rPr>
          <w:rFonts w:ascii="Arial" w:hAnsi="Arial" w:cs="Arial"/>
          <w:sz w:val="24"/>
          <w:szCs w:val="24"/>
        </w:rPr>
      </w:pPr>
      <w:r w:rsidRPr="00E00F13">
        <w:rPr>
          <w:rFonts w:ascii="Arial" w:hAnsi="Arial" w:cs="Arial"/>
          <w:sz w:val="24"/>
          <w:szCs w:val="24"/>
        </w:rPr>
        <w:t xml:space="preserve">El reconocimiento normativo de los gestores comunitarios (Decreto 960 de 2025) y la creación de instrumentos como la Ruta </w:t>
      </w:r>
      <w:proofErr w:type="spellStart"/>
      <w:r w:rsidRPr="00E00F13">
        <w:rPr>
          <w:rFonts w:ascii="Arial" w:hAnsi="Arial" w:cs="Arial"/>
          <w:sz w:val="24"/>
          <w:szCs w:val="24"/>
        </w:rPr>
        <w:t>ComuniAgua</w:t>
      </w:r>
      <w:proofErr w:type="spellEnd"/>
      <w:r w:rsidRPr="00E00F13">
        <w:rPr>
          <w:rFonts w:ascii="Arial" w:hAnsi="Arial" w:cs="Arial"/>
          <w:sz w:val="24"/>
          <w:szCs w:val="24"/>
        </w:rPr>
        <w:t xml:space="preserve"> o el subsidio comunitario reorientan la política de agua y saneamiento básico hacia un sistema donde coexisten empresas prestadoras, organizaciones comunitarias, esquemas diferenciales y medios alternos. La gestión del agua se entiende como un proceso comunitario, social y territorial, y no solo como un servicio técnico prestado por operadores tradicionales. </w:t>
      </w:r>
    </w:p>
    <w:p w14:paraId="7DBC31A6" w14:textId="77777777" w:rsidR="00D201D1" w:rsidRPr="00E00F13" w:rsidRDefault="00D201D1" w:rsidP="00F236E1">
      <w:pPr>
        <w:spacing w:after="0" w:line="360" w:lineRule="auto"/>
        <w:jc w:val="both"/>
        <w:rPr>
          <w:rFonts w:ascii="Arial" w:hAnsi="Arial" w:cs="Arial"/>
          <w:sz w:val="24"/>
          <w:szCs w:val="24"/>
        </w:rPr>
      </w:pPr>
    </w:p>
    <w:p w14:paraId="6A5A0B19" w14:textId="46F72E52" w:rsidR="00D201D1" w:rsidRPr="00E00F13" w:rsidRDefault="00D201D1" w:rsidP="00D201D1">
      <w:pPr>
        <w:spacing w:after="0" w:line="360" w:lineRule="auto"/>
        <w:jc w:val="both"/>
        <w:rPr>
          <w:rFonts w:ascii="Arial" w:hAnsi="Arial" w:cs="Arial"/>
          <w:sz w:val="24"/>
          <w:szCs w:val="24"/>
        </w:rPr>
      </w:pPr>
      <w:r w:rsidRPr="00E00F13">
        <w:rPr>
          <w:rFonts w:ascii="Arial" w:hAnsi="Arial" w:cs="Arial"/>
          <w:sz w:val="24"/>
          <w:szCs w:val="24"/>
        </w:rPr>
        <w:t xml:space="preserve">Se </w:t>
      </w:r>
      <w:r w:rsidR="00817185" w:rsidRPr="00E00F13">
        <w:rPr>
          <w:rFonts w:ascii="Arial" w:hAnsi="Arial" w:cs="Arial"/>
          <w:sz w:val="24"/>
          <w:szCs w:val="24"/>
        </w:rPr>
        <w:t>han</w:t>
      </w:r>
      <w:r w:rsidRPr="00E00F13">
        <w:rPr>
          <w:rFonts w:ascii="Arial" w:hAnsi="Arial" w:cs="Arial"/>
          <w:sz w:val="24"/>
          <w:szCs w:val="24"/>
        </w:rPr>
        <w:t xml:space="preserve"> </w:t>
      </w:r>
      <w:r w:rsidR="00817185" w:rsidRPr="00E00F13">
        <w:rPr>
          <w:rFonts w:ascii="Arial" w:hAnsi="Arial" w:cs="Arial"/>
          <w:sz w:val="24"/>
          <w:szCs w:val="24"/>
        </w:rPr>
        <w:t>realizado</w:t>
      </w:r>
      <w:r w:rsidRPr="00E00F13">
        <w:rPr>
          <w:rFonts w:ascii="Arial" w:hAnsi="Arial" w:cs="Arial"/>
          <w:sz w:val="24"/>
          <w:szCs w:val="24"/>
        </w:rPr>
        <w:t xml:space="preserve"> ajustes en los criterios de distribución, orientados a priorizar territorios más pequeños, dispersos o con mayores vulnerabilidades socioambientales. En agua </w:t>
      </w:r>
      <w:r w:rsidR="007C7C51" w:rsidRPr="00E00F13">
        <w:rPr>
          <w:rFonts w:ascii="Arial" w:hAnsi="Arial" w:cs="Arial"/>
          <w:sz w:val="24"/>
          <w:szCs w:val="24"/>
        </w:rPr>
        <w:t xml:space="preserve">ha habido </w:t>
      </w:r>
      <w:r w:rsidRPr="00E00F13">
        <w:rPr>
          <w:rFonts w:ascii="Arial" w:hAnsi="Arial" w:cs="Arial"/>
          <w:sz w:val="24"/>
          <w:szCs w:val="24"/>
        </w:rPr>
        <w:t xml:space="preserve">avances normativos </w:t>
      </w:r>
      <w:r w:rsidR="007C7C51" w:rsidRPr="00E00F13">
        <w:rPr>
          <w:rFonts w:ascii="Arial" w:hAnsi="Arial" w:cs="Arial"/>
          <w:sz w:val="24"/>
          <w:szCs w:val="24"/>
        </w:rPr>
        <w:t xml:space="preserve">en el </w:t>
      </w:r>
      <w:r w:rsidRPr="00E00F13">
        <w:rPr>
          <w:rFonts w:ascii="Arial" w:hAnsi="Arial" w:cs="Arial"/>
          <w:sz w:val="24"/>
          <w:szCs w:val="24"/>
        </w:rPr>
        <w:t xml:space="preserve">período 2023–2025 </w:t>
      </w:r>
      <w:r w:rsidR="007C7C51" w:rsidRPr="00E00F13">
        <w:rPr>
          <w:rFonts w:ascii="Arial" w:hAnsi="Arial" w:cs="Arial"/>
          <w:sz w:val="24"/>
          <w:szCs w:val="24"/>
        </w:rPr>
        <w:t xml:space="preserve">que </w:t>
      </w:r>
      <w:r w:rsidRPr="00E00F13">
        <w:rPr>
          <w:rFonts w:ascii="Arial" w:hAnsi="Arial" w:cs="Arial"/>
          <w:sz w:val="24"/>
          <w:szCs w:val="24"/>
        </w:rPr>
        <w:t>constituyen la base de este cambio de paradigma. Entre ellos destacan:</w:t>
      </w:r>
    </w:p>
    <w:p w14:paraId="456E87AF" w14:textId="77777777" w:rsidR="007C7C51" w:rsidRPr="00E00F13" w:rsidRDefault="007C7C51" w:rsidP="00D201D1">
      <w:pPr>
        <w:spacing w:after="0" w:line="360" w:lineRule="auto"/>
        <w:jc w:val="both"/>
        <w:rPr>
          <w:rFonts w:ascii="Arial" w:hAnsi="Arial" w:cs="Arial"/>
          <w:sz w:val="24"/>
          <w:szCs w:val="24"/>
        </w:rPr>
      </w:pPr>
    </w:p>
    <w:p w14:paraId="1B68B06D" w14:textId="77777777" w:rsidR="00D201D1" w:rsidRPr="00E00F13" w:rsidRDefault="00D201D1" w:rsidP="005E33C6">
      <w:pPr>
        <w:numPr>
          <w:ilvl w:val="0"/>
          <w:numId w:val="37"/>
        </w:numPr>
        <w:spacing w:after="0" w:line="360" w:lineRule="auto"/>
        <w:jc w:val="both"/>
        <w:rPr>
          <w:rFonts w:ascii="Arial" w:hAnsi="Arial" w:cs="Arial"/>
          <w:sz w:val="24"/>
          <w:szCs w:val="24"/>
        </w:rPr>
      </w:pPr>
      <w:r w:rsidRPr="00E00F13">
        <w:rPr>
          <w:rFonts w:ascii="Arial" w:hAnsi="Arial" w:cs="Arial"/>
          <w:sz w:val="24"/>
          <w:szCs w:val="24"/>
        </w:rPr>
        <w:t>Decreto 960 de 2025: reconoce formalmente a los gestores comunitarios del agua y sienta las bases para cerrar brechas en la ruralidad.</w:t>
      </w:r>
    </w:p>
    <w:p w14:paraId="1A45001F" w14:textId="77777777" w:rsidR="00D201D1" w:rsidRPr="00E00F13" w:rsidRDefault="00D201D1" w:rsidP="005E33C6">
      <w:pPr>
        <w:numPr>
          <w:ilvl w:val="0"/>
          <w:numId w:val="37"/>
        </w:numPr>
        <w:spacing w:after="0" w:line="360" w:lineRule="auto"/>
        <w:jc w:val="both"/>
        <w:rPr>
          <w:rFonts w:ascii="Arial" w:hAnsi="Arial" w:cs="Arial"/>
          <w:sz w:val="24"/>
          <w:szCs w:val="24"/>
        </w:rPr>
      </w:pPr>
      <w:r w:rsidRPr="00E00F13">
        <w:rPr>
          <w:rFonts w:ascii="Arial" w:hAnsi="Arial" w:cs="Arial"/>
          <w:sz w:val="24"/>
          <w:szCs w:val="24"/>
        </w:rPr>
        <w:t>Decreto 0776 de 2025: establece el mínimo vital de agua, como paso inicial hacia la materialización del derecho humano al agua.</w:t>
      </w:r>
    </w:p>
    <w:p w14:paraId="6422536A" w14:textId="77777777" w:rsidR="00D201D1" w:rsidRPr="00E00F13" w:rsidRDefault="00D201D1" w:rsidP="005E33C6">
      <w:pPr>
        <w:numPr>
          <w:ilvl w:val="0"/>
          <w:numId w:val="37"/>
        </w:numPr>
        <w:spacing w:after="0" w:line="360" w:lineRule="auto"/>
        <w:jc w:val="both"/>
        <w:rPr>
          <w:rFonts w:ascii="Arial" w:hAnsi="Arial" w:cs="Arial"/>
          <w:sz w:val="24"/>
          <w:szCs w:val="24"/>
        </w:rPr>
      </w:pPr>
      <w:r w:rsidRPr="00E00F13">
        <w:rPr>
          <w:rFonts w:ascii="Arial" w:hAnsi="Arial" w:cs="Arial"/>
          <w:sz w:val="24"/>
          <w:szCs w:val="24"/>
        </w:rPr>
        <w:t>Decreto 0670 de 2025 (Programa Basura Cero): incorpora una lógica de aprovechamiento y reciclaje, fortaleciendo la participación de recicladores de oficio como actores legítimos del sistema.</w:t>
      </w:r>
    </w:p>
    <w:p w14:paraId="396E0DEF" w14:textId="68F0C8EB" w:rsidR="007C7C51" w:rsidRPr="00E00F13" w:rsidRDefault="007C7C51" w:rsidP="00D201D1">
      <w:pPr>
        <w:spacing w:after="0" w:line="360" w:lineRule="auto"/>
        <w:jc w:val="both"/>
        <w:rPr>
          <w:rFonts w:ascii="Arial" w:hAnsi="Arial" w:cs="Arial"/>
          <w:sz w:val="24"/>
          <w:szCs w:val="24"/>
        </w:rPr>
      </w:pPr>
    </w:p>
    <w:p w14:paraId="35C960E5" w14:textId="236D76AA" w:rsidR="00D201D1" w:rsidRPr="00E00F13" w:rsidRDefault="00D201D1" w:rsidP="00D201D1">
      <w:pPr>
        <w:spacing w:after="0" w:line="360" w:lineRule="auto"/>
        <w:jc w:val="both"/>
        <w:rPr>
          <w:rFonts w:ascii="Arial" w:hAnsi="Arial" w:cs="Arial"/>
          <w:sz w:val="24"/>
          <w:szCs w:val="24"/>
        </w:rPr>
      </w:pPr>
      <w:r w:rsidRPr="00E00F13">
        <w:rPr>
          <w:rFonts w:ascii="Arial" w:hAnsi="Arial" w:cs="Arial"/>
          <w:sz w:val="24"/>
          <w:szCs w:val="24"/>
        </w:rPr>
        <w:t>Este conjunto normativo no solo reorganiza los instrumentos de política pública; también redefine la población objetivo, los mecanismos de intervención y el papel del Estado en los territorios.</w:t>
      </w:r>
    </w:p>
    <w:p w14:paraId="1CD6752D" w14:textId="77777777" w:rsidR="00D201D1" w:rsidRPr="00E00F13" w:rsidRDefault="00D201D1" w:rsidP="00F236E1">
      <w:pPr>
        <w:spacing w:after="0" w:line="360" w:lineRule="auto"/>
        <w:jc w:val="both"/>
        <w:rPr>
          <w:rFonts w:ascii="Arial" w:hAnsi="Arial" w:cs="Arial"/>
          <w:sz w:val="24"/>
          <w:szCs w:val="24"/>
        </w:rPr>
      </w:pPr>
    </w:p>
    <w:p w14:paraId="0D0329C3" w14:textId="1C60E8D1" w:rsidR="00F236E1" w:rsidRPr="00E00F13" w:rsidRDefault="00F236E1" w:rsidP="00F236E1">
      <w:pPr>
        <w:spacing w:after="0" w:line="360" w:lineRule="auto"/>
        <w:jc w:val="both"/>
        <w:rPr>
          <w:rFonts w:ascii="Arial" w:hAnsi="Arial" w:cs="Arial"/>
          <w:sz w:val="24"/>
          <w:szCs w:val="24"/>
        </w:rPr>
      </w:pPr>
      <w:r w:rsidRPr="00E00F13">
        <w:rPr>
          <w:rFonts w:ascii="Arial" w:hAnsi="Arial" w:cs="Arial"/>
          <w:sz w:val="24"/>
          <w:szCs w:val="24"/>
        </w:rPr>
        <w:t>De la misma manera, en lo concerniente a la vivienda, se hace énfasis en la autogestión y en el foco hacia las organizaciones comunitarias.</w:t>
      </w:r>
    </w:p>
    <w:p w14:paraId="4D65D702" w14:textId="77777777" w:rsidR="00F236E1" w:rsidRPr="00E00F13" w:rsidRDefault="00F236E1" w:rsidP="00F236E1">
      <w:pPr>
        <w:spacing w:after="0" w:line="360" w:lineRule="auto"/>
        <w:jc w:val="both"/>
        <w:rPr>
          <w:rFonts w:ascii="Arial" w:hAnsi="Arial" w:cs="Arial"/>
          <w:sz w:val="24"/>
          <w:szCs w:val="24"/>
        </w:rPr>
      </w:pPr>
    </w:p>
    <w:p w14:paraId="56F65845" w14:textId="77777777" w:rsidR="00F236E1" w:rsidRPr="00E00F13" w:rsidRDefault="00F236E1" w:rsidP="00F236E1">
      <w:pPr>
        <w:rPr>
          <w:rFonts w:ascii="Arial" w:hAnsi="Arial" w:cs="Arial"/>
          <w:sz w:val="24"/>
          <w:szCs w:val="24"/>
        </w:rPr>
      </w:pPr>
      <w:r w:rsidRPr="00E00F13">
        <w:rPr>
          <w:rFonts w:ascii="Arial" w:hAnsi="Arial" w:cs="Arial"/>
          <w:sz w:val="24"/>
          <w:szCs w:val="24"/>
        </w:rPr>
        <w:t>c) Del enfoque sectorial al enfoque de hábitat</w:t>
      </w:r>
    </w:p>
    <w:p w14:paraId="2A0BB8DF" w14:textId="6C30E603" w:rsidR="00F236E1" w:rsidRPr="00E00F13" w:rsidRDefault="00F236E1" w:rsidP="1D068790">
      <w:pPr>
        <w:spacing w:after="0" w:line="360" w:lineRule="auto"/>
        <w:jc w:val="both"/>
        <w:rPr>
          <w:rFonts w:ascii="Arial" w:hAnsi="Arial" w:cs="Arial"/>
          <w:sz w:val="24"/>
          <w:szCs w:val="24"/>
        </w:rPr>
      </w:pPr>
      <w:r w:rsidRPr="00E00F13">
        <w:rPr>
          <w:rFonts w:ascii="Arial" w:hAnsi="Arial" w:cs="Arial"/>
          <w:sz w:val="24"/>
          <w:szCs w:val="24"/>
        </w:rPr>
        <w:t>El acceso al agua no puede resolverse únicamente mediante redes y plantas, ni el de la vivienda desde el mercado. En agua para el consumo humano y el saneamiento básico, el enfoque de hábitat vincula las fuentes generadoras, la gestión del riesgo, el saneamiento básico, el manejo de residuos, la gobernanza del territorio y los efectos del cambio climático. Reconoce que administrar agua implica comprender integralmente el ciclo, desde la captación hasta los vertimientos, y no solo su distribución. En vivienda supone la posibilidad de incorporar a la sociedad organizada en sus procesos autogestionarios.</w:t>
      </w:r>
    </w:p>
    <w:p w14:paraId="391C2DB8" w14:textId="77777777" w:rsidR="00F236E1" w:rsidRPr="00E00F13" w:rsidRDefault="00F236E1" w:rsidP="00E2398F">
      <w:pPr>
        <w:spacing w:after="0" w:line="360" w:lineRule="auto"/>
        <w:jc w:val="both"/>
        <w:rPr>
          <w:rFonts w:ascii="Arial" w:hAnsi="Arial" w:cs="Arial"/>
          <w:sz w:val="24"/>
          <w:szCs w:val="24"/>
          <w:lang w:val="es-ES_tradnl"/>
        </w:rPr>
      </w:pPr>
    </w:p>
    <w:p w14:paraId="308DCFC2" w14:textId="77777777" w:rsidR="00B66249" w:rsidRPr="00E00F13" w:rsidRDefault="00B66249" w:rsidP="00B66249">
      <w:pPr>
        <w:spacing w:after="0" w:line="360" w:lineRule="auto"/>
        <w:jc w:val="both"/>
        <w:rPr>
          <w:rFonts w:ascii="Arial" w:hAnsi="Arial" w:cs="Arial"/>
          <w:sz w:val="24"/>
          <w:szCs w:val="24"/>
          <w:lang w:val="es-ES_tradnl"/>
        </w:rPr>
      </w:pPr>
      <w:r w:rsidRPr="00E00F13">
        <w:rPr>
          <w:rFonts w:ascii="Arial" w:hAnsi="Arial" w:cs="Arial"/>
          <w:sz w:val="24"/>
          <w:szCs w:val="24"/>
          <w:lang w:val="es-ES_tradnl"/>
        </w:rPr>
        <w:t>El Hábitat Biodiverso hace énfasis en:</w:t>
      </w:r>
    </w:p>
    <w:p w14:paraId="4B681EF1" w14:textId="77777777" w:rsidR="00B66249" w:rsidRPr="00E00F13" w:rsidRDefault="00B66249" w:rsidP="00B66249">
      <w:pPr>
        <w:spacing w:after="0" w:line="360" w:lineRule="auto"/>
        <w:jc w:val="both"/>
        <w:rPr>
          <w:rFonts w:ascii="Arial" w:hAnsi="Arial" w:cs="Arial"/>
          <w:sz w:val="24"/>
          <w:szCs w:val="24"/>
        </w:rPr>
      </w:pPr>
    </w:p>
    <w:p w14:paraId="7477D8BE" w14:textId="77777777" w:rsidR="00B66249" w:rsidRPr="00E00F13" w:rsidRDefault="00B66249" w:rsidP="00B66249">
      <w:pPr>
        <w:spacing w:after="0" w:line="360" w:lineRule="auto"/>
        <w:jc w:val="both"/>
        <w:rPr>
          <w:rFonts w:ascii="Arial" w:hAnsi="Arial" w:cs="Arial"/>
          <w:sz w:val="24"/>
          <w:szCs w:val="24"/>
        </w:rPr>
      </w:pPr>
      <w:bookmarkStart w:id="53" w:name="_Toc234242796"/>
      <w:r w:rsidRPr="00E00F13">
        <w:rPr>
          <w:rStyle w:val="Ttulo3Car"/>
          <w:color w:val="auto"/>
        </w:rPr>
        <w:t>El relacionamiento directo con un nuevo actor</w:t>
      </w:r>
      <w:bookmarkEnd w:id="53"/>
      <w:r w:rsidRPr="00E00F13">
        <w:rPr>
          <w:rFonts w:ascii="Arial" w:hAnsi="Arial" w:cs="Arial"/>
          <w:sz w:val="24"/>
          <w:szCs w:val="24"/>
        </w:rPr>
        <w:t>. Este actor es distinto al sector bancarizado, con la finalidad de que los recursos se queden en los territorios y en las organizaciones locales. Se trata de la sociedad civil organizada y las organizaciones comunitarias del territorio.</w:t>
      </w:r>
      <w:r w:rsidRPr="00E00F13">
        <w:rPr>
          <w:rFonts w:ascii="Arial" w:hAnsi="Arial" w:cs="Arial"/>
          <w:sz w:val="24"/>
          <w:szCs w:val="24"/>
          <w:lang w:val="es-ES_tradnl"/>
        </w:rPr>
        <w:t xml:space="preserve"> </w:t>
      </w:r>
      <w:r w:rsidRPr="00E00F13">
        <w:rPr>
          <w:rFonts w:ascii="Arial" w:hAnsi="Arial" w:cs="Arial"/>
          <w:sz w:val="24"/>
          <w:szCs w:val="24"/>
        </w:rPr>
        <w:t>En el pasado el MVCT oficiaba como aprobador de un trámite con las empresas constructoras y el sector financiero, y cuando se cambia desde 2022 el esquema y la estrategia de relacionamiento hacia las organizaciones comunitarias, cambia también, y de manera fundamental, el sentido de la vivienda.</w:t>
      </w:r>
    </w:p>
    <w:p w14:paraId="34C2DF05" w14:textId="77777777" w:rsidR="00B66249" w:rsidRPr="00E00F13" w:rsidRDefault="00B66249" w:rsidP="00B66249">
      <w:pPr>
        <w:spacing w:after="0" w:line="360" w:lineRule="auto"/>
        <w:jc w:val="both"/>
        <w:rPr>
          <w:rFonts w:ascii="Arial" w:hAnsi="Arial" w:cs="Arial"/>
          <w:sz w:val="24"/>
          <w:szCs w:val="24"/>
        </w:rPr>
      </w:pPr>
    </w:p>
    <w:p w14:paraId="32F28F2B" w14:textId="77777777" w:rsidR="00B66249" w:rsidRPr="00E00F13" w:rsidRDefault="00B66249" w:rsidP="00B66249">
      <w:pPr>
        <w:spacing w:after="0" w:line="360" w:lineRule="auto"/>
        <w:jc w:val="both"/>
        <w:rPr>
          <w:rFonts w:ascii="Arial" w:hAnsi="Arial" w:cs="Arial"/>
          <w:sz w:val="24"/>
          <w:szCs w:val="24"/>
        </w:rPr>
      </w:pPr>
      <w:bookmarkStart w:id="54" w:name="_Toc234242797"/>
      <w:r w:rsidRPr="00E00F13">
        <w:rPr>
          <w:rStyle w:val="Ttulo3Car"/>
          <w:color w:val="auto"/>
        </w:rPr>
        <w:lastRenderedPageBreak/>
        <w:t>La ampliación de la cobertura territorial</w:t>
      </w:r>
      <w:bookmarkEnd w:id="54"/>
      <w:r w:rsidRPr="00E00F13">
        <w:rPr>
          <w:rFonts w:ascii="Arial" w:hAnsi="Arial" w:cs="Arial"/>
          <w:sz w:val="24"/>
          <w:szCs w:val="24"/>
        </w:rPr>
        <w:t>. La llegada a otros territorios, distintos a las ciudades capitales y a las zonas urbanas. Por primera vez se hace énfasis en lo rural y, dentro de lo rural, a las zonas más apartadas.</w:t>
      </w:r>
    </w:p>
    <w:p w14:paraId="1E6B41FC" w14:textId="77777777" w:rsidR="00B66249" w:rsidRPr="00E00F13" w:rsidRDefault="00B66249" w:rsidP="00B66249">
      <w:pPr>
        <w:spacing w:after="0" w:line="360" w:lineRule="auto"/>
        <w:jc w:val="both"/>
        <w:rPr>
          <w:rFonts w:ascii="Arial" w:hAnsi="Arial" w:cs="Arial"/>
          <w:sz w:val="24"/>
          <w:szCs w:val="24"/>
        </w:rPr>
      </w:pPr>
    </w:p>
    <w:p w14:paraId="13CF2077" w14:textId="6F20E98F" w:rsidR="00B66249" w:rsidRPr="00E00F13" w:rsidRDefault="45DC3090" w:rsidP="00B66249">
      <w:pPr>
        <w:spacing w:after="0" w:line="360" w:lineRule="auto"/>
        <w:jc w:val="both"/>
        <w:rPr>
          <w:rFonts w:ascii="Arial" w:hAnsi="Arial" w:cs="Arial"/>
          <w:sz w:val="24"/>
          <w:szCs w:val="24"/>
        </w:rPr>
      </w:pPr>
      <w:bookmarkStart w:id="55" w:name="_Toc234242798"/>
      <w:r w:rsidRPr="00E00F13">
        <w:rPr>
          <w:rStyle w:val="Ttulo3Car"/>
          <w:color w:val="auto"/>
        </w:rPr>
        <w:t>La ampliación de la cobertura poblacional</w:t>
      </w:r>
      <w:bookmarkEnd w:id="55"/>
      <w:r w:rsidRPr="00E00F13">
        <w:rPr>
          <w:rFonts w:ascii="Arial" w:hAnsi="Arial" w:cs="Arial"/>
          <w:sz w:val="24"/>
          <w:szCs w:val="24"/>
        </w:rPr>
        <w:t>. La llegada a otra población. Se hace énfasis en la población que realmente necesita soluciones habitaciones o de agua</w:t>
      </w:r>
      <w:r w:rsidR="38434EF1" w:rsidRPr="00E00F13">
        <w:rPr>
          <w:rFonts w:ascii="Arial" w:hAnsi="Arial" w:cs="Arial"/>
          <w:sz w:val="24"/>
          <w:szCs w:val="24"/>
        </w:rPr>
        <w:t xml:space="preserve"> para el consumo humano y saneamiento básico</w:t>
      </w:r>
      <w:r w:rsidRPr="00E00F13">
        <w:rPr>
          <w:rFonts w:ascii="Arial" w:hAnsi="Arial" w:cs="Arial"/>
          <w:sz w:val="24"/>
          <w:szCs w:val="24"/>
        </w:rPr>
        <w:t xml:space="preserve">. Esta población es la que no tiene acceso a la banca y, en consecuencia, no puede acceder a los créditos, como víctimas, </w:t>
      </w:r>
      <w:r w:rsidR="38434EF1" w:rsidRPr="00E00F13">
        <w:rPr>
          <w:rFonts w:ascii="Arial" w:hAnsi="Arial" w:cs="Arial"/>
          <w:sz w:val="24"/>
          <w:szCs w:val="24"/>
        </w:rPr>
        <w:t xml:space="preserve">firmantes del acuerdo de paz, </w:t>
      </w:r>
      <w:r w:rsidRPr="00E00F13">
        <w:rPr>
          <w:rFonts w:ascii="Arial" w:hAnsi="Arial" w:cs="Arial"/>
          <w:sz w:val="24"/>
          <w:szCs w:val="24"/>
        </w:rPr>
        <w:t>población rural</w:t>
      </w:r>
      <w:r w:rsidR="38434EF1" w:rsidRPr="00E00F13">
        <w:rPr>
          <w:rFonts w:ascii="Arial" w:hAnsi="Arial" w:cs="Arial"/>
          <w:sz w:val="24"/>
          <w:szCs w:val="24"/>
        </w:rPr>
        <w:t>, indígenas, campesinado, negros, afrocolombianos, raizales y palenqueros</w:t>
      </w:r>
      <w:r w:rsidRPr="00E00F13">
        <w:rPr>
          <w:rFonts w:ascii="Arial" w:hAnsi="Arial" w:cs="Arial"/>
          <w:sz w:val="24"/>
          <w:szCs w:val="24"/>
        </w:rPr>
        <w:t>.</w:t>
      </w:r>
    </w:p>
    <w:p w14:paraId="0C1D2663" w14:textId="77777777" w:rsidR="00B66249" w:rsidRPr="00E00F13" w:rsidRDefault="00B66249" w:rsidP="00B66249">
      <w:pPr>
        <w:spacing w:after="0" w:line="360" w:lineRule="auto"/>
        <w:jc w:val="both"/>
        <w:rPr>
          <w:rFonts w:ascii="Arial" w:hAnsi="Arial" w:cs="Arial"/>
          <w:sz w:val="24"/>
          <w:szCs w:val="24"/>
        </w:rPr>
      </w:pPr>
    </w:p>
    <w:p w14:paraId="6D4B5160" w14:textId="7E860020" w:rsidR="00B66249" w:rsidRPr="00E00F13" w:rsidRDefault="00B66249" w:rsidP="00B66249">
      <w:pPr>
        <w:spacing w:after="0" w:line="360" w:lineRule="auto"/>
        <w:jc w:val="both"/>
        <w:rPr>
          <w:rFonts w:ascii="Arial" w:hAnsi="Arial" w:cs="Arial"/>
          <w:b/>
          <w:bCs/>
          <w:sz w:val="24"/>
          <w:szCs w:val="24"/>
        </w:rPr>
      </w:pPr>
      <w:bookmarkStart w:id="56" w:name="_Toc234242799"/>
      <w:r w:rsidRPr="00E00F13">
        <w:rPr>
          <w:rStyle w:val="Ttulo3Car"/>
          <w:color w:val="auto"/>
        </w:rPr>
        <w:t>La corresponsabilidad de las organizaciones territoriales</w:t>
      </w:r>
      <w:bookmarkEnd w:id="56"/>
      <w:r w:rsidR="00C3412E" w:rsidRPr="00E00F13">
        <w:rPr>
          <w:rFonts w:ascii="Arial" w:hAnsi="Arial" w:cs="Arial"/>
          <w:b/>
          <w:bCs/>
          <w:sz w:val="24"/>
          <w:szCs w:val="24"/>
        </w:rPr>
        <w:t xml:space="preserve">. </w:t>
      </w:r>
      <w:r w:rsidRPr="00E00F13">
        <w:rPr>
          <w:rFonts w:ascii="Arial" w:hAnsi="Arial" w:cs="Arial"/>
          <w:sz w:val="24"/>
          <w:szCs w:val="24"/>
        </w:rPr>
        <w:t>Se aborda el problema de la brecha en las desigualdades entre el campo y la ciudad considerando factores como el conflicto armado y la victimización.</w:t>
      </w:r>
    </w:p>
    <w:p w14:paraId="7D7DB8D9" w14:textId="77777777" w:rsidR="00B66249" w:rsidRPr="00E00F13" w:rsidRDefault="00B66249" w:rsidP="00B66249">
      <w:pPr>
        <w:spacing w:after="0" w:line="360" w:lineRule="auto"/>
        <w:jc w:val="both"/>
        <w:rPr>
          <w:rFonts w:ascii="Arial" w:hAnsi="Arial" w:cs="Arial"/>
          <w:sz w:val="24"/>
          <w:szCs w:val="24"/>
        </w:rPr>
      </w:pPr>
    </w:p>
    <w:p w14:paraId="59E6566A" w14:textId="44535DF0" w:rsidR="00B66249" w:rsidRPr="00E00F13" w:rsidRDefault="00B66249" w:rsidP="00B66249">
      <w:pPr>
        <w:spacing w:after="0" w:line="360" w:lineRule="auto"/>
        <w:jc w:val="both"/>
        <w:rPr>
          <w:rFonts w:ascii="Arial" w:hAnsi="Arial" w:cs="Arial"/>
          <w:sz w:val="24"/>
          <w:szCs w:val="24"/>
        </w:rPr>
      </w:pPr>
      <w:r w:rsidRPr="00E00F13">
        <w:rPr>
          <w:rFonts w:ascii="Arial" w:hAnsi="Arial" w:cs="Arial"/>
          <w:sz w:val="24"/>
          <w:szCs w:val="24"/>
        </w:rPr>
        <w:t>El cambio del paradigma hacia otro con lógicas diferentes propone la autogestión y la autoconstrucción. De igual forma, el reconocimiento e inclusión de las organizaciones populares de vivienda y de organizaciones comunales y comunitarias se proponen como núcleo de la biodiversidad de nuestros hábitats. Por lo tanto, se abandona la idea de la asistencia técnica fundada en la ausencia de conocimiento de las comunidades, para dar paso a las alianzas público – populares, a través de procesos de la estrategia de Asistencia Técnica Integral y construcción colaborativa del conocimiento.</w:t>
      </w:r>
    </w:p>
    <w:p w14:paraId="06B2584C" w14:textId="77777777" w:rsidR="00E2398F" w:rsidRPr="00E00F13" w:rsidRDefault="00E2398F" w:rsidP="00E2398F">
      <w:pPr>
        <w:spacing w:after="0" w:line="360" w:lineRule="auto"/>
        <w:jc w:val="both"/>
        <w:rPr>
          <w:rFonts w:ascii="Arial" w:hAnsi="Arial" w:cs="Arial"/>
          <w:sz w:val="24"/>
          <w:szCs w:val="24"/>
          <w:lang w:val="es-ES_tradnl"/>
        </w:rPr>
      </w:pPr>
    </w:p>
    <w:p w14:paraId="6CB7F3F6" w14:textId="77777777" w:rsidR="00817185" w:rsidRPr="00E00F13" w:rsidRDefault="00537478" w:rsidP="00E2398F">
      <w:pPr>
        <w:spacing w:after="0" w:line="360" w:lineRule="auto"/>
        <w:jc w:val="both"/>
        <w:rPr>
          <w:rFonts w:ascii="Arial" w:hAnsi="Arial" w:cs="Arial"/>
          <w:sz w:val="24"/>
          <w:szCs w:val="24"/>
          <w:lang w:val="es-ES_tradnl"/>
        </w:rPr>
      </w:pPr>
      <w:r w:rsidRPr="00E00F13">
        <w:rPr>
          <w:rFonts w:ascii="Arial" w:hAnsi="Arial" w:cs="Arial"/>
          <w:sz w:val="24"/>
          <w:szCs w:val="24"/>
          <w:lang w:val="es-ES_tradnl"/>
        </w:rPr>
        <w:t>El cambio de enfoque realizado por el MVCT en este gobierno supuso ajustar asuntos estructurales que permitieran concebir y operativizar la nueva política, «Nuestro Hábitat Biodiverso». Por ello</w:t>
      </w:r>
      <w:r w:rsidR="007C7C51" w:rsidRPr="00E00F13">
        <w:rPr>
          <w:rFonts w:ascii="Arial" w:hAnsi="Arial" w:cs="Arial"/>
          <w:sz w:val="24"/>
          <w:szCs w:val="24"/>
          <w:lang w:val="es-ES_tradnl"/>
        </w:rPr>
        <w:t>,</w:t>
      </w:r>
      <w:r w:rsidRPr="00E00F13">
        <w:rPr>
          <w:rFonts w:ascii="Arial" w:hAnsi="Arial" w:cs="Arial"/>
          <w:sz w:val="24"/>
          <w:szCs w:val="24"/>
          <w:lang w:val="es-ES_tradnl"/>
        </w:rPr>
        <w:t xml:space="preserve"> </w:t>
      </w:r>
      <w:r w:rsidR="00E2398F" w:rsidRPr="00E00F13">
        <w:rPr>
          <w:rFonts w:ascii="Arial" w:hAnsi="Arial" w:cs="Arial"/>
          <w:sz w:val="24"/>
          <w:szCs w:val="24"/>
          <w:lang w:val="es-ES_tradnl"/>
        </w:rPr>
        <w:t>ha</w:t>
      </w:r>
      <w:r w:rsidRPr="00E00F13">
        <w:rPr>
          <w:rFonts w:ascii="Arial" w:hAnsi="Arial" w:cs="Arial"/>
          <w:sz w:val="24"/>
          <w:szCs w:val="24"/>
          <w:lang w:val="es-ES_tradnl"/>
        </w:rPr>
        <w:t xml:space="preserve"> desarrollado </w:t>
      </w:r>
      <w:r w:rsidR="00BA6B1A" w:rsidRPr="00E00F13">
        <w:rPr>
          <w:rFonts w:ascii="Arial" w:hAnsi="Arial" w:cs="Arial"/>
          <w:sz w:val="24"/>
          <w:szCs w:val="24"/>
          <w:lang w:val="es-ES_tradnl"/>
        </w:rPr>
        <w:t>dieciocho</w:t>
      </w:r>
      <w:r w:rsidR="00AD0674" w:rsidRPr="00E00F13">
        <w:rPr>
          <w:rFonts w:ascii="Arial" w:hAnsi="Arial" w:cs="Arial"/>
          <w:sz w:val="24"/>
          <w:szCs w:val="24"/>
          <w:lang w:val="es-ES_tradnl"/>
        </w:rPr>
        <w:t xml:space="preserve"> </w:t>
      </w:r>
      <w:r w:rsidR="00E2398F" w:rsidRPr="00E00F13">
        <w:rPr>
          <w:rFonts w:ascii="Arial" w:hAnsi="Arial" w:cs="Arial"/>
          <w:sz w:val="24"/>
          <w:szCs w:val="24"/>
          <w:lang w:val="es-ES_tradnl"/>
        </w:rPr>
        <w:t xml:space="preserve">decretos, entre los que se destaca el de Barrios y Veredas de Paz, que promueve una mirada integral del hábitat </w:t>
      </w:r>
      <w:r w:rsidRPr="00E00F13">
        <w:rPr>
          <w:rFonts w:ascii="Arial" w:hAnsi="Arial" w:cs="Arial"/>
          <w:sz w:val="24"/>
          <w:szCs w:val="24"/>
          <w:lang w:val="es-ES_tradnl"/>
        </w:rPr>
        <w:t xml:space="preserve">desde las perspectivas </w:t>
      </w:r>
      <w:r w:rsidR="00E2398F" w:rsidRPr="00E00F13">
        <w:rPr>
          <w:rFonts w:ascii="Arial" w:hAnsi="Arial" w:cs="Arial"/>
          <w:sz w:val="24"/>
          <w:szCs w:val="24"/>
          <w:lang w:val="es-ES_tradnl"/>
        </w:rPr>
        <w:t>social, cultural y ambiental.</w:t>
      </w:r>
      <w:r w:rsidR="00473E65" w:rsidRPr="00E00F13">
        <w:rPr>
          <w:rFonts w:ascii="Arial" w:hAnsi="Arial" w:cs="Arial"/>
          <w:sz w:val="24"/>
          <w:szCs w:val="24"/>
          <w:lang w:val="es-ES_tradnl"/>
        </w:rPr>
        <w:t xml:space="preserve"> Y ha generado documentos metodológicos que definen las acciones más concretas. </w:t>
      </w:r>
    </w:p>
    <w:p w14:paraId="57DD8980" w14:textId="77777777" w:rsidR="00817185" w:rsidRPr="00E00F13" w:rsidRDefault="00817185" w:rsidP="00E2398F">
      <w:pPr>
        <w:spacing w:after="0" w:line="360" w:lineRule="auto"/>
        <w:jc w:val="both"/>
        <w:rPr>
          <w:rFonts w:ascii="Arial" w:hAnsi="Arial" w:cs="Arial"/>
          <w:sz w:val="24"/>
          <w:szCs w:val="24"/>
          <w:lang w:val="es-ES_tradnl"/>
        </w:rPr>
      </w:pPr>
    </w:p>
    <w:p w14:paraId="02F2069F" w14:textId="68171069" w:rsidR="00E2398F" w:rsidRPr="00E00F13" w:rsidRDefault="00473E65" w:rsidP="00E2398F">
      <w:pPr>
        <w:spacing w:after="0" w:line="360" w:lineRule="auto"/>
        <w:jc w:val="both"/>
        <w:rPr>
          <w:rFonts w:ascii="Arial" w:hAnsi="Arial" w:cs="Arial"/>
          <w:sz w:val="24"/>
          <w:szCs w:val="24"/>
          <w:lang w:val="es-ES_tradnl"/>
        </w:rPr>
      </w:pPr>
      <w:r w:rsidRPr="00E00F13">
        <w:rPr>
          <w:rFonts w:ascii="Arial" w:hAnsi="Arial" w:cs="Arial"/>
          <w:sz w:val="24"/>
          <w:szCs w:val="24"/>
          <w:lang w:val="es-ES_tradnl"/>
        </w:rPr>
        <w:lastRenderedPageBreak/>
        <w:t>Tanto en los decretos como en los documentos metodológicos resaltan actores clave: los sujetos de especial protección constitucional, organizaciones sociales, comunitarias, de mujeres, de recicladores de oficio, víctimas, entre otros. Estos múltiples actores sociales hacen parte activa de la construcción de territorios, hábitats, viviendas y entornos como parte de la creación de valor público.</w:t>
      </w:r>
    </w:p>
    <w:p w14:paraId="19F4BF48" w14:textId="77777777" w:rsidR="00E2398F" w:rsidRPr="00E00F13" w:rsidRDefault="00E2398F" w:rsidP="00E2398F">
      <w:pPr>
        <w:spacing w:after="0" w:line="360" w:lineRule="auto"/>
        <w:jc w:val="both"/>
        <w:rPr>
          <w:rFonts w:ascii="Arial" w:hAnsi="Arial" w:cs="Arial"/>
          <w:sz w:val="24"/>
          <w:szCs w:val="24"/>
          <w:lang w:val="es-ES_tradnl"/>
        </w:rPr>
      </w:pPr>
    </w:p>
    <w:p w14:paraId="5D5AE581" w14:textId="41D55DF9" w:rsidR="00E2398F" w:rsidRPr="00E00F13" w:rsidRDefault="00E2398F" w:rsidP="00E2398F">
      <w:pPr>
        <w:spacing w:after="0" w:line="360" w:lineRule="auto"/>
        <w:jc w:val="both"/>
        <w:rPr>
          <w:rFonts w:ascii="Arial" w:hAnsi="Arial" w:cs="Arial"/>
        </w:rPr>
      </w:pPr>
      <w:r w:rsidRPr="00E00F13">
        <w:rPr>
          <w:rFonts w:ascii="Arial" w:hAnsi="Arial" w:cs="Arial"/>
          <w:sz w:val="24"/>
          <w:szCs w:val="24"/>
          <w:lang w:val="es-ES_tradnl"/>
        </w:rPr>
        <w:t xml:space="preserve">Nuestro Hábitat Biodiverso </w:t>
      </w:r>
      <w:r w:rsidR="007C7C51" w:rsidRPr="00E00F13">
        <w:rPr>
          <w:rFonts w:ascii="Arial" w:hAnsi="Arial" w:cs="Arial"/>
          <w:sz w:val="24"/>
          <w:szCs w:val="24"/>
          <w:lang w:val="es-ES_tradnl"/>
        </w:rPr>
        <w:t>d</w:t>
      </w:r>
      <w:r w:rsidRPr="00E00F13">
        <w:rPr>
          <w:rFonts w:ascii="Arial" w:hAnsi="Arial" w:cs="Arial"/>
          <w:sz w:val="24"/>
          <w:szCs w:val="24"/>
          <w:lang w:val="es-ES_tradnl"/>
        </w:rPr>
        <w:t>efine un marco institucional para los gestores comunitarios y establece mecanismos para su promoción y fortalecimiento, que incluyen el subsidio comunitario, la estructuración de proyectos, entre otros, tal y como lo señala el Decreto 0960 de 2025. Establece el giro directo para agua y saneamiento básico a las organizaciones y a través de entidades prestadoras del servicio, conforme al Decreto 073 de 2025.</w:t>
      </w:r>
    </w:p>
    <w:p w14:paraId="03236720" w14:textId="77777777" w:rsidR="00E2398F" w:rsidRPr="00E00F13" w:rsidRDefault="00E2398F" w:rsidP="00E2398F">
      <w:pPr>
        <w:spacing w:after="0" w:line="360" w:lineRule="auto"/>
        <w:jc w:val="both"/>
        <w:rPr>
          <w:rFonts w:ascii="Arial" w:hAnsi="Arial" w:cs="Arial"/>
          <w:sz w:val="24"/>
          <w:szCs w:val="24"/>
          <w:lang w:val="es-ES_tradnl"/>
        </w:rPr>
      </w:pPr>
    </w:p>
    <w:p w14:paraId="0037E143" w14:textId="014929E9" w:rsidR="00E2398F" w:rsidRPr="00E00F13" w:rsidRDefault="00E2398F" w:rsidP="00E2398F">
      <w:pPr>
        <w:spacing w:after="0" w:line="360" w:lineRule="auto"/>
        <w:jc w:val="both"/>
        <w:rPr>
          <w:rFonts w:ascii="Arial" w:hAnsi="Arial" w:cs="Arial"/>
          <w:sz w:val="24"/>
          <w:szCs w:val="24"/>
          <w:lang w:val="es-ES_tradnl"/>
        </w:rPr>
      </w:pPr>
      <w:r w:rsidRPr="00E00F13">
        <w:rPr>
          <w:rFonts w:ascii="Arial" w:hAnsi="Arial" w:cs="Arial"/>
          <w:sz w:val="24"/>
          <w:szCs w:val="24"/>
          <w:lang w:val="es-ES_tradnl"/>
        </w:rPr>
        <w:t>El cambio de enfoque supuso trazar una nueva visión sustentada en las organizaciones territoriales, concibiendo una estrategia fundamentada en el hábitat biodiverso que supere la individualidad</w:t>
      </w:r>
      <w:r w:rsidR="00BD5911" w:rsidRPr="00E00F13">
        <w:rPr>
          <w:rFonts w:ascii="Arial" w:hAnsi="Arial" w:cs="Arial"/>
          <w:sz w:val="24"/>
          <w:szCs w:val="24"/>
          <w:lang w:val="es-ES_tradnl"/>
        </w:rPr>
        <w:t xml:space="preserve"> y</w:t>
      </w:r>
      <w:r w:rsidRPr="00E00F13">
        <w:rPr>
          <w:rFonts w:ascii="Arial" w:hAnsi="Arial" w:cs="Arial"/>
          <w:sz w:val="24"/>
          <w:szCs w:val="24"/>
          <w:lang w:val="es-ES_tradnl"/>
        </w:rPr>
        <w:t xml:space="preserve"> ampl</w:t>
      </w:r>
      <w:r w:rsidR="00BD5911" w:rsidRPr="00E00F13">
        <w:rPr>
          <w:rFonts w:ascii="Arial" w:hAnsi="Arial" w:cs="Arial"/>
          <w:sz w:val="24"/>
          <w:szCs w:val="24"/>
          <w:lang w:val="es-ES_tradnl"/>
        </w:rPr>
        <w:t>íe tanto</w:t>
      </w:r>
      <w:r w:rsidRPr="00E00F13">
        <w:rPr>
          <w:rFonts w:ascii="Arial" w:hAnsi="Arial" w:cs="Arial"/>
          <w:sz w:val="24"/>
          <w:szCs w:val="24"/>
          <w:lang w:val="es-ES_tradnl"/>
        </w:rPr>
        <w:t xml:space="preserve"> la cobertura territorial</w:t>
      </w:r>
      <w:r w:rsidR="00BD5911" w:rsidRPr="00E00F13">
        <w:rPr>
          <w:rFonts w:ascii="Arial" w:hAnsi="Arial" w:cs="Arial"/>
          <w:sz w:val="24"/>
          <w:szCs w:val="24"/>
          <w:lang w:val="es-ES_tradnl"/>
        </w:rPr>
        <w:t xml:space="preserve"> como</w:t>
      </w:r>
      <w:r w:rsidRPr="00E00F13">
        <w:rPr>
          <w:rFonts w:ascii="Arial" w:hAnsi="Arial" w:cs="Arial"/>
          <w:sz w:val="24"/>
          <w:szCs w:val="24"/>
          <w:lang w:val="es-ES_tradnl"/>
        </w:rPr>
        <w:t xml:space="preserve"> la cobertura poblacional y la corresponsabilidad.</w:t>
      </w:r>
      <w:r w:rsidR="00CB2D80" w:rsidRPr="00E00F13">
        <w:rPr>
          <w:rFonts w:ascii="Arial" w:hAnsi="Arial" w:cs="Arial"/>
          <w:sz w:val="24"/>
          <w:szCs w:val="24"/>
          <w:lang w:val="es-ES_tradnl"/>
        </w:rPr>
        <w:t xml:space="preserve"> </w:t>
      </w:r>
    </w:p>
    <w:p w14:paraId="6ED9764E" w14:textId="279C840D" w:rsidR="00CB2D80" w:rsidRPr="00E00F13" w:rsidRDefault="00CB2D80" w:rsidP="00E2398F">
      <w:pPr>
        <w:spacing w:after="0" w:line="360" w:lineRule="auto"/>
        <w:jc w:val="both"/>
        <w:rPr>
          <w:rFonts w:ascii="Arial" w:hAnsi="Arial" w:cs="Arial"/>
          <w:sz w:val="24"/>
          <w:szCs w:val="24"/>
          <w:lang w:val="es-ES_tradnl"/>
        </w:rPr>
      </w:pPr>
    </w:p>
    <w:p w14:paraId="6F470E0A" w14:textId="118AE66E" w:rsidR="00CD07D3" w:rsidRPr="00E00F13" w:rsidRDefault="00E2398F" w:rsidP="00CD07D3">
      <w:pPr>
        <w:spacing w:after="0" w:line="360" w:lineRule="auto"/>
        <w:jc w:val="both"/>
        <w:rPr>
          <w:rFonts w:ascii="Arial" w:hAnsi="Arial" w:cs="Arial"/>
          <w:sz w:val="24"/>
          <w:szCs w:val="24"/>
        </w:rPr>
      </w:pPr>
      <w:r w:rsidRPr="00E00F13">
        <w:rPr>
          <w:rFonts w:ascii="Arial" w:hAnsi="Arial" w:cs="Arial"/>
          <w:sz w:val="24"/>
          <w:szCs w:val="24"/>
        </w:rPr>
        <w:t>Por ello, l</w:t>
      </w:r>
      <w:r w:rsidR="00CD07D3" w:rsidRPr="00E00F13">
        <w:rPr>
          <w:rFonts w:ascii="Arial" w:hAnsi="Arial" w:cs="Arial"/>
          <w:sz w:val="24"/>
          <w:szCs w:val="24"/>
        </w:rPr>
        <w:t>a construcción de lineamientos de política de hábitat biodiverso hace referencia al diseño e implementación de:</w:t>
      </w:r>
    </w:p>
    <w:p w14:paraId="13F276F8" w14:textId="5B9AD904" w:rsidR="00CD07D3" w:rsidRPr="00E00F13" w:rsidRDefault="00CD07D3" w:rsidP="005E33C6">
      <w:pPr>
        <w:numPr>
          <w:ilvl w:val="0"/>
          <w:numId w:val="19"/>
        </w:numPr>
        <w:spacing w:after="0" w:line="360" w:lineRule="auto"/>
        <w:jc w:val="both"/>
        <w:rPr>
          <w:rFonts w:ascii="Arial" w:hAnsi="Arial" w:cs="Arial"/>
          <w:sz w:val="24"/>
          <w:szCs w:val="24"/>
        </w:rPr>
      </w:pPr>
      <w:r w:rsidRPr="00E00F13">
        <w:rPr>
          <w:rFonts w:ascii="Arial" w:hAnsi="Arial" w:cs="Arial"/>
          <w:sz w:val="24"/>
          <w:szCs w:val="24"/>
        </w:rPr>
        <w:t>Nuevos instrumentos estratégicos</w:t>
      </w:r>
      <w:r w:rsidR="00415ED0" w:rsidRPr="00E00F13">
        <w:rPr>
          <w:rFonts w:ascii="Arial" w:hAnsi="Arial" w:cs="Arial"/>
          <w:sz w:val="24"/>
          <w:szCs w:val="24"/>
        </w:rPr>
        <w:t>, como el presente documento de lineamientos de política Nuestro Hábitat Biodiverso</w:t>
      </w:r>
      <w:r w:rsidRPr="00E00F13">
        <w:rPr>
          <w:rFonts w:ascii="Arial" w:hAnsi="Arial" w:cs="Arial"/>
          <w:sz w:val="24"/>
          <w:szCs w:val="24"/>
        </w:rPr>
        <w:t xml:space="preserve"> </w:t>
      </w:r>
      <w:r w:rsidR="00415ED0" w:rsidRPr="00E00F13">
        <w:rPr>
          <w:rFonts w:ascii="Arial" w:hAnsi="Arial" w:cs="Arial"/>
          <w:sz w:val="24"/>
          <w:szCs w:val="24"/>
        </w:rPr>
        <w:t xml:space="preserve">que contiene el </w:t>
      </w:r>
      <w:r w:rsidRPr="00E00F13">
        <w:rPr>
          <w:rFonts w:ascii="Arial" w:hAnsi="Arial" w:cs="Arial"/>
          <w:sz w:val="24"/>
          <w:szCs w:val="24"/>
        </w:rPr>
        <w:t>cambio de paradigma y de visión</w:t>
      </w:r>
      <w:r w:rsidR="00415ED0" w:rsidRPr="00E00F13">
        <w:rPr>
          <w:rFonts w:ascii="Arial" w:hAnsi="Arial" w:cs="Arial"/>
          <w:sz w:val="24"/>
          <w:szCs w:val="24"/>
        </w:rPr>
        <w:t>.</w:t>
      </w:r>
    </w:p>
    <w:p w14:paraId="57CAB9C5" w14:textId="5E845CD2" w:rsidR="00CD07D3" w:rsidRPr="00E00F13" w:rsidRDefault="00CD07D3" w:rsidP="005E33C6">
      <w:pPr>
        <w:numPr>
          <w:ilvl w:val="0"/>
          <w:numId w:val="19"/>
        </w:numPr>
        <w:spacing w:after="0" w:line="360" w:lineRule="auto"/>
        <w:jc w:val="both"/>
        <w:rPr>
          <w:rFonts w:ascii="Arial" w:hAnsi="Arial" w:cs="Arial"/>
          <w:sz w:val="24"/>
          <w:szCs w:val="24"/>
        </w:rPr>
      </w:pPr>
      <w:bookmarkStart w:id="57" w:name="_Hlk214112586"/>
      <w:r w:rsidRPr="00E00F13">
        <w:rPr>
          <w:rFonts w:ascii="Arial" w:hAnsi="Arial" w:cs="Arial"/>
          <w:sz w:val="24"/>
          <w:szCs w:val="24"/>
        </w:rPr>
        <w:t>Nuevo marco jurídico (decretos y normativas)</w:t>
      </w:r>
      <w:r w:rsidR="00415ED0" w:rsidRPr="00E00F13">
        <w:rPr>
          <w:rFonts w:ascii="Arial" w:hAnsi="Arial" w:cs="Arial"/>
          <w:sz w:val="24"/>
          <w:szCs w:val="24"/>
        </w:rPr>
        <w:t>.</w:t>
      </w:r>
      <w:r w:rsidRPr="00E00F13">
        <w:rPr>
          <w:rFonts w:ascii="Arial" w:hAnsi="Arial" w:cs="Arial"/>
          <w:sz w:val="24"/>
          <w:szCs w:val="24"/>
        </w:rPr>
        <w:t xml:space="preserve"> </w:t>
      </w:r>
    </w:p>
    <w:bookmarkEnd w:id="57"/>
    <w:p w14:paraId="1745A4D1" w14:textId="16E9D37C" w:rsidR="00CD07D3" w:rsidRPr="00E00F13" w:rsidRDefault="00CD07D3" w:rsidP="005E33C6">
      <w:pPr>
        <w:numPr>
          <w:ilvl w:val="0"/>
          <w:numId w:val="19"/>
        </w:numPr>
        <w:spacing w:after="0" w:line="360" w:lineRule="auto"/>
        <w:jc w:val="both"/>
        <w:rPr>
          <w:rFonts w:ascii="Arial" w:hAnsi="Arial" w:cs="Arial"/>
          <w:sz w:val="24"/>
          <w:szCs w:val="24"/>
        </w:rPr>
      </w:pPr>
      <w:r w:rsidRPr="00E00F13">
        <w:rPr>
          <w:rFonts w:ascii="Arial" w:hAnsi="Arial" w:cs="Arial"/>
          <w:sz w:val="24"/>
          <w:szCs w:val="24"/>
        </w:rPr>
        <w:t xml:space="preserve">Nuevo marco metodológico (guías operativas) que amplían y especifican el rango de acción del </w:t>
      </w:r>
      <w:r w:rsidR="00CB2D80" w:rsidRPr="00E00F13">
        <w:rPr>
          <w:rFonts w:ascii="Arial" w:hAnsi="Arial" w:cs="Arial"/>
          <w:sz w:val="24"/>
          <w:szCs w:val="24"/>
        </w:rPr>
        <w:t>M</w:t>
      </w:r>
      <w:r w:rsidRPr="00E00F13">
        <w:rPr>
          <w:rFonts w:ascii="Arial" w:hAnsi="Arial" w:cs="Arial"/>
          <w:sz w:val="24"/>
          <w:szCs w:val="24"/>
        </w:rPr>
        <w:t>inisterio</w:t>
      </w:r>
      <w:r w:rsidR="00415ED0" w:rsidRPr="00E00F13">
        <w:rPr>
          <w:rFonts w:ascii="Arial" w:hAnsi="Arial" w:cs="Arial"/>
          <w:sz w:val="24"/>
          <w:szCs w:val="24"/>
        </w:rPr>
        <w:t>.</w:t>
      </w:r>
    </w:p>
    <w:p w14:paraId="65D0AF21" w14:textId="567B849A" w:rsidR="00CD07D3" w:rsidRPr="00E00F13" w:rsidRDefault="00CD07D3" w:rsidP="005E33C6">
      <w:pPr>
        <w:numPr>
          <w:ilvl w:val="0"/>
          <w:numId w:val="19"/>
        </w:numPr>
        <w:spacing w:after="0" w:line="360" w:lineRule="auto"/>
        <w:jc w:val="both"/>
        <w:rPr>
          <w:rFonts w:ascii="Arial" w:hAnsi="Arial" w:cs="Arial"/>
          <w:sz w:val="24"/>
          <w:szCs w:val="24"/>
        </w:rPr>
      </w:pPr>
      <w:r w:rsidRPr="00E00F13">
        <w:rPr>
          <w:rFonts w:ascii="Arial" w:hAnsi="Arial" w:cs="Arial"/>
          <w:sz w:val="24"/>
          <w:szCs w:val="24"/>
        </w:rPr>
        <w:t>Los enfoques diferenciales</w:t>
      </w:r>
      <w:r w:rsidR="00415ED0" w:rsidRPr="00E00F13">
        <w:rPr>
          <w:rFonts w:ascii="Arial" w:hAnsi="Arial" w:cs="Arial"/>
          <w:sz w:val="24"/>
          <w:szCs w:val="24"/>
        </w:rPr>
        <w:t>, ambiental, de cuidado y territorial.</w:t>
      </w:r>
    </w:p>
    <w:p w14:paraId="11DB7097" w14:textId="52700408" w:rsidR="00CD07D3" w:rsidRPr="00E00F13" w:rsidRDefault="00CD07D3" w:rsidP="005E33C6">
      <w:pPr>
        <w:numPr>
          <w:ilvl w:val="0"/>
          <w:numId w:val="19"/>
        </w:numPr>
        <w:spacing w:after="0" w:line="360" w:lineRule="auto"/>
        <w:jc w:val="both"/>
        <w:rPr>
          <w:rFonts w:ascii="Arial" w:hAnsi="Arial" w:cs="Arial"/>
          <w:sz w:val="24"/>
          <w:szCs w:val="24"/>
        </w:rPr>
      </w:pPr>
      <w:r w:rsidRPr="00E00F13">
        <w:rPr>
          <w:rFonts w:ascii="Arial" w:hAnsi="Arial" w:cs="Arial"/>
          <w:sz w:val="24"/>
          <w:szCs w:val="24"/>
        </w:rPr>
        <w:t>La gobernanza de los datos</w:t>
      </w:r>
      <w:r w:rsidR="00415ED0" w:rsidRPr="00E00F13">
        <w:rPr>
          <w:rFonts w:ascii="Arial" w:hAnsi="Arial" w:cs="Arial"/>
          <w:sz w:val="24"/>
          <w:szCs w:val="24"/>
        </w:rPr>
        <w:t>,</w:t>
      </w:r>
      <w:r w:rsidRPr="00E00F13">
        <w:rPr>
          <w:rFonts w:ascii="Arial" w:hAnsi="Arial" w:cs="Arial"/>
          <w:sz w:val="24"/>
          <w:szCs w:val="24"/>
        </w:rPr>
        <w:t xml:space="preserve"> con el Observatorio Nuestro Hábitat Biodiverso</w:t>
      </w:r>
      <w:r w:rsidR="00415ED0" w:rsidRPr="00E00F13">
        <w:rPr>
          <w:rFonts w:ascii="Arial" w:hAnsi="Arial" w:cs="Arial"/>
          <w:sz w:val="24"/>
          <w:szCs w:val="24"/>
        </w:rPr>
        <w:t>.</w:t>
      </w:r>
    </w:p>
    <w:p w14:paraId="2A7AFE0A" w14:textId="28BC14A0" w:rsidR="00CD07D3" w:rsidRPr="00E00F13" w:rsidRDefault="00CD07D3" w:rsidP="005E33C6">
      <w:pPr>
        <w:numPr>
          <w:ilvl w:val="0"/>
          <w:numId w:val="19"/>
        </w:numPr>
        <w:spacing w:after="0" w:line="360" w:lineRule="auto"/>
        <w:jc w:val="both"/>
        <w:rPr>
          <w:rFonts w:ascii="Arial" w:hAnsi="Arial" w:cs="Arial"/>
          <w:sz w:val="24"/>
          <w:szCs w:val="24"/>
        </w:rPr>
      </w:pPr>
      <w:r w:rsidRPr="00E00F13">
        <w:rPr>
          <w:rFonts w:ascii="Arial" w:hAnsi="Arial" w:cs="Arial"/>
          <w:sz w:val="24"/>
          <w:szCs w:val="24"/>
        </w:rPr>
        <w:t>Nuevas formas de medición</w:t>
      </w:r>
      <w:r w:rsidR="00415ED0" w:rsidRPr="00E00F13">
        <w:rPr>
          <w:rFonts w:ascii="Arial" w:hAnsi="Arial" w:cs="Arial"/>
          <w:sz w:val="24"/>
          <w:szCs w:val="24"/>
        </w:rPr>
        <w:t>.</w:t>
      </w:r>
    </w:p>
    <w:p w14:paraId="4E42EFA2" w14:textId="77777777" w:rsidR="00A52348" w:rsidRPr="00E00F13" w:rsidRDefault="00A52348" w:rsidP="00A52348">
      <w:pPr>
        <w:spacing w:after="0" w:line="360" w:lineRule="auto"/>
        <w:jc w:val="both"/>
        <w:rPr>
          <w:rFonts w:ascii="Arial" w:hAnsi="Arial" w:cs="Arial"/>
          <w:sz w:val="24"/>
          <w:szCs w:val="24"/>
        </w:rPr>
      </w:pPr>
    </w:p>
    <w:p w14:paraId="78EFFA35" w14:textId="77777777" w:rsidR="00A52348" w:rsidRPr="00E00F13" w:rsidRDefault="00A52348" w:rsidP="00A52348">
      <w:pPr>
        <w:pStyle w:val="Ttulo3"/>
        <w:rPr>
          <w:color w:val="auto"/>
        </w:rPr>
      </w:pPr>
      <w:bookmarkStart w:id="58" w:name="_Toc234242800"/>
      <w:r w:rsidRPr="00E00F13">
        <w:rPr>
          <w:color w:val="auto"/>
        </w:rPr>
        <w:lastRenderedPageBreak/>
        <w:t>2.1.2. Los datos que sustentan la política «Nuestro Hábitat Biodiverso»</w:t>
      </w:r>
      <w:bookmarkEnd w:id="58"/>
    </w:p>
    <w:p w14:paraId="295EB3B9" w14:textId="77777777" w:rsidR="00A52348" w:rsidRPr="00E00F13" w:rsidRDefault="00A52348" w:rsidP="00A52348">
      <w:pPr>
        <w:spacing w:after="0" w:line="360" w:lineRule="auto"/>
        <w:jc w:val="both"/>
        <w:rPr>
          <w:rFonts w:ascii="Arial" w:hAnsi="Arial" w:cs="Arial"/>
          <w:sz w:val="24"/>
          <w:szCs w:val="24"/>
        </w:rPr>
      </w:pPr>
      <w:r w:rsidRPr="00E00F13">
        <w:rPr>
          <w:rFonts w:ascii="Arial" w:hAnsi="Arial" w:cs="Arial"/>
          <w:sz w:val="24"/>
          <w:szCs w:val="24"/>
        </w:rPr>
        <w:t xml:space="preserve">Según la Encuesta Nacional de Calidad de Vida (ECV) del </w:t>
      </w:r>
      <w:proofErr w:type="spellStart"/>
      <w:r w:rsidRPr="00E00F13">
        <w:rPr>
          <w:rFonts w:ascii="Arial" w:hAnsi="Arial" w:cs="Arial"/>
          <w:sz w:val="24"/>
          <w:szCs w:val="24"/>
        </w:rPr>
        <w:t>Dane</w:t>
      </w:r>
      <w:proofErr w:type="spellEnd"/>
      <w:r w:rsidRPr="00E00F13">
        <w:rPr>
          <w:rFonts w:ascii="Arial" w:hAnsi="Arial" w:cs="Arial"/>
          <w:sz w:val="24"/>
          <w:szCs w:val="24"/>
        </w:rPr>
        <w:t xml:space="preserve"> en los resultados de la medición de 2024, la situación de la vivienda en Colombia muestra un comportamiento dual: existen mejoras innegables en la calidad física de las viviendas a nivel nacional, pero estas conviven con retrocesos en conectividad y propiedad para las poblaciones más vulnerables, territorios que han representado una brecha histórica que marca la incapacidad estatal por reconocer la diversidad y complejidad de la ruralidad dispersa.</w:t>
      </w:r>
    </w:p>
    <w:p w14:paraId="31218C69" w14:textId="77777777" w:rsidR="00A52348" w:rsidRPr="00E00F13" w:rsidRDefault="00A52348" w:rsidP="00A52348">
      <w:pPr>
        <w:spacing w:after="0" w:line="360" w:lineRule="auto"/>
        <w:jc w:val="both"/>
        <w:rPr>
          <w:rFonts w:ascii="Arial" w:hAnsi="Arial" w:cs="Arial"/>
          <w:sz w:val="24"/>
          <w:szCs w:val="24"/>
        </w:rPr>
      </w:pPr>
    </w:p>
    <w:p w14:paraId="6F146791" w14:textId="77777777" w:rsidR="00A52348" w:rsidRPr="00E00F13" w:rsidRDefault="00A52348" w:rsidP="00A52348">
      <w:pPr>
        <w:spacing w:after="0" w:line="360" w:lineRule="auto"/>
        <w:jc w:val="both"/>
        <w:rPr>
          <w:rFonts w:ascii="Arial" w:hAnsi="Arial" w:cs="Arial"/>
          <w:sz w:val="24"/>
          <w:szCs w:val="24"/>
        </w:rPr>
      </w:pPr>
      <w:r w:rsidRPr="00E00F13">
        <w:rPr>
          <w:rFonts w:ascii="Arial" w:hAnsi="Arial" w:cs="Arial"/>
          <w:sz w:val="24"/>
          <w:szCs w:val="24"/>
        </w:rPr>
        <w:t xml:space="preserve">En el panorama nacional, la mejora más significativa es la reducción del déficit habitacional total, que pasó del 28,9% en 2023 al 26,8% en 2024. Este avance puede ser considerado un acierto de la política, ya que fue impulsado casi exclusivamente por la disminución del déficit cualitativo (del 22,1% al 20,0%), lo que indica que miles de hogares lograron mejorar sus condiciones de hacinamiento, servicios o materiales (pisos y paredes). Esto puede tener relación directa con la priorización de los programas de mejoramiento de vivienda, a través de esquemas comunitarios, en los territorios con mayores déficits cualitativos identificados. Sin embargo, el indicador de déficit cuantitativo, que mide la necesidad de construir viviendas nuevas, se estancó en el 6,8%, lo que representa, analíticamente, la permanencia de necesidades de viviendas nuevas. </w:t>
      </w:r>
    </w:p>
    <w:p w14:paraId="7CD61431" w14:textId="77777777" w:rsidR="00A52348" w:rsidRPr="00E00F13" w:rsidRDefault="00A52348" w:rsidP="00A52348">
      <w:pPr>
        <w:spacing w:after="0" w:line="360" w:lineRule="auto"/>
        <w:jc w:val="both"/>
        <w:rPr>
          <w:rFonts w:ascii="Arial" w:hAnsi="Arial" w:cs="Arial"/>
          <w:sz w:val="24"/>
          <w:szCs w:val="24"/>
        </w:rPr>
      </w:pPr>
    </w:p>
    <w:p w14:paraId="3BD19902" w14:textId="77777777" w:rsidR="00A52348" w:rsidRPr="00E00F13" w:rsidRDefault="00A52348" w:rsidP="00A52348">
      <w:pPr>
        <w:spacing w:after="0" w:line="360" w:lineRule="auto"/>
        <w:jc w:val="both"/>
        <w:rPr>
          <w:rFonts w:ascii="Arial" w:hAnsi="Arial" w:cs="Arial"/>
          <w:sz w:val="24"/>
          <w:szCs w:val="24"/>
        </w:rPr>
      </w:pPr>
      <w:r w:rsidRPr="00E00F13">
        <w:rPr>
          <w:rFonts w:ascii="Arial" w:hAnsi="Arial" w:cs="Arial"/>
          <w:sz w:val="24"/>
          <w:szCs w:val="24"/>
        </w:rPr>
        <w:t xml:space="preserve">Sobre estos datos globales, es relevante reconocer que los déficits cualitativos de vivienda se concentran en áreas de ruralidad dispersa o en municipios con cabeceras urbanas-rurales con altas necesidades socioeconómicas, es decir, la mejora en términos cualitativos es un impacto sobre la población históricamente desatendida. </w:t>
      </w:r>
    </w:p>
    <w:p w14:paraId="72E7A948" w14:textId="77777777" w:rsidR="00A52348" w:rsidRPr="00E00F13" w:rsidRDefault="00A52348" w:rsidP="00A52348">
      <w:pPr>
        <w:spacing w:after="0" w:line="360" w:lineRule="auto"/>
        <w:jc w:val="both"/>
        <w:rPr>
          <w:rFonts w:ascii="Arial" w:hAnsi="Arial" w:cs="Arial"/>
          <w:sz w:val="24"/>
          <w:szCs w:val="24"/>
        </w:rPr>
      </w:pPr>
    </w:p>
    <w:p w14:paraId="3C561AE7" w14:textId="77777777" w:rsidR="00A52348" w:rsidRPr="00E00F13" w:rsidRDefault="00A52348" w:rsidP="00A52348">
      <w:pPr>
        <w:spacing w:after="0" w:line="360" w:lineRule="auto"/>
        <w:jc w:val="both"/>
        <w:rPr>
          <w:rFonts w:ascii="Arial" w:hAnsi="Arial" w:cs="Arial"/>
          <w:sz w:val="24"/>
          <w:szCs w:val="24"/>
        </w:rPr>
      </w:pPr>
      <w:r w:rsidRPr="00E00F13">
        <w:rPr>
          <w:rFonts w:ascii="Arial" w:hAnsi="Arial" w:cs="Arial"/>
          <w:sz w:val="24"/>
          <w:szCs w:val="24"/>
        </w:rPr>
        <w:t xml:space="preserve">En cuanto a los análisis por poblaciones o sectores diversos, los resultados de la ECV (2024) permite hacer una lectura transversal sobre población Negra, Afrodescendiente, Raizal y Palenquera (NARP), campesinado, género y territorios PDET. Sobre la población NARP se tiene un análisis similar al nacional: hubo una </w:t>
      </w:r>
      <w:r w:rsidRPr="00E00F13">
        <w:rPr>
          <w:rFonts w:ascii="Arial" w:hAnsi="Arial" w:cs="Arial"/>
          <w:sz w:val="24"/>
          <w:szCs w:val="24"/>
        </w:rPr>
        <w:lastRenderedPageBreak/>
        <w:t xml:space="preserve">mejora en el déficit habitacional total, que cayó del 54,2% en 2023 al 51,5% en 2024, gracias a las mejoras de las condiciones físicas de la vivienda. No obstante, esta población sufrió un deterioro en el déficit cuantitativo, que subió del 21,2% al 21,8%. Esto significa que, comparado con el año anterior, hoy hay más familias afrodescendientes que necesitan una vivienda nueva, una tendencia contraria a la mejora cualitativa general, esto puede tener relación con la variación de la estructura demográfica. </w:t>
      </w:r>
    </w:p>
    <w:p w14:paraId="4E52F166" w14:textId="77777777" w:rsidR="00A52348" w:rsidRPr="00E00F13" w:rsidRDefault="00A52348" w:rsidP="00A52348">
      <w:pPr>
        <w:spacing w:after="0" w:line="360" w:lineRule="auto"/>
        <w:jc w:val="both"/>
        <w:rPr>
          <w:rFonts w:ascii="Arial" w:hAnsi="Arial" w:cs="Arial"/>
          <w:sz w:val="24"/>
          <w:szCs w:val="24"/>
        </w:rPr>
      </w:pPr>
    </w:p>
    <w:p w14:paraId="5F03BBF5" w14:textId="77777777" w:rsidR="00A52348" w:rsidRPr="00E00F13" w:rsidRDefault="00A52348" w:rsidP="00A52348">
      <w:pPr>
        <w:spacing w:after="0" w:line="360" w:lineRule="auto"/>
        <w:jc w:val="both"/>
        <w:rPr>
          <w:rFonts w:ascii="Arial" w:hAnsi="Arial" w:cs="Arial"/>
          <w:sz w:val="24"/>
          <w:szCs w:val="24"/>
        </w:rPr>
      </w:pPr>
      <w:r w:rsidRPr="00E00F13">
        <w:rPr>
          <w:rFonts w:ascii="Arial" w:hAnsi="Arial" w:cs="Arial"/>
          <w:sz w:val="24"/>
          <w:szCs w:val="24"/>
        </w:rPr>
        <w:t>Sobre el campesinado, la mejora en condiciones socioeconómicas está marcada por la percepción de pobreza de los jefes de hogar campesinos, que disminuyó notablemente del 69,7% en 2023 al 63,5% en 2024. Sobre la tenencia de vivienda propia, un baluarte histórico del campesinado, los porcentajes tuvieron un descenso leve del 43,5% al 42,4%, esto puede ser resultado del aumento de tierras disponible para la producción.</w:t>
      </w:r>
    </w:p>
    <w:p w14:paraId="2D4E810B" w14:textId="77777777" w:rsidR="00A52348" w:rsidRPr="00E00F13" w:rsidRDefault="00A52348" w:rsidP="00A52348">
      <w:pPr>
        <w:spacing w:after="0" w:line="360" w:lineRule="auto"/>
        <w:jc w:val="both"/>
        <w:rPr>
          <w:rFonts w:ascii="Arial" w:hAnsi="Arial" w:cs="Arial"/>
          <w:sz w:val="24"/>
          <w:szCs w:val="24"/>
        </w:rPr>
      </w:pPr>
    </w:p>
    <w:p w14:paraId="37B95112" w14:textId="77777777" w:rsidR="00A52348" w:rsidRPr="00E00F13" w:rsidRDefault="00A52348" w:rsidP="00A52348">
      <w:pPr>
        <w:spacing w:after="0" w:line="360" w:lineRule="auto"/>
        <w:jc w:val="both"/>
        <w:rPr>
          <w:rFonts w:ascii="Arial" w:hAnsi="Arial" w:cs="Arial"/>
          <w:sz w:val="24"/>
          <w:szCs w:val="24"/>
        </w:rPr>
      </w:pPr>
      <w:r w:rsidRPr="00E00F13">
        <w:rPr>
          <w:rFonts w:ascii="Arial" w:hAnsi="Arial" w:cs="Arial"/>
          <w:sz w:val="24"/>
          <w:szCs w:val="24"/>
        </w:rPr>
        <w:t>Finalmente, en los municipios PDET, territorios priorizados para la implementación del punto uno del acuerdo final de paz, el balance es de estancamiento con alertas. La percepción de pobreza se mantuvo prácticamente igual (70,2% en 2023 vs. 70,1% en 2024), lo que sugiere que las intervenciones no están logrando el cumplimiento integral de lo acordado.</w:t>
      </w:r>
    </w:p>
    <w:p w14:paraId="5B6803B8" w14:textId="77777777" w:rsidR="00A52348" w:rsidRPr="00E00F13" w:rsidRDefault="00A52348" w:rsidP="00A52348">
      <w:pPr>
        <w:spacing w:after="0" w:line="360" w:lineRule="auto"/>
        <w:jc w:val="both"/>
        <w:rPr>
          <w:rFonts w:ascii="Arial" w:hAnsi="Arial" w:cs="Arial"/>
          <w:sz w:val="24"/>
          <w:szCs w:val="24"/>
        </w:rPr>
      </w:pPr>
      <w:r w:rsidRPr="00E00F13">
        <w:rPr>
          <w:rFonts w:ascii="Arial" w:hAnsi="Arial" w:cs="Arial"/>
          <w:sz w:val="24"/>
          <w:szCs w:val="24"/>
        </w:rPr>
        <w:t xml:space="preserve"> </w:t>
      </w:r>
    </w:p>
    <w:p w14:paraId="40637E10" w14:textId="77777777" w:rsidR="00A52348" w:rsidRPr="00E00F13" w:rsidRDefault="00A52348" w:rsidP="00A52348">
      <w:pPr>
        <w:pStyle w:val="Ttulo3"/>
        <w:rPr>
          <w:color w:val="auto"/>
        </w:rPr>
      </w:pPr>
      <w:bookmarkStart w:id="59" w:name="_Toc234242801"/>
      <w:r w:rsidRPr="00E00F13">
        <w:rPr>
          <w:color w:val="auto"/>
        </w:rPr>
        <w:t>Los datos sobre el déficit cualitativo y brecha rural de agua y saneamiento básico y vivienda</w:t>
      </w:r>
      <w:bookmarkEnd w:id="59"/>
    </w:p>
    <w:p w14:paraId="43E80BF2" w14:textId="77777777" w:rsidR="00A52348" w:rsidRPr="00E00F13" w:rsidRDefault="00A52348" w:rsidP="00A52348">
      <w:pPr>
        <w:spacing w:after="0" w:line="360" w:lineRule="auto"/>
        <w:jc w:val="both"/>
        <w:rPr>
          <w:rFonts w:ascii="Arial" w:hAnsi="Arial" w:cs="Arial"/>
        </w:rPr>
      </w:pPr>
      <w:r w:rsidRPr="00E00F13">
        <w:rPr>
          <w:rFonts w:ascii="Arial" w:hAnsi="Arial" w:cs="Arial"/>
        </w:rPr>
        <w:t>La gestión reportada por el MVCT en su informe 2024-2025 indica una alta alineación con los resultados de la Encuesta de Calidad de Vida de 2024. La política «Nuestro Hábitat Biodiverso» atiende directamente las dinámicas del sector establecidas por el DANE: déficit cualitativo y brecha rural de agua. Al respecto, se debe tener claridad que la atención de las brechas o déficit son una tarea estructural y que la velocidad de las soluciones propuestas por el Ministerio no es consecuente con esta labor, lo que puede ser explicado a partir del tipo de arquitectura institucional y la lentitud burocrática del Estado.</w:t>
      </w:r>
    </w:p>
    <w:p w14:paraId="381F1E7A" w14:textId="77777777" w:rsidR="00A52348" w:rsidRPr="00E00F13" w:rsidRDefault="00A52348" w:rsidP="00A52348">
      <w:pPr>
        <w:spacing w:after="0" w:line="360" w:lineRule="auto"/>
        <w:jc w:val="both"/>
        <w:rPr>
          <w:rFonts w:ascii="Arial" w:hAnsi="Arial" w:cs="Arial"/>
        </w:rPr>
      </w:pPr>
    </w:p>
    <w:p w14:paraId="1CE106D0" w14:textId="77777777" w:rsidR="00A52348" w:rsidRPr="00E00F13" w:rsidRDefault="00A52348" w:rsidP="00A52348">
      <w:pPr>
        <w:spacing w:after="0" w:line="360" w:lineRule="auto"/>
        <w:jc w:val="both"/>
        <w:rPr>
          <w:rFonts w:ascii="Arial" w:hAnsi="Arial" w:cs="Arial"/>
        </w:rPr>
      </w:pPr>
      <w:r w:rsidRPr="00E00F13">
        <w:rPr>
          <w:rFonts w:ascii="Arial" w:hAnsi="Arial" w:cs="Arial"/>
        </w:rPr>
        <w:t xml:space="preserve">En vivienda, comparativamente, la tabla siguiente establece tres variables: déficit habitacional total, componente cualitativo y brecha rural. </w:t>
      </w:r>
    </w:p>
    <w:p w14:paraId="7FCF20E4" w14:textId="77777777" w:rsidR="00A52348" w:rsidRPr="00E00F13" w:rsidRDefault="00A52348" w:rsidP="00A52348">
      <w:pPr>
        <w:spacing w:line="276" w:lineRule="auto"/>
        <w:jc w:val="both"/>
        <w:rPr>
          <w:rFonts w:ascii="Arial" w:hAnsi="Arial" w:cs="Arial"/>
          <w:b/>
          <w:bCs/>
        </w:rPr>
      </w:pPr>
    </w:p>
    <w:p w14:paraId="482DC808" w14:textId="77777777" w:rsidR="00A52348" w:rsidRPr="00E00F13" w:rsidRDefault="00A52348" w:rsidP="00A52348">
      <w:pPr>
        <w:spacing w:line="276" w:lineRule="auto"/>
        <w:jc w:val="both"/>
        <w:rPr>
          <w:rFonts w:ascii="Arial" w:hAnsi="Arial" w:cs="Arial"/>
          <w:b/>
          <w:bCs/>
        </w:rPr>
      </w:pPr>
      <w:r w:rsidRPr="00E00F13">
        <w:rPr>
          <w:rFonts w:ascii="Arial" w:hAnsi="Arial" w:cs="Arial"/>
          <w:b/>
          <w:bCs/>
        </w:rPr>
        <w:t>Tabla. Comparación DANE-MVCT</w:t>
      </w:r>
    </w:p>
    <w:tbl>
      <w:tblPr>
        <w:tblStyle w:val="Tablaconcuadrcula"/>
        <w:tblW w:w="8828" w:type="dxa"/>
        <w:tblLook w:val="04A0" w:firstRow="1" w:lastRow="0" w:firstColumn="1" w:lastColumn="0" w:noHBand="0" w:noVBand="1"/>
      </w:tblPr>
      <w:tblGrid>
        <w:gridCol w:w="1468"/>
        <w:gridCol w:w="1929"/>
        <w:gridCol w:w="2320"/>
        <w:gridCol w:w="3111"/>
      </w:tblGrid>
      <w:tr w:rsidR="00A52348" w:rsidRPr="00E00F13" w14:paraId="0EF12E87" w14:textId="77777777" w:rsidTr="00914132">
        <w:tc>
          <w:tcPr>
            <w:tcW w:w="1468" w:type="dxa"/>
            <w:shd w:val="clear" w:color="auto" w:fill="B4C6E7" w:themeFill="accent1" w:themeFillTint="66"/>
            <w:vAlign w:val="center"/>
          </w:tcPr>
          <w:p w14:paraId="1F5FC8D4" w14:textId="77777777" w:rsidR="00A52348" w:rsidRPr="00E00F13" w:rsidRDefault="00A52348" w:rsidP="00914132">
            <w:pPr>
              <w:spacing w:after="100" w:afterAutospacing="1" w:line="276" w:lineRule="auto"/>
              <w:jc w:val="center"/>
              <w:rPr>
                <w:rFonts w:ascii="Arial" w:hAnsi="Arial" w:cs="Arial"/>
              </w:rPr>
            </w:pPr>
            <w:r w:rsidRPr="00E00F13">
              <w:rPr>
                <w:rFonts w:ascii="Arial" w:hAnsi="Arial" w:cs="Arial"/>
                <w:b/>
                <w:bCs/>
              </w:rPr>
              <w:t>Indicador</w:t>
            </w:r>
          </w:p>
        </w:tc>
        <w:tc>
          <w:tcPr>
            <w:tcW w:w="1929" w:type="dxa"/>
            <w:shd w:val="clear" w:color="auto" w:fill="B4C6E7" w:themeFill="accent1" w:themeFillTint="66"/>
            <w:vAlign w:val="center"/>
          </w:tcPr>
          <w:p w14:paraId="38A83266" w14:textId="77777777" w:rsidR="00A52348" w:rsidRPr="00E00F13" w:rsidRDefault="00A52348" w:rsidP="00914132">
            <w:pPr>
              <w:spacing w:after="100" w:afterAutospacing="1" w:line="276" w:lineRule="auto"/>
              <w:jc w:val="center"/>
              <w:rPr>
                <w:rFonts w:ascii="Arial" w:hAnsi="Arial" w:cs="Arial"/>
              </w:rPr>
            </w:pPr>
            <w:r w:rsidRPr="00E00F13">
              <w:rPr>
                <w:rFonts w:ascii="Arial" w:hAnsi="Arial" w:cs="Arial"/>
                <w:b/>
                <w:bCs/>
              </w:rPr>
              <w:t>Reporte DANE (</w:t>
            </w:r>
            <w:bookmarkStart w:id="60" w:name="_Hlk215595389"/>
            <w:r w:rsidRPr="00E00F13">
              <w:rPr>
                <w:rFonts w:ascii="Arial" w:hAnsi="Arial" w:cs="Arial"/>
                <w:b/>
                <w:bCs/>
              </w:rPr>
              <w:t>ECV 2024</w:t>
            </w:r>
            <w:bookmarkEnd w:id="60"/>
            <w:r w:rsidRPr="00E00F13">
              <w:rPr>
                <w:rFonts w:ascii="Arial" w:hAnsi="Arial" w:cs="Arial"/>
                <w:b/>
                <w:bCs/>
              </w:rPr>
              <w:t>)</w:t>
            </w:r>
          </w:p>
        </w:tc>
        <w:tc>
          <w:tcPr>
            <w:tcW w:w="2320" w:type="dxa"/>
            <w:shd w:val="clear" w:color="auto" w:fill="B4C6E7" w:themeFill="accent1" w:themeFillTint="66"/>
            <w:vAlign w:val="center"/>
          </w:tcPr>
          <w:p w14:paraId="27A2548A" w14:textId="77777777" w:rsidR="00A52348" w:rsidRPr="00E00F13" w:rsidRDefault="00A52348" w:rsidP="00914132">
            <w:pPr>
              <w:spacing w:after="100" w:afterAutospacing="1" w:line="276" w:lineRule="auto"/>
              <w:jc w:val="center"/>
              <w:rPr>
                <w:rFonts w:ascii="Arial" w:hAnsi="Arial" w:cs="Arial"/>
              </w:rPr>
            </w:pPr>
            <w:r w:rsidRPr="00E00F13">
              <w:rPr>
                <w:rFonts w:ascii="Arial" w:hAnsi="Arial" w:cs="Arial"/>
                <w:b/>
                <w:bCs/>
              </w:rPr>
              <w:t>Gestión MVCT (2024-2025)</w:t>
            </w:r>
          </w:p>
        </w:tc>
        <w:tc>
          <w:tcPr>
            <w:tcW w:w="3111" w:type="dxa"/>
            <w:shd w:val="clear" w:color="auto" w:fill="B4C6E7" w:themeFill="accent1" w:themeFillTint="66"/>
            <w:vAlign w:val="center"/>
          </w:tcPr>
          <w:p w14:paraId="1991F1AD" w14:textId="77777777" w:rsidR="00A52348" w:rsidRPr="00E00F13" w:rsidRDefault="00A52348" w:rsidP="00914132">
            <w:pPr>
              <w:spacing w:after="100" w:afterAutospacing="1" w:line="276" w:lineRule="auto"/>
              <w:jc w:val="center"/>
              <w:rPr>
                <w:rFonts w:ascii="Arial" w:hAnsi="Arial" w:cs="Arial"/>
              </w:rPr>
            </w:pPr>
            <w:r w:rsidRPr="00E00F13">
              <w:rPr>
                <w:rFonts w:ascii="Arial" w:hAnsi="Arial" w:cs="Arial"/>
                <w:b/>
                <w:bCs/>
              </w:rPr>
              <w:t>Análisis comparativo</w:t>
            </w:r>
          </w:p>
        </w:tc>
      </w:tr>
      <w:tr w:rsidR="00A52348" w:rsidRPr="00E00F13" w14:paraId="37BA0D59" w14:textId="77777777" w:rsidTr="00914132">
        <w:tc>
          <w:tcPr>
            <w:tcW w:w="1468" w:type="dxa"/>
            <w:vAlign w:val="center"/>
          </w:tcPr>
          <w:p w14:paraId="559298C1" w14:textId="77777777" w:rsidR="00A52348" w:rsidRPr="00E00F13" w:rsidRDefault="00A52348" w:rsidP="00914132">
            <w:pPr>
              <w:spacing w:after="100" w:afterAutospacing="1"/>
              <w:jc w:val="both"/>
              <w:rPr>
                <w:rFonts w:ascii="Arial" w:hAnsi="Arial" w:cs="Arial"/>
                <w:b/>
                <w:bCs/>
                <w:sz w:val="20"/>
                <w:szCs w:val="20"/>
              </w:rPr>
            </w:pPr>
            <w:r w:rsidRPr="00E00F13">
              <w:rPr>
                <w:rFonts w:ascii="Arial" w:hAnsi="Arial" w:cs="Arial"/>
                <w:b/>
                <w:bCs/>
                <w:sz w:val="20"/>
                <w:szCs w:val="20"/>
              </w:rPr>
              <w:t>Déficit habitacional Total</w:t>
            </w:r>
          </w:p>
        </w:tc>
        <w:tc>
          <w:tcPr>
            <w:tcW w:w="1929" w:type="dxa"/>
            <w:vAlign w:val="center"/>
          </w:tcPr>
          <w:p w14:paraId="73FB084A" w14:textId="77777777" w:rsidR="00A52348" w:rsidRPr="00E00F13" w:rsidRDefault="00A52348" w:rsidP="00914132">
            <w:pPr>
              <w:spacing w:after="100" w:afterAutospacing="1"/>
              <w:jc w:val="both"/>
              <w:rPr>
                <w:rFonts w:ascii="Arial" w:hAnsi="Arial" w:cs="Arial"/>
                <w:sz w:val="20"/>
                <w:szCs w:val="20"/>
              </w:rPr>
            </w:pPr>
            <w:r w:rsidRPr="00E00F13">
              <w:rPr>
                <w:rFonts w:ascii="Arial" w:hAnsi="Arial" w:cs="Arial"/>
                <w:sz w:val="20"/>
                <w:szCs w:val="20"/>
              </w:rPr>
              <w:t xml:space="preserve">26,8% (reducción de 2,1 </w:t>
            </w:r>
            <w:proofErr w:type="spellStart"/>
            <w:r w:rsidRPr="00E00F13">
              <w:rPr>
                <w:rFonts w:ascii="Arial" w:hAnsi="Arial" w:cs="Arial"/>
                <w:sz w:val="20"/>
                <w:szCs w:val="20"/>
              </w:rPr>
              <w:t>p.p</w:t>
            </w:r>
            <w:proofErr w:type="spellEnd"/>
            <w:r w:rsidRPr="00E00F13">
              <w:rPr>
                <w:rFonts w:ascii="Arial" w:hAnsi="Arial" w:cs="Arial"/>
                <w:sz w:val="20"/>
                <w:szCs w:val="20"/>
              </w:rPr>
              <w:t xml:space="preserve"> frente a 2023)</w:t>
            </w:r>
          </w:p>
        </w:tc>
        <w:tc>
          <w:tcPr>
            <w:tcW w:w="2320" w:type="dxa"/>
            <w:vAlign w:val="center"/>
          </w:tcPr>
          <w:p w14:paraId="0079F978" w14:textId="77777777" w:rsidR="00A52348" w:rsidRPr="00E00F13" w:rsidRDefault="00A52348" w:rsidP="00914132">
            <w:pPr>
              <w:spacing w:after="100" w:afterAutospacing="1"/>
              <w:jc w:val="both"/>
              <w:rPr>
                <w:rFonts w:ascii="Arial" w:hAnsi="Arial" w:cs="Arial"/>
                <w:sz w:val="20"/>
                <w:szCs w:val="20"/>
              </w:rPr>
            </w:pPr>
            <w:r w:rsidRPr="00E00F13">
              <w:rPr>
                <w:rFonts w:ascii="Arial" w:hAnsi="Arial" w:cs="Arial"/>
                <w:sz w:val="20"/>
                <w:szCs w:val="20"/>
              </w:rPr>
              <w:t>Reporta la misma cifra (26,8%) como un logro de gestión, superando la meta del PND (27,9%).</w:t>
            </w:r>
          </w:p>
        </w:tc>
        <w:tc>
          <w:tcPr>
            <w:tcW w:w="3111" w:type="dxa"/>
            <w:vAlign w:val="center"/>
          </w:tcPr>
          <w:p w14:paraId="62642A5D" w14:textId="77777777" w:rsidR="00A52348" w:rsidRPr="00E00F13" w:rsidRDefault="00A52348" w:rsidP="00914132">
            <w:pPr>
              <w:spacing w:after="100" w:afterAutospacing="1"/>
              <w:jc w:val="both"/>
              <w:rPr>
                <w:rFonts w:ascii="Arial" w:hAnsi="Arial" w:cs="Arial"/>
                <w:sz w:val="20"/>
                <w:szCs w:val="20"/>
              </w:rPr>
            </w:pPr>
            <w:r w:rsidRPr="00E00F13">
              <w:rPr>
                <w:rFonts w:ascii="Arial" w:hAnsi="Arial" w:cs="Arial"/>
                <w:sz w:val="20"/>
                <w:szCs w:val="20"/>
              </w:rPr>
              <w:t>El MVCT ha logrado capitalizar la tendencia de mejora. La reducción de 343.000 hogares en déficit valida la estrategia.</w:t>
            </w:r>
          </w:p>
        </w:tc>
      </w:tr>
      <w:tr w:rsidR="00A52348" w:rsidRPr="00E00F13" w14:paraId="01795C54" w14:textId="77777777" w:rsidTr="00914132">
        <w:tc>
          <w:tcPr>
            <w:tcW w:w="1468" w:type="dxa"/>
            <w:vAlign w:val="center"/>
          </w:tcPr>
          <w:p w14:paraId="779EF349" w14:textId="77777777" w:rsidR="00A52348" w:rsidRPr="00E00F13" w:rsidRDefault="00A52348" w:rsidP="00914132">
            <w:pPr>
              <w:spacing w:after="100" w:afterAutospacing="1"/>
              <w:jc w:val="both"/>
              <w:rPr>
                <w:rFonts w:ascii="Arial" w:hAnsi="Arial" w:cs="Arial"/>
                <w:b/>
                <w:bCs/>
                <w:sz w:val="20"/>
                <w:szCs w:val="20"/>
              </w:rPr>
            </w:pPr>
            <w:r w:rsidRPr="00E00F13">
              <w:rPr>
                <w:rFonts w:ascii="Arial" w:hAnsi="Arial" w:cs="Arial"/>
                <w:b/>
                <w:bCs/>
                <w:sz w:val="20"/>
                <w:szCs w:val="20"/>
              </w:rPr>
              <w:t>Componente cualitativo</w:t>
            </w:r>
          </w:p>
        </w:tc>
        <w:tc>
          <w:tcPr>
            <w:tcW w:w="1929" w:type="dxa"/>
            <w:vAlign w:val="center"/>
          </w:tcPr>
          <w:p w14:paraId="27E81D33" w14:textId="77777777" w:rsidR="00A52348" w:rsidRPr="00E00F13" w:rsidRDefault="00A52348" w:rsidP="00914132">
            <w:pPr>
              <w:spacing w:after="100" w:afterAutospacing="1"/>
              <w:jc w:val="both"/>
              <w:rPr>
                <w:rFonts w:ascii="Arial" w:hAnsi="Arial" w:cs="Arial"/>
                <w:sz w:val="20"/>
                <w:szCs w:val="20"/>
              </w:rPr>
            </w:pPr>
            <w:r w:rsidRPr="00E00F13">
              <w:rPr>
                <w:rFonts w:ascii="Arial" w:hAnsi="Arial" w:cs="Arial"/>
                <w:sz w:val="20"/>
                <w:szCs w:val="20"/>
              </w:rPr>
              <w:t>Es el mayoritario (20,0%). La gente tiene casa, pero en malas condiciones.</w:t>
            </w:r>
          </w:p>
        </w:tc>
        <w:tc>
          <w:tcPr>
            <w:tcW w:w="2320" w:type="dxa"/>
            <w:vAlign w:val="center"/>
          </w:tcPr>
          <w:p w14:paraId="0EB4F3BD" w14:textId="77777777" w:rsidR="00A52348" w:rsidRPr="00E00F13" w:rsidRDefault="00A52348" w:rsidP="00914132">
            <w:pPr>
              <w:spacing w:after="100" w:afterAutospacing="1"/>
              <w:jc w:val="both"/>
              <w:rPr>
                <w:rFonts w:ascii="Arial" w:hAnsi="Arial" w:cs="Arial"/>
                <w:sz w:val="20"/>
                <w:szCs w:val="20"/>
              </w:rPr>
            </w:pPr>
            <w:r w:rsidRPr="00E00F13">
              <w:rPr>
                <w:rFonts w:ascii="Arial" w:hAnsi="Arial" w:cs="Arial"/>
                <w:sz w:val="20"/>
                <w:szCs w:val="20"/>
              </w:rPr>
              <w:t>Enfoque masivo en mejoramientos: 117.210 cupos gestionados y 34.316 terminados.</w:t>
            </w:r>
          </w:p>
        </w:tc>
        <w:tc>
          <w:tcPr>
            <w:tcW w:w="3111" w:type="dxa"/>
            <w:vAlign w:val="center"/>
          </w:tcPr>
          <w:p w14:paraId="4EF754B4" w14:textId="77777777" w:rsidR="00A52348" w:rsidRPr="00E00F13" w:rsidRDefault="00A52348" w:rsidP="00914132">
            <w:pPr>
              <w:spacing w:after="100" w:afterAutospacing="1"/>
              <w:jc w:val="both"/>
              <w:rPr>
                <w:rFonts w:ascii="Arial" w:hAnsi="Arial" w:cs="Arial"/>
                <w:sz w:val="20"/>
                <w:szCs w:val="20"/>
              </w:rPr>
            </w:pPr>
            <w:r w:rsidRPr="00E00F13">
              <w:rPr>
                <w:rFonts w:ascii="Arial" w:hAnsi="Arial" w:cs="Arial"/>
                <w:sz w:val="20"/>
                <w:szCs w:val="20"/>
              </w:rPr>
              <w:t>La política se volcó al mejoramiento (cualitativo) sobre la construcción nueva, alineándose con el dato del DANE que muestra que el problema es más de calidad que de cantidad.</w:t>
            </w:r>
          </w:p>
        </w:tc>
      </w:tr>
      <w:tr w:rsidR="00A52348" w:rsidRPr="00E00F13" w14:paraId="763D4E7A" w14:textId="77777777" w:rsidTr="00914132">
        <w:tc>
          <w:tcPr>
            <w:tcW w:w="1468" w:type="dxa"/>
            <w:vAlign w:val="center"/>
          </w:tcPr>
          <w:p w14:paraId="27D7BB50" w14:textId="77777777" w:rsidR="00A52348" w:rsidRPr="00E00F13" w:rsidRDefault="00A52348" w:rsidP="00914132">
            <w:pPr>
              <w:spacing w:after="100" w:afterAutospacing="1"/>
              <w:jc w:val="both"/>
              <w:rPr>
                <w:rFonts w:ascii="Arial" w:hAnsi="Arial" w:cs="Arial"/>
                <w:b/>
                <w:bCs/>
                <w:sz w:val="20"/>
                <w:szCs w:val="20"/>
              </w:rPr>
            </w:pPr>
            <w:r w:rsidRPr="00E00F13">
              <w:rPr>
                <w:rFonts w:ascii="Arial" w:hAnsi="Arial" w:cs="Arial"/>
                <w:b/>
                <w:bCs/>
                <w:sz w:val="20"/>
                <w:szCs w:val="20"/>
              </w:rPr>
              <w:t>Brecha rural</w:t>
            </w:r>
          </w:p>
        </w:tc>
        <w:tc>
          <w:tcPr>
            <w:tcW w:w="1929" w:type="dxa"/>
            <w:vAlign w:val="center"/>
          </w:tcPr>
          <w:p w14:paraId="1A39B9C4" w14:textId="77777777" w:rsidR="00A52348" w:rsidRPr="00E00F13" w:rsidRDefault="00A52348" w:rsidP="00914132">
            <w:pPr>
              <w:spacing w:after="100" w:afterAutospacing="1"/>
              <w:jc w:val="both"/>
              <w:rPr>
                <w:rFonts w:ascii="Arial" w:hAnsi="Arial" w:cs="Arial"/>
                <w:sz w:val="20"/>
                <w:szCs w:val="20"/>
              </w:rPr>
            </w:pPr>
            <w:r w:rsidRPr="00E00F13">
              <w:rPr>
                <w:rFonts w:ascii="Arial" w:hAnsi="Arial" w:cs="Arial"/>
                <w:sz w:val="20"/>
                <w:szCs w:val="20"/>
              </w:rPr>
              <w:t>El déficit rural es del 61,2%, mucho más alto que el urbano.</w:t>
            </w:r>
          </w:p>
        </w:tc>
        <w:tc>
          <w:tcPr>
            <w:tcW w:w="2320" w:type="dxa"/>
            <w:vAlign w:val="center"/>
          </w:tcPr>
          <w:p w14:paraId="3398610B" w14:textId="77777777" w:rsidR="00A52348" w:rsidRPr="00E00F13" w:rsidRDefault="00A52348" w:rsidP="00914132">
            <w:pPr>
              <w:spacing w:after="100" w:afterAutospacing="1"/>
              <w:jc w:val="both"/>
              <w:rPr>
                <w:rFonts w:ascii="Arial" w:hAnsi="Arial" w:cs="Arial"/>
                <w:sz w:val="20"/>
                <w:szCs w:val="20"/>
              </w:rPr>
            </w:pPr>
            <w:r w:rsidRPr="00E00F13">
              <w:rPr>
                <w:rFonts w:ascii="Arial" w:hAnsi="Arial" w:cs="Arial"/>
                <w:sz w:val="20"/>
                <w:szCs w:val="20"/>
              </w:rPr>
              <w:t>Creación del programa de Vivienda Rural por Autogestión y ejecución de 8.216 viviendas rurales.</w:t>
            </w:r>
          </w:p>
        </w:tc>
        <w:tc>
          <w:tcPr>
            <w:tcW w:w="3111" w:type="dxa"/>
            <w:vAlign w:val="center"/>
          </w:tcPr>
          <w:p w14:paraId="77CFB41A" w14:textId="77777777" w:rsidR="00A52348" w:rsidRPr="00E00F13" w:rsidRDefault="00A52348" w:rsidP="00914132">
            <w:pPr>
              <w:spacing w:after="100" w:afterAutospacing="1"/>
              <w:jc w:val="both"/>
              <w:rPr>
                <w:rFonts w:ascii="Arial" w:hAnsi="Arial" w:cs="Arial"/>
                <w:sz w:val="20"/>
                <w:szCs w:val="20"/>
              </w:rPr>
            </w:pPr>
            <w:r w:rsidRPr="00E00F13">
              <w:rPr>
                <w:rFonts w:ascii="Arial" w:hAnsi="Arial" w:cs="Arial"/>
                <w:sz w:val="20"/>
                <w:szCs w:val="20"/>
              </w:rPr>
              <w:t>Aunque el MVCT reporta una inversión histórica en ruralidad ($2,4 billones), la escala del déficit rural del DANE sugiere que se requiere acelerar aún más este frente.</w:t>
            </w:r>
          </w:p>
        </w:tc>
      </w:tr>
    </w:tbl>
    <w:p w14:paraId="28F89EAD" w14:textId="77777777" w:rsidR="00A52348" w:rsidRPr="00E00F13" w:rsidRDefault="00A52348" w:rsidP="00A52348">
      <w:pPr>
        <w:spacing w:before="240" w:after="100" w:afterAutospacing="1" w:line="276" w:lineRule="auto"/>
        <w:jc w:val="both"/>
        <w:rPr>
          <w:rFonts w:ascii="Arial" w:hAnsi="Arial" w:cs="Arial"/>
          <w:sz w:val="20"/>
          <w:szCs w:val="20"/>
        </w:rPr>
      </w:pPr>
      <w:r w:rsidRPr="00E00F13">
        <w:rPr>
          <w:rFonts w:ascii="Arial" w:hAnsi="Arial" w:cs="Arial"/>
          <w:sz w:val="20"/>
          <w:szCs w:val="20"/>
        </w:rPr>
        <w:t>Fuente: elaboración del Observatorio de Hábitat Biodiverso de la Estrategia Social del Despacho, MVCT. 2025.</w:t>
      </w:r>
    </w:p>
    <w:p w14:paraId="64EC0C2A" w14:textId="77777777" w:rsidR="00A52348" w:rsidRPr="00E00F13" w:rsidRDefault="00A52348" w:rsidP="00A52348">
      <w:pPr>
        <w:pStyle w:val="Ttulo3"/>
        <w:rPr>
          <w:color w:val="auto"/>
        </w:rPr>
      </w:pPr>
      <w:r w:rsidRPr="00E00F13">
        <w:rPr>
          <w:color w:val="auto"/>
        </w:rPr>
        <w:tab/>
      </w:r>
      <w:bookmarkStart w:id="61" w:name="_Toc234242802"/>
      <w:r w:rsidRPr="00E00F13">
        <w:rPr>
          <w:color w:val="auto"/>
        </w:rPr>
        <w:t>En agua y saneamiento</w:t>
      </w:r>
      <w:bookmarkEnd w:id="61"/>
    </w:p>
    <w:p w14:paraId="4E9BA5BC" w14:textId="77777777" w:rsidR="00A52348" w:rsidRPr="00E00F13" w:rsidRDefault="00A52348" w:rsidP="00A52348">
      <w:pPr>
        <w:spacing w:after="0" w:line="360" w:lineRule="auto"/>
        <w:jc w:val="both"/>
        <w:rPr>
          <w:rFonts w:ascii="Arial" w:hAnsi="Arial" w:cs="Arial"/>
          <w:sz w:val="24"/>
          <w:szCs w:val="24"/>
        </w:rPr>
      </w:pPr>
      <w:r w:rsidRPr="00E00F13">
        <w:rPr>
          <w:rFonts w:ascii="Arial" w:hAnsi="Arial" w:cs="Arial"/>
          <w:sz w:val="24"/>
          <w:szCs w:val="24"/>
        </w:rPr>
        <w:t>Mientras el MVCT muestra avances focalizados, el DANE revela una brecha estructural asociada a los proyectos convencionales. En tal sentido, el DANE establece que la cobertura de acueducto rural es apenas del 64,26% (frente al 98% urbano) y en saneamiento rural es del 78,8%.</w:t>
      </w:r>
    </w:p>
    <w:p w14:paraId="44320E83" w14:textId="77777777" w:rsidR="00A52348" w:rsidRPr="00E00F13" w:rsidRDefault="00A52348" w:rsidP="00A52348">
      <w:pPr>
        <w:spacing w:after="0" w:line="360" w:lineRule="auto"/>
        <w:jc w:val="both"/>
        <w:rPr>
          <w:rFonts w:ascii="Arial" w:hAnsi="Arial" w:cs="Arial"/>
          <w:sz w:val="24"/>
          <w:szCs w:val="24"/>
        </w:rPr>
      </w:pPr>
    </w:p>
    <w:p w14:paraId="4F63A309" w14:textId="77777777" w:rsidR="00A52348" w:rsidRPr="00E00F13" w:rsidRDefault="00A52348" w:rsidP="00A52348">
      <w:pPr>
        <w:spacing w:after="0" w:line="360" w:lineRule="auto"/>
        <w:jc w:val="both"/>
        <w:rPr>
          <w:rFonts w:ascii="Arial" w:hAnsi="Arial" w:cs="Arial"/>
          <w:sz w:val="24"/>
          <w:szCs w:val="24"/>
        </w:rPr>
      </w:pPr>
      <w:r w:rsidRPr="00E00F13">
        <w:rPr>
          <w:rFonts w:ascii="Arial" w:hAnsi="Arial" w:cs="Arial"/>
          <w:sz w:val="24"/>
          <w:szCs w:val="24"/>
        </w:rPr>
        <w:t xml:space="preserve">Sobre este reporte, el MVCT reconoce que el modelo tradicional no llega a la ruralidad dispersa, el Ministerio implementó la Ruta </w:t>
      </w:r>
      <w:proofErr w:type="spellStart"/>
      <w:r w:rsidRPr="00E00F13">
        <w:rPr>
          <w:rFonts w:ascii="Arial" w:hAnsi="Arial" w:cs="Arial"/>
          <w:sz w:val="24"/>
          <w:szCs w:val="24"/>
        </w:rPr>
        <w:t>ComuniAgua</w:t>
      </w:r>
      <w:proofErr w:type="spellEnd"/>
      <w:r w:rsidRPr="00E00F13">
        <w:rPr>
          <w:rFonts w:ascii="Arial" w:hAnsi="Arial" w:cs="Arial"/>
          <w:sz w:val="24"/>
          <w:szCs w:val="24"/>
        </w:rPr>
        <w:t>. Esto ha representado el fortalecimiento de 975 gestores comunitarios en todo el país, como una respuesta estratégica a las necesidades de la ruralidad dispersa. El MVCT reporta 1,6 millones de personas con nuevo acceso al agua. Sin embargo, al cruzar con el DANE, la calidad y continuidad del agua en zonas rurales sigue siendo crítica, lo que valida la necesidad de transitar hacia una gestión comunitaria e integral del agua.</w:t>
      </w:r>
    </w:p>
    <w:p w14:paraId="3C727C3E" w14:textId="77777777" w:rsidR="00A52348" w:rsidRPr="00E00F13" w:rsidRDefault="00A52348" w:rsidP="00A52348">
      <w:pPr>
        <w:spacing w:after="0" w:line="360" w:lineRule="auto"/>
        <w:jc w:val="both"/>
        <w:rPr>
          <w:rFonts w:ascii="Arial" w:hAnsi="Arial" w:cs="Arial"/>
          <w:sz w:val="24"/>
          <w:szCs w:val="24"/>
        </w:rPr>
      </w:pPr>
    </w:p>
    <w:p w14:paraId="0F15268D" w14:textId="77777777" w:rsidR="00A52348" w:rsidRPr="00E00F13" w:rsidRDefault="00A52348" w:rsidP="00A52348">
      <w:pPr>
        <w:pStyle w:val="Ttulo3"/>
        <w:rPr>
          <w:rFonts w:cs="Arial"/>
          <w:color w:val="auto"/>
        </w:rPr>
      </w:pPr>
      <w:r w:rsidRPr="00E00F13">
        <w:rPr>
          <w:color w:val="auto"/>
        </w:rPr>
        <w:lastRenderedPageBreak/>
        <w:tab/>
      </w:r>
      <w:bookmarkStart w:id="62" w:name="_Toc234242803"/>
      <w:r w:rsidRPr="00E00F13">
        <w:rPr>
          <w:color w:val="auto"/>
        </w:rPr>
        <w:t>En autogestión y autoconstrucción de viviendas</w:t>
      </w:r>
      <w:bookmarkEnd w:id="62"/>
    </w:p>
    <w:p w14:paraId="3974A266" w14:textId="77777777" w:rsidR="00A52348" w:rsidRPr="00E00F13" w:rsidRDefault="00A52348" w:rsidP="00A52348">
      <w:pPr>
        <w:spacing w:after="0" w:line="360" w:lineRule="auto"/>
        <w:jc w:val="both"/>
        <w:rPr>
          <w:rFonts w:ascii="Arial" w:hAnsi="Arial" w:cs="Arial"/>
          <w:sz w:val="24"/>
          <w:szCs w:val="24"/>
        </w:rPr>
      </w:pPr>
      <w:r w:rsidRPr="00E00F13">
        <w:rPr>
          <w:rFonts w:ascii="Arial" w:hAnsi="Arial" w:cs="Arial"/>
          <w:sz w:val="24"/>
          <w:szCs w:val="24"/>
        </w:rPr>
        <w:t xml:space="preserve">La autogestión y la autoconstrucción, de acuerdo con los resultados de </w:t>
      </w:r>
      <w:proofErr w:type="gramStart"/>
      <w:r w:rsidRPr="00E00F13">
        <w:rPr>
          <w:rFonts w:ascii="Arial" w:hAnsi="Arial" w:cs="Arial"/>
          <w:sz w:val="24"/>
          <w:szCs w:val="24"/>
        </w:rPr>
        <w:t>la misma</w:t>
      </w:r>
      <w:proofErr w:type="gramEnd"/>
      <w:r w:rsidRPr="00E00F13">
        <w:rPr>
          <w:rFonts w:ascii="Arial" w:hAnsi="Arial" w:cs="Arial"/>
          <w:sz w:val="24"/>
          <w:szCs w:val="24"/>
        </w:rPr>
        <w:t xml:space="preserve"> ECV 2024, responde a la necesidad de la vivienda en Colombia especialmente rural y dispersa, que desarrollan sus procesos constructivos sin procesos formales o que tengan presente la expedición de licencias de construcción. Por tal motivo, el MVCT ha avanzado en la reglamentación del Decreto 585 de 2025 y mediante el trabajo de las líneas del programa de titulación de predios (211.602 títulos), lo que aporta al reconocimiento de la diversidad y complejidad del hábitat comunitario y biodiverso.</w:t>
      </w:r>
    </w:p>
    <w:p w14:paraId="4B8EBD5B" w14:textId="14BFF276" w:rsidR="00CD07D3" w:rsidRPr="00E00F13" w:rsidRDefault="00CD07D3" w:rsidP="003F26BE">
      <w:pPr>
        <w:spacing w:after="0" w:line="360" w:lineRule="auto"/>
        <w:jc w:val="both"/>
        <w:rPr>
          <w:rFonts w:ascii="Arial" w:hAnsi="Arial" w:cs="Arial"/>
          <w:sz w:val="24"/>
          <w:szCs w:val="24"/>
        </w:rPr>
      </w:pPr>
    </w:p>
    <w:p w14:paraId="2D2E1FA1" w14:textId="77777777" w:rsidR="00170718" w:rsidRPr="00E00F13" w:rsidRDefault="00170718" w:rsidP="00170718">
      <w:pPr>
        <w:pStyle w:val="Ttulo2"/>
        <w:rPr>
          <w:color w:val="auto"/>
        </w:rPr>
      </w:pPr>
      <w:bookmarkStart w:id="63" w:name="_Toc234242804"/>
      <w:r w:rsidRPr="00E00F13">
        <w:rPr>
          <w:color w:val="auto"/>
        </w:rPr>
        <w:t>2.2. Marco conceptual del hábitat biodiverso</w:t>
      </w:r>
      <w:bookmarkEnd w:id="63"/>
      <w:r w:rsidRPr="00E00F13">
        <w:rPr>
          <w:color w:val="auto"/>
        </w:rPr>
        <w:t xml:space="preserve"> </w:t>
      </w:r>
    </w:p>
    <w:p w14:paraId="55CA3341" w14:textId="4EAE78B5" w:rsidR="00170718" w:rsidRPr="00E00F13" w:rsidRDefault="00170718" w:rsidP="00774E4D">
      <w:pPr>
        <w:pStyle w:val="Ttulo3"/>
        <w:rPr>
          <w:color w:val="auto"/>
        </w:rPr>
      </w:pPr>
      <w:bookmarkStart w:id="64" w:name="_Toc234242805"/>
      <w:r w:rsidRPr="00E00F13">
        <w:rPr>
          <w:color w:val="auto"/>
        </w:rPr>
        <w:t>2.2.1. ¿De qué hablamos cuando hablamos de hábitat biodiverso? La complejidad</w:t>
      </w:r>
      <w:r w:rsidR="0022760A" w:rsidRPr="00E00F13">
        <w:rPr>
          <w:color w:val="auto"/>
        </w:rPr>
        <w:t>: infraestructura y seres humanos que viven en contextos específicos y culturalmente diferentes</w:t>
      </w:r>
      <w:bookmarkEnd w:id="64"/>
    </w:p>
    <w:p w14:paraId="40863BB0" w14:textId="77777777" w:rsidR="00774E4D" w:rsidRPr="00E00F13" w:rsidRDefault="00170718" w:rsidP="00170718">
      <w:pPr>
        <w:spacing w:after="0" w:line="360" w:lineRule="auto"/>
        <w:jc w:val="both"/>
        <w:rPr>
          <w:rFonts w:ascii="Arial" w:hAnsi="Arial" w:cs="Arial"/>
          <w:sz w:val="24"/>
          <w:szCs w:val="24"/>
        </w:rPr>
      </w:pPr>
      <w:r w:rsidRPr="00E00F13">
        <w:rPr>
          <w:rFonts w:ascii="Arial" w:hAnsi="Arial" w:cs="Arial"/>
          <w:sz w:val="24"/>
          <w:szCs w:val="24"/>
        </w:rPr>
        <w:t xml:space="preserve">El hábitat no es únicamente el espacio físico donde se habita, sino el territorio vivo que articula biodiversidad, justicia social, acceso al agua potable, reciclaje digno y la reducción de desigualdades históricas, incluyendo la mortalidad infantil asociada a la falta de agua potable y saneamiento básico. </w:t>
      </w:r>
    </w:p>
    <w:p w14:paraId="13636580" w14:textId="77777777" w:rsidR="00774E4D" w:rsidRPr="00E00F13" w:rsidRDefault="00774E4D" w:rsidP="00170718">
      <w:pPr>
        <w:spacing w:after="0" w:line="360" w:lineRule="auto"/>
        <w:jc w:val="both"/>
        <w:rPr>
          <w:rFonts w:ascii="Arial" w:hAnsi="Arial" w:cs="Arial"/>
          <w:sz w:val="24"/>
          <w:szCs w:val="24"/>
        </w:rPr>
      </w:pPr>
    </w:p>
    <w:p w14:paraId="491D36F4" w14:textId="03B21739" w:rsidR="00170718" w:rsidRPr="00E00F13" w:rsidRDefault="00170718" w:rsidP="00170718">
      <w:pPr>
        <w:spacing w:after="0" w:line="360" w:lineRule="auto"/>
        <w:jc w:val="both"/>
        <w:rPr>
          <w:rFonts w:ascii="Arial" w:hAnsi="Arial" w:cs="Arial"/>
          <w:sz w:val="24"/>
          <w:szCs w:val="24"/>
        </w:rPr>
      </w:pPr>
      <w:r w:rsidRPr="00E00F13">
        <w:rPr>
          <w:rFonts w:ascii="Arial" w:hAnsi="Arial" w:cs="Arial"/>
          <w:sz w:val="24"/>
          <w:szCs w:val="24"/>
        </w:rPr>
        <w:t>El hábitat se entiende como la relación que las sociedades establecen con su entorno y se refiere, en concreto, al reconocimiento y apoyo a las prácticas a través de las cuales las poblaciones, en especial los sectores populares, han construido formas de habitar, de ocupar, de producir y de crear espacialidades. Cuando se habla de los distintos hábitats biodiversos hablamos de la diferenciación geográfica, social, cultural, colectiva, demográfica y de infraestructura y de cómo estamos entendiendo el problema en este momento. Al tratarse de la relación que las sociedades establecen con su entorno en materia de vivienda y de agua, significa la relación entre la sociedad, la naturaleza y los demás elementos que están en su entorno de vida y convivencia</w:t>
      </w:r>
      <w:r w:rsidR="00774E4D" w:rsidRPr="00E00F13">
        <w:rPr>
          <w:rFonts w:ascii="Arial" w:hAnsi="Arial" w:cs="Arial"/>
          <w:sz w:val="24"/>
          <w:szCs w:val="24"/>
        </w:rPr>
        <w:t>, se entiende que opera ba</w:t>
      </w:r>
      <w:r w:rsidR="00351BD7" w:rsidRPr="00E00F13">
        <w:rPr>
          <w:rFonts w:ascii="Arial" w:hAnsi="Arial" w:cs="Arial"/>
          <w:sz w:val="24"/>
          <w:szCs w:val="24"/>
        </w:rPr>
        <w:t>j</w:t>
      </w:r>
      <w:r w:rsidR="00774E4D" w:rsidRPr="00E00F13">
        <w:rPr>
          <w:rFonts w:ascii="Arial" w:hAnsi="Arial" w:cs="Arial"/>
          <w:sz w:val="24"/>
          <w:szCs w:val="24"/>
        </w:rPr>
        <w:t>o la premisa de la complejidad.</w:t>
      </w:r>
    </w:p>
    <w:p w14:paraId="00D20F87" w14:textId="77777777" w:rsidR="00170718" w:rsidRPr="00E00F13" w:rsidRDefault="00170718" w:rsidP="00170718">
      <w:pPr>
        <w:spacing w:after="0" w:line="360" w:lineRule="auto"/>
        <w:jc w:val="both"/>
        <w:rPr>
          <w:rFonts w:ascii="Arial" w:hAnsi="Arial" w:cs="Arial"/>
          <w:sz w:val="24"/>
          <w:szCs w:val="24"/>
        </w:rPr>
      </w:pPr>
    </w:p>
    <w:p w14:paraId="15AA5C34" w14:textId="0BD9DA8E" w:rsidR="00170718" w:rsidRPr="00E00F13" w:rsidRDefault="00170718" w:rsidP="00170718">
      <w:pPr>
        <w:spacing w:after="0" w:line="360" w:lineRule="auto"/>
        <w:jc w:val="both"/>
        <w:rPr>
          <w:rFonts w:ascii="Arial" w:hAnsi="Arial" w:cs="Arial"/>
          <w:sz w:val="24"/>
          <w:szCs w:val="24"/>
        </w:rPr>
      </w:pPr>
      <w:r w:rsidRPr="00E00F13">
        <w:rPr>
          <w:rFonts w:ascii="Arial" w:hAnsi="Arial" w:cs="Arial"/>
          <w:sz w:val="24"/>
          <w:szCs w:val="24"/>
        </w:rPr>
        <w:lastRenderedPageBreak/>
        <w:t>Parte del principio estratégico de reconocer cuáles son las determinaciones que las sociedades toman para hacer habitable un espacio</w:t>
      </w:r>
      <w:r w:rsidR="00774E4D" w:rsidRPr="00E00F13">
        <w:rPr>
          <w:rFonts w:ascii="Arial" w:hAnsi="Arial" w:cs="Arial"/>
          <w:sz w:val="24"/>
          <w:szCs w:val="24"/>
        </w:rPr>
        <w:t>. L</w:t>
      </w:r>
      <w:r w:rsidRPr="00E00F13">
        <w:rPr>
          <w:rFonts w:ascii="Arial" w:hAnsi="Arial" w:cs="Arial"/>
          <w:sz w:val="24"/>
          <w:szCs w:val="24"/>
        </w:rPr>
        <w:t xml:space="preserve">a habitabilidad tiene que ver con </w:t>
      </w:r>
      <w:r w:rsidR="00774E4D" w:rsidRPr="00E00F13">
        <w:rPr>
          <w:rFonts w:ascii="Arial" w:hAnsi="Arial" w:cs="Arial"/>
          <w:sz w:val="24"/>
          <w:szCs w:val="24"/>
        </w:rPr>
        <w:t>circunstancias</w:t>
      </w:r>
      <w:r w:rsidRPr="00E00F13">
        <w:rPr>
          <w:rFonts w:ascii="Arial" w:hAnsi="Arial" w:cs="Arial"/>
          <w:sz w:val="24"/>
          <w:szCs w:val="24"/>
        </w:rPr>
        <w:t xml:space="preserve"> </w:t>
      </w:r>
      <w:r w:rsidR="00774E4D" w:rsidRPr="00E00F13">
        <w:rPr>
          <w:rFonts w:ascii="Arial" w:hAnsi="Arial" w:cs="Arial"/>
          <w:sz w:val="24"/>
          <w:szCs w:val="24"/>
        </w:rPr>
        <w:t xml:space="preserve">complejas que comprenden las condiciones </w:t>
      </w:r>
      <w:r w:rsidRPr="00E00F13">
        <w:rPr>
          <w:rFonts w:ascii="Arial" w:hAnsi="Arial" w:cs="Arial"/>
          <w:sz w:val="24"/>
          <w:szCs w:val="24"/>
        </w:rPr>
        <w:t xml:space="preserve">materiales ecosistémicas, políticas, culturales y de producción que hacen posible la vida en un entorno. </w:t>
      </w:r>
      <w:r w:rsidR="00774E4D" w:rsidRPr="00E00F13">
        <w:rPr>
          <w:rFonts w:ascii="Arial" w:hAnsi="Arial" w:cs="Arial"/>
          <w:sz w:val="24"/>
          <w:szCs w:val="24"/>
        </w:rPr>
        <w:t>Parte de r</w:t>
      </w:r>
      <w:r w:rsidRPr="00E00F13">
        <w:rPr>
          <w:rFonts w:ascii="Arial" w:hAnsi="Arial" w:cs="Arial"/>
          <w:sz w:val="24"/>
          <w:szCs w:val="24"/>
        </w:rPr>
        <w:t>econocer y elaborar políticas en función de la manera cómo la sociedad y la naturaleza se relacionan</w:t>
      </w:r>
      <w:r w:rsidR="00774E4D" w:rsidRPr="00E00F13">
        <w:rPr>
          <w:rFonts w:ascii="Arial" w:hAnsi="Arial" w:cs="Arial"/>
          <w:sz w:val="24"/>
          <w:szCs w:val="24"/>
        </w:rPr>
        <w:t xml:space="preserve"> en esa complejidad</w:t>
      </w:r>
      <w:r w:rsidRPr="00E00F13">
        <w:rPr>
          <w:rFonts w:ascii="Arial" w:hAnsi="Arial" w:cs="Arial"/>
          <w:sz w:val="24"/>
          <w:szCs w:val="24"/>
        </w:rPr>
        <w:t xml:space="preserve"> y cómo la sociedad toma una serie de decisiones para ser habitable un entorno. Por ello</w:t>
      </w:r>
      <w:r w:rsidR="00774E4D" w:rsidRPr="00E00F13">
        <w:rPr>
          <w:rFonts w:ascii="Arial" w:hAnsi="Arial" w:cs="Arial"/>
          <w:sz w:val="24"/>
          <w:szCs w:val="24"/>
        </w:rPr>
        <w:t>,</w:t>
      </w:r>
      <w:r w:rsidRPr="00E00F13">
        <w:rPr>
          <w:rFonts w:ascii="Arial" w:hAnsi="Arial" w:cs="Arial"/>
          <w:sz w:val="24"/>
          <w:szCs w:val="24"/>
        </w:rPr>
        <w:t xml:space="preserve"> el hábitat plantea, en sí misma, varias dimensiones: la dimensión política, la productiva, la ecológica, la cultural y </w:t>
      </w:r>
      <w:proofErr w:type="gramStart"/>
      <w:r w:rsidRPr="00E00F13">
        <w:rPr>
          <w:rFonts w:ascii="Arial" w:hAnsi="Arial" w:cs="Arial"/>
          <w:sz w:val="24"/>
          <w:szCs w:val="24"/>
        </w:rPr>
        <w:t>la material</w:t>
      </w:r>
      <w:proofErr w:type="gramEnd"/>
      <w:r w:rsidRPr="00E00F13">
        <w:rPr>
          <w:rFonts w:ascii="Arial" w:hAnsi="Arial" w:cs="Arial"/>
          <w:sz w:val="24"/>
          <w:szCs w:val="24"/>
        </w:rPr>
        <w:t xml:space="preserve">. </w:t>
      </w:r>
    </w:p>
    <w:p w14:paraId="439FE62C" w14:textId="77777777" w:rsidR="00170718" w:rsidRPr="00E00F13" w:rsidRDefault="00170718" w:rsidP="00170718">
      <w:pPr>
        <w:spacing w:after="0" w:line="360" w:lineRule="auto"/>
        <w:jc w:val="both"/>
        <w:rPr>
          <w:rFonts w:ascii="Arial" w:hAnsi="Arial" w:cs="Arial"/>
          <w:sz w:val="24"/>
          <w:szCs w:val="24"/>
        </w:rPr>
      </w:pPr>
    </w:p>
    <w:p w14:paraId="684DFC90" w14:textId="6277947B" w:rsidR="00170718" w:rsidRPr="00E00F13" w:rsidRDefault="00170718" w:rsidP="00170718">
      <w:pPr>
        <w:spacing w:after="0" w:line="360" w:lineRule="auto"/>
        <w:jc w:val="both"/>
        <w:rPr>
          <w:rFonts w:ascii="Arial" w:hAnsi="Arial" w:cs="Arial"/>
          <w:sz w:val="24"/>
          <w:szCs w:val="24"/>
        </w:rPr>
      </w:pPr>
      <w:r w:rsidRPr="00E00F13">
        <w:rPr>
          <w:rFonts w:ascii="Arial" w:hAnsi="Arial" w:cs="Arial"/>
          <w:sz w:val="24"/>
          <w:szCs w:val="24"/>
        </w:rPr>
        <w:t xml:space="preserve">El hábitat biodiverso va más allá de la construcción de la vivienda para «meter la cabeza» y del agua como la red de infraestructura, para transitar del «yo» hacia el «nosotros». En este sentido, la fórmula de gobiernos anteriores llamada «Mi </w:t>
      </w:r>
      <w:r w:rsidR="00774E4D" w:rsidRPr="00E00F13">
        <w:rPr>
          <w:rFonts w:ascii="Arial" w:hAnsi="Arial" w:cs="Arial"/>
          <w:sz w:val="24"/>
          <w:szCs w:val="24"/>
        </w:rPr>
        <w:t>C</w:t>
      </w:r>
      <w:r w:rsidRPr="00E00F13">
        <w:rPr>
          <w:rFonts w:ascii="Arial" w:hAnsi="Arial" w:cs="Arial"/>
          <w:sz w:val="24"/>
          <w:szCs w:val="24"/>
        </w:rPr>
        <w:t xml:space="preserve">asa </w:t>
      </w:r>
      <w:r w:rsidR="00774E4D" w:rsidRPr="00E00F13">
        <w:rPr>
          <w:rFonts w:ascii="Arial" w:hAnsi="Arial" w:cs="Arial"/>
          <w:sz w:val="24"/>
          <w:szCs w:val="24"/>
        </w:rPr>
        <w:t>Y</w:t>
      </w:r>
      <w:r w:rsidRPr="00E00F13">
        <w:rPr>
          <w:rFonts w:ascii="Arial" w:hAnsi="Arial" w:cs="Arial"/>
          <w:sz w:val="24"/>
          <w:szCs w:val="24"/>
        </w:rPr>
        <w:t xml:space="preserve">a» estaba concebida para el «yo», referido a la obtención de «mi» casa. Y se trataba de «mi» casa a través de la inserción de la población de escasos recursos al sistema bancario y por intermedio de las grandes constructoras, adonde iban, además, los recursos públicos. El Estado, así concebido, fortalecía a grandes empresas y a la banca. Nunca a las comunidades territoriales organizadas. Es decir, no concebía a las personas más pobres como parte de la ecuación del bienestar colectivo cuando se trataba de garantizar los derechos a la vivienda y al agua como parte del desarrollo comunitario y territorial y de la economía circular. </w:t>
      </w:r>
    </w:p>
    <w:p w14:paraId="12DF08EA" w14:textId="77777777" w:rsidR="00170718" w:rsidRPr="00E00F13" w:rsidRDefault="00170718" w:rsidP="00170718">
      <w:pPr>
        <w:spacing w:after="0" w:line="360" w:lineRule="auto"/>
        <w:jc w:val="both"/>
        <w:rPr>
          <w:rFonts w:ascii="Arial" w:hAnsi="Arial" w:cs="Arial"/>
          <w:sz w:val="24"/>
          <w:szCs w:val="24"/>
        </w:rPr>
      </w:pPr>
    </w:p>
    <w:p w14:paraId="1165C25E" w14:textId="2EAF9085" w:rsidR="00170718" w:rsidRPr="00E00F13" w:rsidRDefault="00170718" w:rsidP="00170718">
      <w:pPr>
        <w:spacing w:after="0" w:line="360" w:lineRule="auto"/>
        <w:jc w:val="both"/>
        <w:rPr>
          <w:rFonts w:ascii="Arial" w:hAnsi="Arial" w:cs="Arial"/>
          <w:sz w:val="24"/>
          <w:szCs w:val="24"/>
        </w:rPr>
      </w:pPr>
      <w:r w:rsidRPr="00E00F13">
        <w:rPr>
          <w:rFonts w:ascii="Arial" w:hAnsi="Arial" w:cs="Arial"/>
          <w:sz w:val="24"/>
          <w:szCs w:val="24"/>
        </w:rPr>
        <w:t xml:space="preserve">Por su parte, desde el ordenamiento territorial alrededor del agua (OTAA), regido por las cinco macro cuencas del país –Caribe, Magdalena, Pacífico-Cauca, Orinoquía y Amazonía– se redefinen escalas y órdenes </w:t>
      </w:r>
      <w:proofErr w:type="spellStart"/>
      <w:r w:rsidRPr="00E00F13">
        <w:rPr>
          <w:rFonts w:ascii="Arial" w:hAnsi="Arial" w:cs="Arial"/>
          <w:sz w:val="24"/>
          <w:szCs w:val="24"/>
        </w:rPr>
        <w:t>socioecológicos</w:t>
      </w:r>
      <w:proofErr w:type="spellEnd"/>
      <w:r w:rsidRPr="00E00F13">
        <w:rPr>
          <w:rFonts w:ascii="Arial" w:hAnsi="Arial" w:cs="Arial"/>
          <w:sz w:val="24"/>
          <w:szCs w:val="24"/>
        </w:rPr>
        <w:t xml:space="preserve">. Bajo este marco, la democratización del acceso y uso del agua como bien común y derecho fundamental, así como el saneamiento, las acciones de basura cero, la construcción y mejoramiento de vivienda, los procesos de </w:t>
      </w:r>
      <w:r w:rsidRPr="00E00F13">
        <w:rPr>
          <w:rFonts w:ascii="Arial" w:hAnsi="Arial" w:cs="Arial"/>
          <w:sz w:val="24"/>
          <w:szCs w:val="24"/>
          <w:lang w:val="es-ES_tradnl"/>
        </w:rPr>
        <w:t>legalización y titulación en predios urbanos</w:t>
      </w:r>
      <w:r w:rsidRPr="00E00F13">
        <w:rPr>
          <w:rFonts w:ascii="Arial" w:hAnsi="Arial" w:cs="Arial"/>
          <w:sz w:val="24"/>
          <w:szCs w:val="24"/>
        </w:rPr>
        <w:t xml:space="preserve">, </w:t>
      </w:r>
      <w:r w:rsidR="00774E4D" w:rsidRPr="00E00F13">
        <w:rPr>
          <w:rFonts w:ascii="Arial" w:hAnsi="Arial" w:cs="Arial"/>
          <w:sz w:val="24"/>
          <w:szCs w:val="24"/>
        </w:rPr>
        <w:t>la autogestión y las</w:t>
      </w:r>
      <w:r w:rsidRPr="00E00F13">
        <w:rPr>
          <w:rFonts w:ascii="Arial" w:hAnsi="Arial" w:cs="Arial"/>
          <w:sz w:val="24"/>
          <w:szCs w:val="24"/>
        </w:rPr>
        <w:t xml:space="preserve"> soluciones basadas en la naturaleza (</w:t>
      </w:r>
      <w:proofErr w:type="spellStart"/>
      <w:r w:rsidRPr="00E00F13">
        <w:rPr>
          <w:rFonts w:ascii="Arial" w:hAnsi="Arial" w:cs="Arial"/>
          <w:sz w:val="24"/>
          <w:szCs w:val="24"/>
        </w:rPr>
        <w:t>SbN</w:t>
      </w:r>
      <w:proofErr w:type="spellEnd"/>
      <w:r w:rsidRPr="00E00F13">
        <w:rPr>
          <w:rFonts w:ascii="Arial" w:hAnsi="Arial" w:cs="Arial"/>
          <w:sz w:val="24"/>
          <w:szCs w:val="24"/>
        </w:rPr>
        <w:t>) se articulan como procesos codependientes de la construcción de hábitats integrales.</w:t>
      </w:r>
    </w:p>
    <w:p w14:paraId="4C7E3644" w14:textId="77777777" w:rsidR="00774E4D" w:rsidRPr="00E00F13" w:rsidRDefault="00774E4D" w:rsidP="009147B8">
      <w:pPr>
        <w:spacing w:after="0" w:line="360" w:lineRule="auto"/>
        <w:jc w:val="both"/>
        <w:rPr>
          <w:rFonts w:ascii="Arial" w:hAnsi="Arial" w:cs="Arial"/>
          <w:sz w:val="24"/>
          <w:szCs w:val="24"/>
          <w:lang w:val="es-ES_tradnl"/>
        </w:rPr>
      </w:pPr>
    </w:p>
    <w:p w14:paraId="55F52D0E" w14:textId="125759E7" w:rsidR="009147B8" w:rsidRPr="00E00F13" w:rsidRDefault="00774E4D" w:rsidP="009147B8">
      <w:pPr>
        <w:spacing w:after="0" w:line="360" w:lineRule="auto"/>
        <w:jc w:val="both"/>
        <w:rPr>
          <w:rFonts w:ascii="Arial" w:hAnsi="Arial" w:cs="Arial"/>
          <w:sz w:val="24"/>
          <w:szCs w:val="24"/>
        </w:rPr>
      </w:pPr>
      <w:r w:rsidRPr="00E00F13">
        <w:rPr>
          <w:rFonts w:ascii="Arial" w:hAnsi="Arial" w:cs="Arial"/>
          <w:sz w:val="24"/>
          <w:szCs w:val="24"/>
          <w:lang w:val="es-ES"/>
        </w:rPr>
        <w:lastRenderedPageBreak/>
        <w:t>La integralidad y la complejidad son la base para identificar soluciones habitaciones y de agua en diferentes poblaciones y adaptadas a las distintas territorialidades.</w:t>
      </w:r>
    </w:p>
    <w:p w14:paraId="06CDCC31" w14:textId="77777777" w:rsidR="009147B8" w:rsidRPr="00E00F13" w:rsidRDefault="009147B8" w:rsidP="009147B8">
      <w:pPr>
        <w:spacing w:after="0" w:line="360" w:lineRule="auto"/>
        <w:jc w:val="both"/>
        <w:rPr>
          <w:rFonts w:ascii="Arial" w:hAnsi="Arial" w:cs="Arial"/>
          <w:sz w:val="24"/>
          <w:szCs w:val="24"/>
          <w:lang w:val="es-ES_tradnl"/>
        </w:rPr>
      </w:pPr>
    </w:p>
    <w:p w14:paraId="201F2FBF" w14:textId="2BCD61F5" w:rsidR="009147B8" w:rsidRPr="00E00F13" w:rsidRDefault="009147B8" w:rsidP="009147B8">
      <w:pPr>
        <w:pStyle w:val="Ttulo3"/>
        <w:rPr>
          <w:color w:val="auto"/>
        </w:rPr>
      </w:pPr>
      <w:bookmarkStart w:id="65" w:name="_Hlk213960575"/>
      <w:bookmarkStart w:id="66" w:name="_Toc234242806"/>
      <w:r w:rsidRPr="00E00F13">
        <w:rPr>
          <w:color w:val="auto"/>
        </w:rPr>
        <w:t>2.</w:t>
      </w:r>
      <w:r w:rsidR="009B4061" w:rsidRPr="00E00F13">
        <w:rPr>
          <w:color w:val="auto"/>
        </w:rPr>
        <w:t>2</w:t>
      </w:r>
      <w:r w:rsidRPr="00E00F13">
        <w:rPr>
          <w:color w:val="auto"/>
        </w:rPr>
        <w:t>.</w:t>
      </w:r>
      <w:r w:rsidR="009B4061" w:rsidRPr="00E00F13">
        <w:rPr>
          <w:color w:val="auto"/>
        </w:rPr>
        <w:t>2</w:t>
      </w:r>
      <w:r w:rsidRPr="00E00F13">
        <w:rPr>
          <w:color w:val="auto"/>
        </w:rPr>
        <w:t>. Matriz conceptual: ideas fuerza de la política Nuestro Hábitat Biodiverso</w:t>
      </w:r>
      <w:bookmarkEnd w:id="66"/>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049"/>
        <w:gridCol w:w="2169"/>
        <w:gridCol w:w="2206"/>
        <w:gridCol w:w="2404"/>
      </w:tblGrid>
      <w:tr w:rsidR="00985B65" w:rsidRPr="00E00F13" w14:paraId="2973DE1C" w14:textId="77777777" w:rsidTr="003075E5">
        <w:trPr>
          <w:tblHeader/>
          <w:tblCellSpacing w:w="15" w:type="dxa"/>
        </w:trPr>
        <w:tc>
          <w:tcPr>
            <w:tcW w:w="0" w:type="auto"/>
            <w:vAlign w:val="center"/>
            <w:hideMark/>
          </w:tcPr>
          <w:bookmarkEnd w:id="65"/>
          <w:p w14:paraId="677771D9" w14:textId="77777777" w:rsidR="009147B8" w:rsidRPr="00E00F13" w:rsidRDefault="009147B8">
            <w:pPr>
              <w:jc w:val="center"/>
              <w:rPr>
                <w:b/>
                <w:bCs/>
              </w:rPr>
            </w:pPr>
            <w:r w:rsidRPr="00E00F13">
              <w:t>Idea fuerza</w:t>
            </w:r>
          </w:p>
        </w:tc>
        <w:tc>
          <w:tcPr>
            <w:tcW w:w="0" w:type="auto"/>
            <w:vAlign w:val="center"/>
            <w:hideMark/>
          </w:tcPr>
          <w:p w14:paraId="6C578C43" w14:textId="77777777" w:rsidR="009147B8" w:rsidRPr="00E00F13" w:rsidRDefault="009147B8">
            <w:pPr>
              <w:jc w:val="center"/>
              <w:rPr>
                <w:b/>
                <w:bCs/>
              </w:rPr>
            </w:pPr>
            <w:r w:rsidRPr="00E00F13">
              <w:t>Concepto central</w:t>
            </w:r>
          </w:p>
        </w:tc>
        <w:tc>
          <w:tcPr>
            <w:tcW w:w="0" w:type="auto"/>
            <w:vAlign w:val="center"/>
            <w:hideMark/>
          </w:tcPr>
          <w:p w14:paraId="75ACDEE6" w14:textId="77777777" w:rsidR="009147B8" w:rsidRPr="00E00F13" w:rsidRDefault="009147B8">
            <w:pPr>
              <w:jc w:val="center"/>
              <w:rPr>
                <w:b/>
                <w:bCs/>
              </w:rPr>
            </w:pPr>
            <w:r w:rsidRPr="00E00F13">
              <w:t>Propósito estratégico</w:t>
            </w:r>
          </w:p>
        </w:tc>
        <w:tc>
          <w:tcPr>
            <w:tcW w:w="0" w:type="auto"/>
            <w:vAlign w:val="center"/>
            <w:hideMark/>
          </w:tcPr>
          <w:p w14:paraId="03F00170" w14:textId="77777777" w:rsidR="009147B8" w:rsidRPr="00E00F13" w:rsidRDefault="009147B8">
            <w:pPr>
              <w:jc w:val="center"/>
              <w:rPr>
                <w:b/>
                <w:bCs/>
              </w:rPr>
            </w:pPr>
            <w:r w:rsidRPr="00E00F13">
              <w:t>Alcance en la política de hábitat biodiverso</w:t>
            </w:r>
          </w:p>
        </w:tc>
      </w:tr>
      <w:tr w:rsidR="00985B65" w:rsidRPr="00E00F13" w14:paraId="400018CA" w14:textId="77777777" w:rsidTr="003075E5">
        <w:trPr>
          <w:tblCellSpacing w:w="15" w:type="dxa"/>
        </w:trPr>
        <w:tc>
          <w:tcPr>
            <w:tcW w:w="0" w:type="auto"/>
            <w:vAlign w:val="center"/>
            <w:hideMark/>
          </w:tcPr>
          <w:p w14:paraId="5D1CA965" w14:textId="77777777" w:rsidR="009147B8" w:rsidRPr="00E00F13" w:rsidRDefault="009147B8">
            <w:pPr>
              <w:rPr>
                <w:lang w:val="pt-PT"/>
              </w:rPr>
            </w:pPr>
            <w:r w:rsidRPr="00E00F13">
              <w:rPr>
                <w:lang w:val="pt-PT"/>
              </w:rPr>
              <w:t>Superar dicotomías históricas (urbano–rural, centro–periferia, técnico–social)</w:t>
            </w:r>
          </w:p>
        </w:tc>
        <w:tc>
          <w:tcPr>
            <w:tcW w:w="0" w:type="auto"/>
            <w:vAlign w:val="center"/>
            <w:hideMark/>
          </w:tcPr>
          <w:p w14:paraId="2F9B5DA3" w14:textId="32C70221" w:rsidR="009147B8" w:rsidRPr="00E00F13" w:rsidRDefault="00BA6B1A">
            <w:r w:rsidRPr="00E00F13">
              <w:t>El MVCT r</w:t>
            </w:r>
            <w:r w:rsidR="009147B8" w:rsidRPr="00E00F13">
              <w:t>econoce la diversidad territorial y las múltiples formas de habitar.</w:t>
            </w:r>
          </w:p>
        </w:tc>
        <w:tc>
          <w:tcPr>
            <w:tcW w:w="0" w:type="auto"/>
            <w:vAlign w:val="center"/>
            <w:hideMark/>
          </w:tcPr>
          <w:p w14:paraId="7663F6CD" w14:textId="73FFF993" w:rsidR="009147B8" w:rsidRPr="00E00F13" w:rsidRDefault="00BA6B1A">
            <w:r w:rsidRPr="00E00F13">
              <w:t>El MVCT integra</w:t>
            </w:r>
            <w:r w:rsidR="009147B8" w:rsidRPr="00E00F13">
              <w:t xml:space="preserve"> visiones, actores y escalas para intervenciones más pertinentes.</w:t>
            </w:r>
          </w:p>
        </w:tc>
        <w:tc>
          <w:tcPr>
            <w:tcW w:w="0" w:type="auto"/>
            <w:vAlign w:val="center"/>
            <w:hideMark/>
          </w:tcPr>
          <w:p w14:paraId="74000656" w14:textId="41512137" w:rsidR="009147B8" w:rsidRPr="00E00F13" w:rsidRDefault="00BA6B1A">
            <w:r w:rsidRPr="00E00F13">
              <w:t>El MVCT a</w:t>
            </w:r>
            <w:r w:rsidR="009147B8" w:rsidRPr="00E00F13">
              <w:t>linea los instrumentos de política bajo un enfoque territorial</w:t>
            </w:r>
            <w:r w:rsidRPr="00E00F13">
              <w:t>, diferencial, del cuidado</w:t>
            </w:r>
            <w:r w:rsidR="009147B8" w:rsidRPr="00E00F13">
              <w:t xml:space="preserve"> y ecosistémico</w:t>
            </w:r>
            <w:r w:rsidRPr="00E00F13">
              <w:t xml:space="preserve"> para</w:t>
            </w:r>
            <w:r w:rsidR="009147B8" w:rsidRPr="00E00F13">
              <w:t xml:space="preserve"> prom</w:t>
            </w:r>
            <w:r w:rsidRPr="00E00F13">
              <w:t xml:space="preserve">over </w:t>
            </w:r>
            <w:r w:rsidR="009147B8" w:rsidRPr="00E00F13">
              <w:t>soluciones diferenciadas.</w:t>
            </w:r>
          </w:p>
        </w:tc>
      </w:tr>
      <w:tr w:rsidR="00985B65" w:rsidRPr="00E00F13" w14:paraId="357E47BF" w14:textId="77777777" w:rsidTr="003075E5">
        <w:trPr>
          <w:tblCellSpacing w:w="15" w:type="dxa"/>
        </w:trPr>
        <w:tc>
          <w:tcPr>
            <w:tcW w:w="0" w:type="auto"/>
            <w:vAlign w:val="center"/>
            <w:hideMark/>
          </w:tcPr>
          <w:p w14:paraId="5EC3C77C" w14:textId="7FE921E4" w:rsidR="009147B8" w:rsidRPr="00E00F13" w:rsidRDefault="00985B65">
            <w:r w:rsidRPr="00E00F13">
              <w:t>Nuevas formas</w:t>
            </w:r>
            <w:r w:rsidR="009147B8" w:rsidRPr="00E00F13">
              <w:t xml:space="preserve"> </w:t>
            </w:r>
            <w:r w:rsidRPr="00E00F13">
              <w:t xml:space="preserve">de medición </w:t>
            </w:r>
          </w:p>
        </w:tc>
        <w:tc>
          <w:tcPr>
            <w:tcW w:w="0" w:type="auto"/>
            <w:vAlign w:val="center"/>
            <w:hideMark/>
          </w:tcPr>
          <w:p w14:paraId="315605EA" w14:textId="77777777" w:rsidR="00617DD9" w:rsidRPr="00E00F13" w:rsidRDefault="00BA6B1A">
            <w:r w:rsidRPr="00E00F13">
              <w:t>El MVCT estudia d</w:t>
            </w:r>
            <w:r w:rsidR="00985B65" w:rsidRPr="00E00F13">
              <w:t>ónde va a intervenir, sobre qué realidad v</w:t>
            </w:r>
            <w:r w:rsidRPr="00E00F13">
              <w:t>a</w:t>
            </w:r>
            <w:r w:rsidR="00985B65" w:rsidRPr="00E00F13">
              <w:t xml:space="preserve"> a transformar, mira esas otras perspectivas del país. </w:t>
            </w:r>
          </w:p>
          <w:p w14:paraId="17C8D28A" w14:textId="593B0034" w:rsidR="009147B8" w:rsidRPr="00E00F13" w:rsidRDefault="00617DD9">
            <w:r w:rsidRPr="00E00F13">
              <w:t xml:space="preserve">El MVCT revisa las </w:t>
            </w:r>
            <w:r w:rsidR="009147B8" w:rsidRPr="00E00F13">
              <w:t>transformaciones sociales y territoriales más allá del déficit cuantitativo.</w:t>
            </w:r>
          </w:p>
        </w:tc>
        <w:tc>
          <w:tcPr>
            <w:tcW w:w="0" w:type="auto"/>
            <w:vAlign w:val="center"/>
            <w:hideMark/>
          </w:tcPr>
          <w:p w14:paraId="0E41C098" w14:textId="3B1A0C35" w:rsidR="009147B8" w:rsidRPr="00E00F13" w:rsidRDefault="00617DD9">
            <w:r w:rsidRPr="00E00F13">
              <w:t xml:space="preserve">El MVCT revisa </w:t>
            </w:r>
            <w:r w:rsidR="009147B8" w:rsidRPr="00E00F13">
              <w:t>impactos en</w:t>
            </w:r>
            <w:r w:rsidRPr="00E00F13">
              <w:t xml:space="preserve"> el</w:t>
            </w:r>
            <w:r w:rsidR="009147B8" w:rsidRPr="00E00F13">
              <w:t xml:space="preserve"> bienestar</w:t>
            </w:r>
            <w:r w:rsidRPr="00E00F13">
              <w:t xml:space="preserve"> y</w:t>
            </w:r>
            <w:r w:rsidR="009147B8" w:rsidRPr="00E00F13">
              <w:t xml:space="preserve"> </w:t>
            </w:r>
            <w:r w:rsidRPr="00E00F13">
              <w:t xml:space="preserve">la </w:t>
            </w:r>
            <w:r w:rsidR="009147B8" w:rsidRPr="00E00F13">
              <w:t>cohesión social.</w:t>
            </w:r>
          </w:p>
        </w:tc>
        <w:tc>
          <w:tcPr>
            <w:tcW w:w="0" w:type="auto"/>
            <w:vAlign w:val="center"/>
            <w:hideMark/>
          </w:tcPr>
          <w:p w14:paraId="0B862D23" w14:textId="2AD7B269" w:rsidR="009147B8" w:rsidRPr="00E00F13" w:rsidRDefault="00617DD9">
            <w:r w:rsidRPr="00E00F13">
              <w:t xml:space="preserve">El MVCT reconoce </w:t>
            </w:r>
            <w:r w:rsidR="009147B8" w:rsidRPr="00E00F13">
              <w:t xml:space="preserve">una nueva arquitectura de </w:t>
            </w:r>
            <w:r w:rsidR="00985B65" w:rsidRPr="00E00F13">
              <w:t>medición</w:t>
            </w:r>
            <w:r w:rsidR="009147B8" w:rsidRPr="00E00F13">
              <w:t xml:space="preserve"> que orienta la toma de decisiones y prioriza territorios.</w:t>
            </w:r>
          </w:p>
        </w:tc>
      </w:tr>
      <w:tr w:rsidR="00985B65" w:rsidRPr="00E00F13" w14:paraId="2C6D87AC" w14:textId="77777777" w:rsidTr="003075E5">
        <w:trPr>
          <w:tblCellSpacing w:w="15" w:type="dxa"/>
        </w:trPr>
        <w:tc>
          <w:tcPr>
            <w:tcW w:w="0" w:type="auto"/>
            <w:vAlign w:val="center"/>
            <w:hideMark/>
          </w:tcPr>
          <w:p w14:paraId="48932E6C" w14:textId="1C974E03" w:rsidR="009147B8" w:rsidRPr="00E00F13" w:rsidRDefault="009147B8">
            <w:r w:rsidRPr="00E00F13">
              <w:t>Integralidad</w:t>
            </w:r>
            <w:r w:rsidR="00774E4D" w:rsidRPr="00E00F13">
              <w:t xml:space="preserve"> y complejidad</w:t>
            </w:r>
            <w:r w:rsidRPr="00E00F13">
              <w:t xml:space="preserve"> en la identificación de soluciones habitacionales</w:t>
            </w:r>
          </w:p>
        </w:tc>
        <w:tc>
          <w:tcPr>
            <w:tcW w:w="0" w:type="auto"/>
            <w:vAlign w:val="center"/>
            <w:hideMark/>
          </w:tcPr>
          <w:p w14:paraId="5168BC60" w14:textId="1B1C195E" w:rsidR="009147B8" w:rsidRPr="00E00F13" w:rsidRDefault="00617DD9">
            <w:r w:rsidRPr="00E00F13">
              <w:t>El MVCT emplea el e</w:t>
            </w:r>
            <w:r w:rsidR="009147B8" w:rsidRPr="00E00F13">
              <w:t>nfoque que combina diversas vías de solución adaptadas al territorio</w:t>
            </w:r>
            <w:r w:rsidR="00774E4D" w:rsidRPr="00E00F13">
              <w:t xml:space="preserve"> y a la complejidad de las distintas poblaciones</w:t>
            </w:r>
            <w:r w:rsidR="009147B8" w:rsidRPr="00E00F13">
              <w:t>.</w:t>
            </w:r>
          </w:p>
        </w:tc>
        <w:tc>
          <w:tcPr>
            <w:tcW w:w="0" w:type="auto"/>
            <w:vAlign w:val="center"/>
            <w:hideMark/>
          </w:tcPr>
          <w:p w14:paraId="3A0F923B" w14:textId="3E52F62C" w:rsidR="009147B8" w:rsidRPr="00E00F13" w:rsidRDefault="00617DD9">
            <w:r w:rsidRPr="00E00F13">
              <w:t>El MVCT s</w:t>
            </w:r>
            <w:r w:rsidR="009147B8" w:rsidRPr="00E00F13">
              <w:t>upera el modelo único de vivienda y habilita alternativas pertinentes y contextualizadas.</w:t>
            </w:r>
          </w:p>
        </w:tc>
        <w:tc>
          <w:tcPr>
            <w:tcW w:w="0" w:type="auto"/>
            <w:vAlign w:val="center"/>
            <w:hideMark/>
          </w:tcPr>
          <w:p w14:paraId="0269B5BB" w14:textId="53F03226" w:rsidR="009147B8" w:rsidRPr="00E00F13" w:rsidRDefault="00617DD9">
            <w:r w:rsidRPr="00E00F13">
              <w:t>El MVCT p</w:t>
            </w:r>
            <w:r w:rsidR="009147B8" w:rsidRPr="00E00F13">
              <w:t xml:space="preserve">ermite soluciones progresivas, autogestionadas, colectivas y </w:t>
            </w:r>
            <w:proofErr w:type="spellStart"/>
            <w:r w:rsidR="009147B8" w:rsidRPr="00E00F13">
              <w:t>ecosistémicamente</w:t>
            </w:r>
            <w:proofErr w:type="spellEnd"/>
            <w:r w:rsidR="009147B8" w:rsidRPr="00E00F13">
              <w:t xml:space="preserve"> responsables.</w:t>
            </w:r>
          </w:p>
        </w:tc>
      </w:tr>
      <w:tr w:rsidR="00985B65" w:rsidRPr="00E00F13" w14:paraId="45EB1116" w14:textId="77777777" w:rsidTr="003075E5">
        <w:trPr>
          <w:tblCellSpacing w:w="15" w:type="dxa"/>
        </w:trPr>
        <w:tc>
          <w:tcPr>
            <w:tcW w:w="0" w:type="auto"/>
            <w:vAlign w:val="center"/>
            <w:hideMark/>
          </w:tcPr>
          <w:p w14:paraId="00FAA8EF" w14:textId="57A1FCEE" w:rsidR="009147B8" w:rsidRPr="00E00F13" w:rsidRDefault="00617DD9">
            <w:r w:rsidRPr="00E00F13">
              <w:t>El MVCT construyó la l</w:t>
            </w:r>
            <w:r w:rsidR="009147B8" w:rsidRPr="00E00F13">
              <w:t>ógica del hábitat: entorno, comunidad e institucionalidad conectadas por la participación</w:t>
            </w:r>
            <w:r w:rsidRPr="00E00F13">
              <w:t xml:space="preserve"> comunitaria</w:t>
            </w:r>
          </w:p>
        </w:tc>
        <w:tc>
          <w:tcPr>
            <w:tcW w:w="0" w:type="auto"/>
            <w:vAlign w:val="center"/>
            <w:hideMark/>
          </w:tcPr>
          <w:p w14:paraId="2B2F7BF8" w14:textId="46907CA9" w:rsidR="009147B8" w:rsidRPr="00E00F13" w:rsidRDefault="00617DD9">
            <w:r w:rsidRPr="00E00F13">
              <w:t>El MVCT tiene un s</w:t>
            </w:r>
            <w:r w:rsidR="009147B8" w:rsidRPr="00E00F13">
              <w:t>istema interdependiente basado en relaciones sociales, ambientales e institucionales.</w:t>
            </w:r>
          </w:p>
        </w:tc>
        <w:tc>
          <w:tcPr>
            <w:tcW w:w="0" w:type="auto"/>
            <w:vAlign w:val="center"/>
            <w:hideMark/>
          </w:tcPr>
          <w:p w14:paraId="57B393D6" w14:textId="3BB5051C" w:rsidR="009147B8" w:rsidRPr="00E00F13" w:rsidRDefault="00617DD9">
            <w:r w:rsidRPr="00E00F13">
              <w:t>El MVCT a</w:t>
            </w:r>
            <w:r w:rsidR="009147B8" w:rsidRPr="00E00F13">
              <w:t>segura la corresponsabilidad y la construcción conjunta de las soluciones.</w:t>
            </w:r>
          </w:p>
        </w:tc>
        <w:tc>
          <w:tcPr>
            <w:tcW w:w="0" w:type="auto"/>
            <w:vAlign w:val="center"/>
            <w:hideMark/>
          </w:tcPr>
          <w:p w14:paraId="1F3B6DAC" w14:textId="6DDEB33B" w:rsidR="009147B8" w:rsidRPr="00E00F13" w:rsidRDefault="00617DD9">
            <w:r w:rsidRPr="00E00F13">
              <w:t>El MVCT f</w:t>
            </w:r>
            <w:r w:rsidR="009147B8" w:rsidRPr="00E00F13">
              <w:t>ortalece la gobernanza territorial y legitima los procesos comunitarios y de economía popular.</w:t>
            </w:r>
          </w:p>
        </w:tc>
      </w:tr>
      <w:tr w:rsidR="00985B65" w:rsidRPr="00E00F13" w14:paraId="012381F6" w14:textId="77777777" w:rsidTr="003075E5">
        <w:trPr>
          <w:tblCellSpacing w:w="15" w:type="dxa"/>
        </w:trPr>
        <w:tc>
          <w:tcPr>
            <w:tcW w:w="0" w:type="auto"/>
            <w:vAlign w:val="center"/>
            <w:hideMark/>
          </w:tcPr>
          <w:p w14:paraId="65FB5C45" w14:textId="31523BA4" w:rsidR="009147B8" w:rsidRPr="00E00F13" w:rsidRDefault="00617DD9">
            <w:r w:rsidRPr="00E00F13">
              <w:lastRenderedPageBreak/>
              <w:t>El MVCT tiene c</w:t>
            </w:r>
            <w:r w:rsidR="009147B8" w:rsidRPr="00E00F13">
              <w:t>riterios de sostenibilidad, participación comunitaria y pertinencia territorial</w:t>
            </w:r>
          </w:p>
        </w:tc>
        <w:tc>
          <w:tcPr>
            <w:tcW w:w="0" w:type="auto"/>
            <w:vAlign w:val="center"/>
            <w:hideMark/>
          </w:tcPr>
          <w:p w14:paraId="770FB6C1" w14:textId="5D61FD5D" w:rsidR="009147B8" w:rsidRPr="00E00F13" w:rsidRDefault="002D32C9">
            <w:r w:rsidRPr="00E00F13">
              <w:t>El MVCT cuenta con p</w:t>
            </w:r>
            <w:r w:rsidR="009147B8" w:rsidRPr="00E00F13">
              <w:t>rincipios transversales para orientar la intervención pública.</w:t>
            </w:r>
          </w:p>
        </w:tc>
        <w:tc>
          <w:tcPr>
            <w:tcW w:w="0" w:type="auto"/>
            <w:vAlign w:val="center"/>
            <w:hideMark/>
          </w:tcPr>
          <w:p w14:paraId="30E2F556" w14:textId="065FA99C" w:rsidR="009147B8" w:rsidRPr="00E00F13" w:rsidRDefault="002D32C9">
            <w:r w:rsidRPr="00E00F13">
              <w:t>El MVCT g</w:t>
            </w:r>
            <w:r w:rsidR="009147B8" w:rsidRPr="00E00F13">
              <w:t>arantiza</w:t>
            </w:r>
            <w:r w:rsidRPr="00E00F13">
              <w:t xml:space="preserve"> </w:t>
            </w:r>
            <w:r w:rsidR="009147B8" w:rsidRPr="00E00F13">
              <w:t>que las soluciones respondan al ecosistema, a los saberes locales y a las prioridades comunitarias.</w:t>
            </w:r>
          </w:p>
        </w:tc>
        <w:tc>
          <w:tcPr>
            <w:tcW w:w="0" w:type="auto"/>
            <w:vAlign w:val="center"/>
            <w:hideMark/>
          </w:tcPr>
          <w:p w14:paraId="0DEABB63" w14:textId="7699830F" w:rsidR="009147B8" w:rsidRPr="00E00F13" w:rsidRDefault="002D32C9">
            <w:r w:rsidRPr="00E00F13">
              <w:t>El MVCT m</w:t>
            </w:r>
            <w:r w:rsidR="009147B8" w:rsidRPr="00E00F13">
              <w:t>aterializa el hábitat biodiverso como política pública: decisiones basadas en entorn</w:t>
            </w:r>
            <w:r w:rsidR="00985B65" w:rsidRPr="00E00F13">
              <w:t>os y hábitat, que son las formas como la gente vive.</w:t>
            </w:r>
          </w:p>
        </w:tc>
      </w:tr>
    </w:tbl>
    <w:p w14:paraId="79D07C59" w14:textId="77777777" w:rsidR="006122F2" w:rsidRPr="00E00F13" w:rsidRDefault="006122F2" w:rsidP="006122F2">
      <w:pPr>
        <w:spacing w:after="0" w:line="360" w:lineRule="auto"/>
        <w:jc w:val="both"/>
        <w:rPr>
          <w:rFonts w:ascii="Arial" w:hAnsi="Arial" w:cs="Arial"/>
          <w:sz w:val="24"/>
          <w:szCs w:val="24"/>
        </w:rPr>
      </w:pPr>
    </w:p>
    <w:p w14:paraId="4E3F678E" w14:textId="77777777" w:rsidR="006122F2" w:rsidRPr="00E00F13" w:rsidRDefault="006122F2" w:rsidP="006122F2">
      <w:pPr>
        <w:pStyle w:val="Ttulo2"/>
        <w:rPr>
          <w:color w:val="auto"/>
        </w:rPr>
      </w:pPr>
      <w:bookmarkStart w:id="67" w:name="_Toc234242807"/>
      <w:r w:rsidRPr="00E00F13">
        <w:rPr>
          <w:color w:val="auto"/>
        </w:rPr>
        <w:t>2.3. El nuevo marco jurídico (decretos y normativas) y metodológico</w:t>
      </w:r>
      <w:bookmarkEnd w:id="67"/>
    </w:p>
    <w:p w14:paraId="1F0285DC" w14:textId="228533E1" w:rsidR="006122F2" w:rsidRPr="00E00F13" w:rsidRDefault="006122F2" w:rsidP="006122F2">
      <w:pPr>
        <w:spacing w:after="0" w:line="360" w:lineRule="auto"/>
        <w:jc w:val="both"/>
        <w:rPr>
          <w:rFonts w:ascii="Arial" w:hAnsi="Arial" w:cs="Arial"/>
          <w:sz w:val="24"/>
          <w:szCs w:val="24"/>
        </w:rPr>
      </w:pPr>
      <w:r w:rsidRPr="00E00F13">
        <w:rPr>
          <w:rFonts w:ascii="Arial" w:hAnsi="Arial" w:cs="Arial"/>
          <w:sz w:val="24"/>
          <w:szCs w:val="24"/>
        </w:rPr>
        <w:t xml:space="preserve">La política pública del hábitat biodiverso se construye como un entramado normativo compuesto por </w:t>
      </w:r>
      <w:r w:rsidR="00BA6B1A" w:rsidRPr="00E00F13">
        <w:rPr>
          <w:rFonts w:ascii="Arial" w:hAnsi="Arial" w:cs="Arial"/>
          <w:sz w:val="24"/>
          <w:szCs w:val="24"/>
        </w:rPr>
        <w:t>dieciocho</w:t>
      </w:r>
      <w:r w:rsidRPr="00E00F13">
        <w:rPr>
          <w:rFonts w:ascii="Arial" w:hAnsi="Arial" w:cs="Arial"/>
          <w:sz w:val="24"/>
          <w:szCs w:val="24"/>
        </w:rPr>
        <w:t xml:space="preserve"> decretos presidenciales que, lejos de operar de manera aislada, funcionan como un sistema articulado. Este sistema integra vivienda, agua, saneamiento básico, gestión de residuos, economía circular, participación comunitaria, financiación digna y ordenamiento territorial para materializar una transformación profunda del hábitat colombiano.</w:t>
      </w:r>
    </w:p>
    <w:p w14:paraId="0A48393B" w14:textId="77777777" w:rsidR="006122F2" w:rsidRPr="00E00F13" w:rsidRDefault="006122F2" w:rsidP="006122F2">
      <w:pPr>
        <w:spacing w:after="0" w:line="360" w:lineRule="auto"/>
        <w:jc w:val="both"/>
        <w:rPr>
          <w:rFonts w:ascii="Arial" w:hAnsi="Arial" w:cs="Arial"/>
          <w:sz w:val="24"/>
          <w:szCs w:val="24"/>
        </w:rPr>
      </w:pPr>
    </w:p>
    <w:p w14:paraId="3ED601CB" w14:textId="77777777" w:rsidR="006122F2" w:rsidRPr="00E00F13" w:rsidRDefault="006122F2" w:rsidP="006122F2">
      <w:pPr>
        <w:spacing w:after="0" w:line="360" w:lineRule="auto"/>
        <w:jc w:val="both"/>
        <w:rPr>
          <w:rFonts w:ascii="Arial" w:hAnsi="Arial" w:cs="Arial"/>
          <w:sz w:val="24"/>
          <w:szCs w:val="24"/>
        </w:rPr>
      </w:pPr>
      <w:r w:rsidRPr="00E00F13">
        <w:rPr>
          <w:rFonts w:ascii="Arial" w:hAnsi="Arial" w:cs="Arial"/>
          <w:sz w:val="24"/>
          <w:szCs w:val="24"/>
        </w:rPr>
        <w:t>En coherencia con el Plan Nacional de Desarrollo, el Plan Plurianual de Inversiones y la misión del MVCT, estos decretos constituyen nodos conectados que tejen simultáneamente las dimensiones material, social y ecológica del hábitat. Esta lectura permitirá comprender sus interconexiones desde la noción de «vasos comunicantes».</w:t>
      </w:r>
    </w:p>
    <w:p w14:paraId="330F9D6B" w14:textId="77777777" w:rsidR="006122F2" w:rsidRPr="00E00F13" w:rsidRDefault="006122F2" w:rsidP="006122F2">
      <w:pPr>
        <w:spacing w:after="0" w:line="360" w:lineRule="auto"/>
        <w:jc w:val="both"/>
        <w:rPr>
          <w:rFonts w:ascii="Arial" w:hAnsi="Arial" w:cs="Arial"/>
          <w:sz w:val="24"/>
          <w:szCs w:val="24"/>
        </w:rPr>
      </w:pPr>
    </w:p>
    <w:p w14:paraId="7916CF16" w14:textId="77777777" w:rsidR="006122F2" w:rsidRPr="00E00F13" w:rsidRDefault="006122F2" w:rsidP="006122F2">
      <w:pPr>
        <w:spacing w:after="0" w:line="360" w:lineRule="auto"/>
        <w:jc w:val="both"/>
        <w:rPr>
          <w:rFonts w:ascii="Arial" w:hAnsi="Arial" w:cs="Arial"/>
          <w:sz w:val="24"/>
          <w:szCs w:val="24"/>
        </w:rPr>
      </w:pPr>
      <w:r w:rsidRPr="00E00F13">
        <w:rPr>
          <w:rFonts w:ascii="Arial" w:hAnsi="Arial" w:cs="Arial"/>
          <w:sz w:val="24"/>
          <w:szCs w:val="24"/>
        </w:rPr>
        <w:t>En el periodo comprendido entre 2024 y 2025 se han emitido 16 decretos que están cambiando el paradigma del hábitat en Colombia:</w:t>
      </w:r>
    </w:p>
    <w:p w14:paraId="7B136830" w14:textId="77777777" w:rsidR="006122F2" w:rsidRPr="00E00F13" w:rsidRDefault="006122F2" w:rsidP="006122F2">
      <w:pPr>
        <w:spacing w:after="0" w:line="360" w:lineRule="auto"/>
        <w:jc w:val="both"/>
        <w:rPr>
          <w:rFonts w:ascii="Arial" w:hAnsi="Arial" w:cs="Arial"/>
          <w:sz w:val="24"/>
          <w:szCs w:val="24"/>
        </w:rPr>
      </w:pPr>
    </w:p>
    <w:p w14:paraId="3290FA8A" w14:textId="77777777" w:rsidR="006122F2" w:rsidRPr="00E00F13" w:rsidRDefault="006122F2" w:rsidP="005E33C6">
      <w:pPr>
        <w:numPr>
          <w:ilvl w:val="0"/>
          <w:numId w:val="23"/>
        </w:numPr>
        <w:spacing w:after="0" w:line="360" w:lineRule="auto"/>
        <w:jc w:val="both"/>
        <w:rPr>
          <w:rFonts w:ascii="Arial" w:hAnsi="Arial" w:cs="Arial"/>
          <w:sz w:val="24"/>
          <w:szCs w:val="24"/>
        </w:rPr>
      </w:pPr>
      <w:r w:rsidRPr="00E00F13">
        <w:rPr>
          <w:rFonts w:ascii="Arial" w:hAnsi="Arial" w:cs="Arial"/>
          <w:sz w:val="24"/>
          <w:szCs w:val="24"/>
        </w:rPr>
        <w:t xml:space="preserve">Decreto 1470 de 2024 (reglamenta el artículo 298 del PND): intervenciones integrales en barrios y veredas de paz. </w:t>
      </w:r>
    </w:p>
    <w:p w14:paraId="7EE858C5" w14:textId="77777777" w:rsidR="006122F2" w:rsidRPr="00E00F13" w:rsidRDefault="006122F2" w:rsidP="006122F2">
      <w:pPr>
        <w:spacing w:after="0" w:line="360" w:lineRule="auto"/>
        <w:jc w:val="both"/>
        <w:rPr>
          <w:rFonts w:ascii="Arial" w:hAnsi="Arial" w:cs="Arial"/>
          <w:sz w:val="24"/>
          <w:szCs w:val="24"/>
        </w:rPr>
      </w:pPr>
    </w:p>
    <w:p w14:paraId="32A27933" w14:textId="77777777" w:rsidR="006122F2" w:rsidRPr="00E00F13" w:rsidRDefault="006122F2" w:rsidP="006122F2">
      <w:pPr>
        <w:spacing w:after="0" w:line="360" w:lineRule="auto"/>
        <w:jc w:val="both"/>
        <w:rPr>
          <w:rFonts w:ascii="Arial" w:hAnsi="Arial" w:cs="Arial"/>
          <w:b/>
          <w:bCs/>
          <w:i/>
          <w:iCs/>
          <w:sz w:val="24"/>
          <w:szCs w:val="24"/>
        </w:rPr>
      </w:pPr>
      <w:r w:rsidRPr="00E00F13">
        <w:rPr>
          <w:rFonts w:ascii="Arial" w:hAnsi="Arial" w:cs="Arial"/>
          <w:b/>
          <w:bCs/>
          <w:i/>
          <w:iCs/>
          <w:sz w:val="24"/>
          <w:szCs w:val="24"/>
        </w:rPr>
        <w:t>Hacia nueva política de vivienda: participación comunitaria, calidad, inclusión financiera y enfoque diferencial</w:t>
      </w:r>
    </w:p>
    <w:p w14:paraId="1E106848" w14:textId="77777777" w:rsidR="006122F2" w:rsidRPr="00E00F13" w:rsidRDefault="006122F2" w:rsidP="005E33C6">
      <w:pPr>
        <w:numPr>
          <w:ilvl w:val="0"/>
          <w:numId w:val="23"/>
        </w:numPr>
        <w:spacing w:after="0" w:line="360" w:lineRule="auto"/>
        <w:jc w:val="both"/>
        <w:rPr>
          <w:rFonts w:ascii="Arial" w:hAnsi="Arial" w:cs="Arial"/>
          <w:sz w:val="24"/>
          <w:szCs w:val="24"/>
        </w:rPr>
      </w:pPr>
      <w:r w:rsidRPr="00E00F13">
        <w:rPr>
          <w:rFonts w:ascii="Arial" w:hAnsi="Arial" w:cs="Arial"/>
          <w:sz w:val="24"/>
          <w:szCs w:val="24"/>
        </w:rPr>
        <w:lastRenderedPageBreak/>
        <w:t>Decreto 413 de 2025 (reglamenta el artículo 233 literal f y h del PND): fortalece el rol de organizaciones de base en mejorar la vivienda urbana y rural.</w:t>
      </w:r>
    </w:p>
    <w:p w14:paraId="767D41F5" w14:textId="77777777" w:rsidR="006122F2" w:rsidRPr="00E00F13" w:rsidRDefault="006122F2" w:rsidP="005E33C6">
      <w:pPr>
        <w:numPr>
          <w:ilvl w:val="0"/>
          <w:numId w:val="23"/>
        </w:numPr>
        <w:spacing w:after="0" w:line="360" w:lineRule="auto"/>
        <w:jc w:val="both"/>
        <w:rPr>
          <w:rFonts w:ascii="Arial" w:hAnsi="Arial" w:cs="Arial"/>
          <w:sz w:val="24"/>
          <w:szCs w:val="24"/>
        </w:rPr>
      </w:pPr>
      <w:r w:rsidRPr="00E00F13">
        <w:rPr>
          <w:rFonts w:ascii="Arial" w:hAnsi="Arial" w:cs="Arial"/>
          <w:sz w:val="24"/>
          <w:szCs w:val="24"/>
        </w:rPr>
        <w:t>Decreto 585 de 2025 (reglamenta el artículo 233 literal d y f del PND): amplía el acceso a vivienda mediante autoconstrucción y autogestión.</w:t>
      </w:r>
    </w:p>
    <w:p w14:paraId="3E584FDC" w14:textId="77777777" w:rsidR="006122F2" w:rsidRPr="00E00F13" w:rsidRDefault="006122F2" w:rsidP="005E33C6">
      <w:pPr>
        <w:numPr>
          <w:ilvl w:val="0"/>
          <w:numId w:val="23"/>
        </w:numPr>
        <w:spacing w:after="0" w:line="360" w:lineRule="auto"/>
        <w:jc w:val="both"/>
        <w:rPr>
          <w:rFonts w:ascii="Arial" w:hAnsi="Arial" w:cs="Arial"/>
          <w:sz w:val="24"/>
          <w:szCs w:val="24"/>
        </w:rPr>
      </w:pPr>
      <w:r w:rsidRPr="00E00F13">
        <w:rPr>
          <w:rFonts w:ascii="Arial" w:hAnsi="Arial" w:cs="Arial"/>
          <w:sz w:val="24"/>
          <w:szCs w:val="24"/>
        </w:rPr>
        <w:t xml:space="preserve">Decreto 775 de 2025 (reglamenta el artículo 233 literal d y e del PND): otorgar subsidios para vivienda usada a poblaciones vulnerables. </w:t>
      </w:r>
    </w:p>
    <w:p w14:paraId="5CFC8E80" w14:textId="77777777" w:rsidR="006122F2" w:rsidRPr="00E00F13" w:rsidRDefault="006122F2" w:rsidP="005E33C6">
      <w:pPr>
        <w:numPr>
          <w:ilvl w:val="0"/>
          <w:numId w:val="23"/>
        </w:numPr>
        <w:spacing w:after="0" w:line="360" w:lineRule="auto"/>
        <w:jc w:val="both"/>
        <w:rPr>
          <w:rFonts w:ascii="Arial" w:hAnsi="Arial" w:cs="Arial"/>
          <w:sz w:val="24"/>
          <w:szCs w:val="24"/>
        </w:rPr>
      </w:pPr>
      <w:r w:rsidRPr="00E00F13">
        <w:rPr>
          <w:rFonts w:ascii="Arial" w:hAnsi="Arial" w:cs="Arial"/>
          <w:sz w:val="24"/>
          <w:szCs w:val="24"/>
        </w:rPr>
        <w:t xml:space="preserve">Decreto 584 de 2024 (reglamenta el artículo 233 literal g del PND): reconoce las condiciones diferenciales para vivienda en San Andrés y Providencia. </w:t>
      </w:r>
    </w:p>
    <w:p w14:paraId="5FF3ADB3" w14:textId="77777777" w:rsidR="006122F2" w:rsidRPr="00E00F13" w:rsidRDefault="006122F2" w:rsidP="005E33C6">
      <w:pPr>
        <w:numPr>
          <w:ilvl w:val="0"/>
          <w:numId w:val="23"/>
        </w:numPr>
        <w:spacing w:after="0" w:line="360" w:lineRule="auto"/>
        <w:jc w:val="both"/>
        <w:rPr>
          <w:rFonts w:ascii="Arial" w:hAnsi="Arial" w:cs="Arial"/>
          <w:sz w:val="24"/>
          <w:szCs w:val="24"/>
        </w:rPr>
      </w:pPr>
      <w:r w:rsidRPr="00E00F13">
        <w:rPr>
          <w:rFonts w:ascii="Arial" w:hAnsi="Arial" w:cs="Arial"/>
          <w:sz w:val="24"/>
          <w:szCs w:val="24"/>
        </w:rPr>
        <w:t>Decreto 1166 de 2025 (reglamenta el artículo 233 literal f y h del PND): autoriza mejoramientos y construcción progresiva sin licencia mediante cartas técnicas de responsabilidad.</w:t>
      </w:r>
    </w:p>
    <w:p w14:paraId="225B86C5" w14:textId="77777777" w:rsidR="006122F2" w:rsidRPr="00E00F13" w:rsidRDefault="006122F2" w:rsidP="006122F2">
      <w:pPr>
        <w:spacing w:after="0" w:line="360" w:lineRule="auto"/>
        <w:jc w:val="both"/>
        <w:rPr>
          <w:rFonts w:ascii="Arial" w:hAnsi="Arial" w:cs="Arial"/>
          <w:sz w:val="24"/>
          <w:szCs w:val="24"/>
        </w:rPr>
      </w:pPr>
    </w:p>
    <w:p w14:paraId="2C4DE5C5" w14:textId="77777777" w:rsidR="006122F2" w:rsidRPr="00E00F13" w:rsidRDefault="006122F2" w:rsidP="006122F2">
      <w:pPr>
        <w:spacing w:after="0" w:line="360" w:lineRule="auto"/>
        <w:jc w:val="both"/>
        <w:rPr>
          <w:rFonts w:ascii="Arial" w:hAnsi="Arial" w:cs="Arial"/>
          <w:sz w:val="24"/>
          <w:szCs w:val="24"/>
        </w:rPr>
      </w:pPr>
      <w:r w:rsidRPr="00E00F13">
        <w:rPr>
          <w:rFonts w:ascii="Arial" w:hAnsi="Arial" w:cs="Arial"/>
          <w:b/>
          <w:bCs/>
          <w:i/>
          <w:iCs/>
          <w:sz w:val="24"/>
          <w:szCs w:val="24"/>
        </w:rPr>
        <w:t>Pacto por el crédito: más plazo, cuotas justas y tasas compensadas</w:t>
      </w:r>
    </w:p>
    <w:p w14:paraId="437484DE" w14:textId="77777777" w:rsidR="006122F2" w:rsidRPr="00E00F13" w:rsidRDefault="006122F2" w:rsidP="006122F2">
      <w:pPr>
        <w:spacing w:after="0" w:line="360" w:lineRule="auto"/>
        <w:ind w:left="426"/>
        <w:jc w:val="both"/>
        <w:rPr>
          <w:rFonts w:ascii="Arial" w:hAnsi="Arial" w:cs="Arial"/>
          <w:sz w:val="24"/>
          <w:szCs w:val="24"/>
        </w:rPr>
      </w:pPr>
      <w:r w:rsidRPr="00E00F13">
        <w:rPr>
          <w:rFonts w:ascii="Arial" w:hAnsi="Arial" w:cs="Arial"/>
          <w:sz w:val="24"/>
          <w:szCs w:val="24"/>
        </w:rPr>
        <w:t>7. Decreto 074 de 2024 (reglamenta el artículo 233 literal h del PND): prorroga la vigencia de licencias urbanísticas.</w:t>
      </w:r>
    </w:p>
    <w:p w14:paraId="681A0B5E" w14:textId="77777777" w:rsidR="006122F2" w:rsidRPr="00E00F13" w:rsidRDefault="006122F2" w:rsidP="006122F2">
      <w:pPr>
        <w:spacing w:after="0" w:line="360" w:lineRule="auto"/>
        <w:ind w:left="426"/>
        <w:jc w:val="both"/>
        <w:rPr>
          <w:rFonts w:ascii="Arial" w:hAnsi="Arial" w:cs="Arial"/>
          <w:sz w:val="24"/>
          <w:szCs w:val="24"/>
        </w:rPr>
      </w:pPr>
      <w:r w:rsidRPr="00E00F13">
        <w:rPr>
          <w:rFonts w:ascii="Arial" w:hAnsi="Arial" w:cs="Arial"/>
          <w:sz w:val="24"/>
          <w:szCs w:val="24"/>
        </w:rPr>
        <w:t xml:space="preserve">8. Decreto 583 de 2024 (reglamenta el artículo 233 literal </w:t>
      </w:r>
      <w:proofErr w:type="gramStart"/>
      <w:r w:rsidRPr="00E00F13">
        <w:rPr>
          <w:rFonts w:ascii="Arial" w:hAnsi="Arial" w:cs="Arial"/>
          <w:sz w:val="24"/>
          <w:szCs w:val="24"/>
        </w:rPr>
        <w:t>e</w:t>
      </w:r>
      <w:proofErr w:type="gramEnd"/>
      <w:r w:rsidRPr="00E00F13">
        <w:rPr>
          <w:rFonts w:ascii="Arial" w:hAnsi="Arial" w:cs="Arial"/>
          <w:sz w:val="24"/>
          <w:szCs w:val="24"/>
        </w:rPr>
        <w:t xml:space="preserve"> del PND): establece un límite a la primera cuota de créditos de vivienda.</w:t>
      </w:r>
    </w:p>
    <w:p w14:paraId="4A33035E" w14:textId="77777777" w:rsidR="006122F2" w:rsidRPr="00E00F13" w:rsidRDefault="006122F2" w:rsidP="006122F2">
      <w:pPr>
        <w:spacing w:after="0" w:line="360" w:lineRule="auto"/>
        <w:ind w:left="426"/>
        <w:jc w:val="both"/>
        <w:rPr>
          <w:rFonts w:ascii="Arial" w:hAnsi="Arial" w:cs="Arial"/>
          <w:sz w:val="24"/>
          <w:szCs w:val="24"/>
        </w:rPr>
      </w:pPr>
      <w:r w:rsidRPr="00E00F13">
        <w:rPr>
          <w:rFonts w:ascii="Arial" w:hAnsi="Arial" w:cs="Arial"/>
          <w:sz w:val="24"/>
          <w:szCs w:val="24"/>
        </w:rPr>
        <w:t xml:space="preserve">9. Decreto 1494 de 2024 (reglamenta el artículo 233 literal e y d del PND): crea una línea de crédito con tasa compensada para VIS y VIP. </w:t>
      </w:r>
    </w:p>
    <w:p w14:paraId="22150E68" w14:textId="77777777" w:rsidR="006122F2" w:rsidRPr="00E00F13" w:rsidRDefault="006122F2" w:rsidP="006122F2">
      <w:pPr>
        <w:spacing w:after="0" w:line="360" w:lineRule="auto"/>
        <w:ind w:left="426"/>
        <w:jc w:val="both"/>
        <w:rPr>
          <w:rFonts w:ascii="Arial" w:hAnsi="Arial" w:cs="Arial"/>
          <w:sz w:val="24"/>
          <w:szCs w:val="24"/>
        </w:rPr>
      </w:pPr>
    </w:p>
    <w:p w14:paraId="1CD67CC8" w14:textId="77777777" w:rsidR="006122F2" w:rsidRPr="00E00F13" w:rsidRDefault="006122F2" w:rsidP="006122F2">
      <w:pPr>
        <w:spacing w:after="0" w:line="360" w:lineRule="auto"/>
        <w:jc w:val="both"/>
        <w:rPr>
          <w:rFonts w:ascii="Arial" w:hAnsi="Arial" w:cs="Arial"/>
          <w:b/>
          <w:bCs/>
          <w:i/>
          <w:iCs/>
          <w:sz w:val="24"/>
          <w:szCs w:val="24"/>
        </w:rPr>
      </w:pPr>
      <w:r w:rsidRPr="00E00F13">
        <w:rPr>
          <w:rFonts w:ascii="Arial" w:hAnsi="Arial" w:cs="Arial"/>
          <w:b/>
          <w:bCs/>
          <w:i/>
          <w:iCs/>
          <w:sz w:val="24"/>
          <w:szCs w:val="24"/>
        </w:rPr>
        <w:t>Acceso al agua y saneamiento básico: restauración ambiental y mínimo vital</w:t>
      </w:r>
    </w:p>
    <w:p w14:paraId="6B7DC5B1" w14:textId="77777777" w:rsidR="006122F2" w:rsidRPr="00E00F13" w:rsidRDefault="006122F2" w:rsidP="006122F2">
      <w:pPr>
        <w:spacing w:after="0" w:line="360" w:lineRule="auto"/>
        <w:ind w:left="426"/>
        <w:jc w:val="both"/>
        <w:rPr>
          <w:rFonts w:ascii="Arial" w:hAnsi="Arial" w:cs="Arial"/>
          <w:b/>
          <w:bCs/>
          <w:i/>
          <w:iCs/>
          <w:sz w:val="24"/>
          <w:szCs w:val="24"/>
        </w:rPr>
      </w:pPr>
      <w:r w:rsidRPr="00E00F13">
        <w:rPr>
          <w:rFonts w:ascii="Arial" w:hAnsi="Arial" w:cs="Arial"/>
          <w:sz w:val="24"/>
          <w:szCs w:val="24"/>
        </w:rPr>
        <w:t>10. Decreto 774 de 2025 (no reglamenta un artículo específico del PND): regula el uso agrícola y forestal de residuos de PTAR.</w:t>
      </w:r>
    </w:p>
    <w:p w14:paraId="53160A9D" w14:textId="77777777" w:rsidR="006122F2" w:rsidRPr="00E00F13" w:rsidRDefault="006122F2" w:rsidP="006122F2">
      <w:pPr>
        <w:spacing w:after="0" w:line="360" w:lineRule="auto"/>
        <w:ind w:left="426"/>
        <w:jc w:val="both"/>
        <w:rPr>
          <w:rFonts w:ascii="Arial" w:hAnsi="Arial" w:cs="Arial"/>
          <w:b/>
          <w:bCs/>
          <w:i/>
          <w:iCs/>
          <w:sz w:val="24"/>
          <w:szCs w:val="24"/>
        </w:rPr>
      </w:pPr>
      <w:r w:rsidRPr="00E00F13">
        <w:rPr>
          <w:rFonts w:ascii="Arial" w:hAnsi="Arial" w:cs="Arial"/>
          <w:sz w:val="24"/>
          <w:szCs w:val="24"/>
        </w:rPr>
        <w:t xml:space="preserve">11. Decreto 776 de 2025 (reglamenta el artículo 192 del PND): garantiza el mínimo vital de agua (50 litros/persona/día) en zonas de difícil acceso. </w:t>
      </w:r>
    </w:p>
    <w:p w14:paraId="0FA217DB" w14:textId="77777777" w:rsidR="006122F2" w:rsidRPr="00E00F13" w:rsidRDefault="006122F2" w:rsidP="006122F2">
      <w:pPr>
        <w:spacing w:after="0" w:line="360" w:lineRule="auto"/>
        <w:ind w:left="426"/>
        <w:jc w:val="both"/>
        <w:rPr>
          <w:rFonts w:ascii="Arial" w:hAnsi="Arial" w:cs="Arial"/>
          <w:b/>
          <w:bCs/>
          <w:i/>
          <w:iCs/>
          <w:sz w:val="24"/>
          <w:szCs w:val="24"/>
        </w:rPr>
      </w:pPr>
      <w:r w:rsidRPr="00E00F13">
        <w:rPr>
          <w:rFonts w:ascii="Arial" w:hAnsi="Arial" w:cs="Arial"/>
          <w:sz w:val="24"/>
          <w:szCs w:val="24"/>
        </w:rPr>
        <w:t>12. Decreto 960 de 2025 (reglamenta el artículo 274 del PND): gestión comunitaria del agua.</w:t>
      </w:r>
    </w:p>
    <w:p w14:paraId="5879F8D6" w14:textId="77777777" w:rsidR="006122F2" w:rsidRPr="00E00F13" w:rsidRDefault="006122F2" w:rsidP="006122F2">
      <w:pPr>
        <w:spacing w:after="0" w:line="360" w:lineRule="auto"/>
        <w:ind w:left="426"/>
        <w:jc w:val="both"/>
        <w:rPr>
          <w:rFonts w:ascii="Arial" w:hAnsi="Arial" w:cs="Arial"/>
          <w:b/>
          <w:bCs/>
          <w:i/>
          <w:iCs/>
          <w:sz w:val="24"/>
          <w:szCs w:val="24"/>
        </w:rPr>
      </w:pPr>
      <w:r w:rsidRPr="00E00F13">
        <w:rPr>
          <w:rFonts w:ascii="Arial" w:hAnsi="Arial" w:cs="Arial"/>
          <w:sz w:val="24"/>
          <w:szCs w:val="24"/>
        </w:rPr>
        <w:t>13. Decreto 073 de 2025 (reglamenta el artículo 303 del PND): giro directo de los recursos del sistema general de participaciones.</w:t>
      </w:r>
    </w:p>
    <w:p w14:paraId="5A4C0022" w14:textId="77777777" w:rsidR="006122F2" w:rsidRPr="00E00F13" w:rsidRDefault="006122F2" w:rsidP="006122F2">
      <w:pPr>
        <w:spacing w:after="0" w:line="360" w:lineRule="auto"/>
        <w:ind w:left="426"/>
        <w:jc w:val="both"/>
        <w:rPr>
          <w:rFonts w:ascii="Arial" w:hAnsi="Arial" w:cs="Arial"/>
          <w:b/>
          <w:bCs/>
          <w:i/>
          <w:iCs/>
          <w:sz w:val="24"/>
          <w:szCs w:val="24"/>
        </w:rPr>
      </w:pPr>
      <w:r w:rsidRPr="00E00F13">
        <w:rPr>
          <w:rFonts w:ascii="Arial" w:hAnsi="Arial" w:cs="Arial"/>
          <w:sz w:val="24"/>
          <w:szCs w:val="24"/>
        </w:rPr>
        <w:lastRenderedPageBreak/>
        <w:t xml:space="preserve">14. Decreto 406 de 2025 (reglamenta el artículo 274 del PND): recursos agua Fonvivienda. </w:t>
      </w:r>
    </w:p>
    <w:p w14:paraId="30AE02C0" w14:textId="77777777" w:rsidR="006122F2" w:rsidRPr="00E00F13" w:rsidRDefault="006122F2" w:rsidP="006122F2">
      <w:pPr>
        <w:spacing w:after="0" w:line="360" w:lineRule="auto"/>
        <w:ind w:left="426"/>
        <w:jc w:val="both"/>
        <w:rPr>
          <w:rFonts w:ascii="Arial" w:hAnsi="Arial" w:cs="Arial"/>
          <w:b/>
          <w:bCs/>
          <w:i/>
          <w:iCs/>
          <w:sz w:val="24"/>
          <w:szCs w:val="24"/>
        </w:rPr>
      </w:pPr>
    </w:p>
    <w:p w14:paraId="1EAC56E5" w14:textId="77777777" w:rsidR="006122F2" w:rsidRPr="00E00F13" w:rsidRDefault="006122F2" w:rsidP="006122F2">
      <w:pPr>
        <w:spacing w:after="0" w:line="360" w:lineRule="auto"/>
        <w:jc w:val="both"/>
        <w:rPr>
          <w:rFonts w:ascii="Arial" w:hAnsi="Arial" w:cs="Arial"/>
          <w:b/>
          <w:bCs/>
          <w:i/>
          <w:iCs/>
          <w:sz w:val="24"/>
          <w:szCs w:val="24"/>
        </w:rPr>
      </w:pPr>
      <w:r w:rsidRPr="00E00F13">
        <w:rPr>
          <w:rFonts w:ascii="Arial" w:hAnsi="Arial" w:cs="Arial"/>
          <w:b/>
          <w:bCs/>
          <w:i/>
          <w:iCs/>
          <w:sz w:val="24"/>
          <w:szCs w:val="24"/>
        </w:rPr>
        <w:t>Basura Cero: reciclaje digno, transición hacia economía circular</w:t>
      </w:r>
    </w:p>
    <w:p w14:paraId="548E4C2F" w14:textId="77777777" w:rsidR="006122F2" w:rsidRPr="00E00F13" w:rsidRDefault="006122F2" w:rsidP="006122F2">
      <w:pPr>
        <w:spacing w:after="0" w:line="360" w:lineRule="auto"/>
        <w:ind w:left="426"/>
        <w:jc w:val="both"/>
        <w:rPr>
          <w:rFonts w:ascii="Arial" w:hAnsi="Arial" w:cs="Arial"/>
          <w:b/>
          <w:bCs/>
          <w:i/>
          <w:iCs/>
          <w:sz w:val="24"/>
          <w:szCs w:val="24"/>
        </w:rPr>
      </w:pPr>
      <w:r w:rsidRPr="00E00F13">
        <w:rPr>
          <w:rFonts w:ascii="Arial" w:hAnsi="Arial" w:cs="Arial"/>
          <w:sz w:val="24"/>
          <w:szCs w:val="24"/>
        </w:rPr>
        <w:t>15. Decreto 1381 de 2024 (reglamenta el artículo 227 del PND): dignifica la labor de recicladores de oficio.</w:t>
      </w:r>
    </w:p>
    <w:p w14:paraId="720D7B5E" w14:textId="77777777" w:rsidR="006122F2" w:rsidRPr="00E00F13" w:rsidRDefault="006122F2" w:rsidP="006122F2">
      <w:pPr>
        <w:spacing w:after="0" w:line="360" w:lineRule="auto"/>
        <w:ind w:left="426"/>
        <w:jc w:val="both"/>
        <w:rPr>
          <w:rFonts w:ascii="Arial" w:hAnsi="Arial" w:cs="Arial"/>
          <w:b/>
          <w:bCs/>
          <w:i/>
          <w:iCs/>
          <w:sz w:val="24"/>
          <w:szCs w:val="24"/>
        </w:rPr>
      </w:pPr>
      <w:r w:rsidRPr="00E00F13">
        <w:rPr>
          <w:rFonts w:ascii="Arial" w:hAnsi="Arial" w:cs="Arial"/>
          <w:sz w:val="24"/>
          <w:szCs w:val="24"/>
        </w:rPr>
        <w:t xml:space="preserve">16. Decreto 670 de 2025 (reglamenta el artículo 227 del PND): promueve la Economía circular de residuos sólidos. </w:t>
      </w:r>
    </w:p>
    <w:p w14:paraId="0A42AC41" w14:textId="77777777" w:rsidR="006122F2" w:rsidRPr="00E00F13" w:rsidRDefault="006122F2" w:rsidP="006122F2">
      <w:pPr>
        <w:spacing w:after="0" w:line="360" w:lineRule="auto"/>
        <w:ind w:left="426"/>
        <w:jc w:val="both"/>
        <w:rPr>
          <w:rFonts w:ascii="Arial" w:hAnsi="Arial" w:cs="Arial"/>
          <w:b/>
          <w:bCs/>
          <w:i/>
          <w:iCs/>
          <w:sz w:val="24"/>
          <w:szCs w:val="24"/>
        </w:rPr>
      </w:pPr>
    </w:p>
    <w:p w14:paraId="3AD6EAB1" w14:textId="77777777" w:rsidR="006122F2" w:rsidRPr="00E00F13" w:rsidRDefault="006122F2" w:rsidP="006122F2">
      <w:pPr>
        <w:spacing w:after="0" w:line="360" w:lineRule="auto"/>
        <w:jc w:val="both"/>
        <w:rPr>
          <w:rFonts w:ascii="Arial" w:hAnsi="Arial" w:cs="Arial"/>
          <w:sz w:val="24"/>
          <w:szCs w:val="24"/>
        </w:rPr>
      </w:pPr>
      <w:r w:rsidRPr="00E00F13">
        <w:rPr>
          <w:rFonts w:ascii="Arial" w:hAnsi="Arial" w:cs="Arial"/>
          <w:sz w:val="24"/>
          <w:szCs w:val="24"/>
        </w:rPr>
        <w:t>Con base en estos decretos se pueden identificar varios vasos comunicantes, interrelaciones y flujos de efecto entre las normas de vivienda y las de agua y saneamiento:</w:t>
      </w:r>
    </w:p>
    <w:p w14:paraId="61F6612A" w14:textId="77777777" w:rsidR="006122F2" w:rsidRPr="00E00F13" w:rsidRDefault="006122F2" w:rsidP="006122F2">
      <w:pPr>
        <w:spacing w:after="0" w:line="360" w:lineRule="auto"/>
        <w:jc w:val="both"/>
        <w:rPr>
          <w:rFonts w:ascii="Arial" w:hAnsi="Arial" w:cs="Arial"/>
          <w:b/>
          <w:bCs/>
          <w:i/>
          <w:iCs/>
          <w:sz w:val="24"/>
          <w:szCs w:val="24"/>
        </w:rPr>
      </w:pPr>
    </w:p>
    <w:p w14:paraId="43FA726E" w14:textId="77777777" w:rsidR="006122F2" w:rsidRPr="00E00F13" w:rsidRDefault="006122F2" w:rsidP="006122F2">
      <w:pPr>
        <w:spacing w:after="0" w:line="360" w:lineRule="auto"/>
        <w:jc w:val="both"/>
        <w:rPr>
          <w:rFonts w:ascii="Arial" w:hAnsi="Arial" w:cs="Arial"/>
          <w:b/>
          <w:bCs/>
          <w:i/>
          <w:iCs/>
          <w:sz w:val="24"/>
          <w:szCs w:val="24"/>
        </w:rPr>
      </w:pPr>
      <w:r w:rsidRPr="00E00F13">
        <w:rPr>
          <w:rFonts w:ascii="Arial" w:hAnsi="Arial" w:cs="Arial"/>
          <w:b/>
          <w:bCs/>
          <w:i/>
          <w:iCs/>
          <w:sz w:val="24"/>
          <w:szCs w:val="24"/>
        </w:rPr>
        <w:t>Financiación integrada</w:t>
      </w:r>
    </w:p>
    <w:p w14:paraId="7A04CE8F" w14:textId="77777777" w:rsidR="006122F2" w:rsidRPr="00E00F13" w:rsidRDefault="006122F2" w:rsidP="006122F2">
      <w:pPr>
        <w:spacing w:after="0" w:line="360" w:lineRule="auto"/>
        <w:jc w:val="both"/>
        <w:rPr>
          <w:rFonts w:ascii="Arial" w:hAnsi="Arial" w:cs="Arial"/>
          <w:b/>
          <w:bCs/>
          <w:i/>
          <w:iCs/>
          <w:sz w:val="24"/>
          <w:szCs w:val="24"/>
        </w:rPr>
      </w:pPr>
      <w:r w:rsidRPr="00E00F13">
        <w:rPr>
          <w:rFonts w:ascii="Arial" w:hAnsi="Arial" w:cs="Arial"/>
          <w:sz w:val="24"/>
          <w:szCs w:val="24"/>
        </w:rPr>
        <w:t>La canalización de recursos de vivienda a través de Fonvivienda para proyectos de agua y saneamiento (Decreto 406) es un mecanismo de integración financiera muy potente, que permite que los recursos de vivienda no se usen solo para construir casas, sino también para dotarlas de servicios esenciales.</w:t>
      </w:r>
    </w:p>
    <w:p w14:paraId="257533AB" w14:textId="77777777" w:rsidR="006122F2" w:rsidRPr="00E00F13" w:rsidRDefault="006122F2" w:rsidP="006122F2">
      <w:pPr>
        <w:spacing w:after="0" w:line="360" w:lineRule="auto"/>
        <w:jc w:val="both"/>
        <w:rPr>
          <w:rFonts w:ascii="Arial" w:hAnsi="Arial" w:cs="Arial"/>
          <w:b/>
          <w:bCs/>
          <w:i/>
          <w:iCs/>
          <w:sz w:val="24"/>
          <w:szCs w:val="24"/>
        </w:rPr>
      </w:pPr>
    </w:p>
    <w:p w14:paraId="1C4BFA5E" w14:textId="77777777" w:rsidR="006122F2" w:rsidRPr="00E00F13" w:rsidRDefault="006122F2" w:rsidP="006122F2">
      <w:pPr>
        <w:spacing w:after="0" w:line="360" w:lineRule="auto"/>
        <w:jc w:val="both"/>
        <w:rPr>
          <w:rFonts w:ascii="Arial" w:hAnsi="Arial" w:cs="Arial"/>
          <w:b/>
          <w:bCs/>
          <w:i/>
          <w:iCs/>
          <w:sz w:val="24"/>
          <w:szCs w:val="24"/>
        </w:rPr>
      </w:pPr>
      <w:r w:rsidRPr="00E00F13">
        <w:rPr>
          <w:rFonts w:ascii="Arial" w:hAnsi="Arial" w:cs="Arial"/>
          <w:b/>
          <w:bCs/>
          <w:i/>
          <w:iCs/>
          <w:sz w:val="24"/>
          <w:szCs w:val="24"/>
        </w:rPr>
        <w:t>Gestión comunitaria</w:t>
      </w:r>
    </w:p>
    <w:p w14:paraId="29D0BA6C" w14:textId="0219BCA8" w:rsidR="006122F2" w:rsidRPr="00E00F13" w:rsidRDefault="006122F2" w:rsidP="006122F2">
      <w:pPr>
        <w:spacing w:after="0" w:line="360" w:lineRule="auto"/>
        <w:jc w:val="both"/>
        <w:rPr>
          <w:rFonts w:ascii="Arial" w:hAnsi="Arial" w:cs="Arial"/>
          <w:sz w:val="24"/>
          <w:szCs w:val="24"/>
        </w:rPr>
      </w:pPr>
      <w:r w:rsidRPr="00E00F13">
        <w:rPr>
          <w:rFonts w:ascii="Arial" w:hAnsi="Arial" w:cs="Arial"/>
          <w:sz w:val="24"/>
          <w:szCs w:val="24"/>
        </w:rPr>
        <w:t xml:space="preserve">La formalización de gestores comunitarios contemplada en el Decreto 960 </w:t>
      </w:r>
      <w:r w:rsidR="0046648E" w:rsidRPr="00E00F13">
        <w:rPr>
          <w:rFonts w:ascii="Arial" w:hAnsi="Arial" w:cs="Arial"/>
          <w:sz w:val="24"/>
          <w:szCs w:val="24"/>
        </w:rPr>
        <w:t xml:space="preserve">de 2025 </w:t>
      </w:r>
      <w:r w:rsidRPr="00E00F13">
        <w:rPr>
          <w:rFonts w:ascii="Arial" w:hAnsi="Arial" w:cs="Arial"/>
          <w:sz w:val="24"/>
          <w:szCs w:val="24"/>
        </w:rPr>
        <w:t>crea un puente entre políticas de desarrollo comunitario, empoderamiento local, agua y territorio. Este modelo reduce la dependencia de grandes empresas o del Estado centralizado, favoreciendo un enfoque más democrático y participativo. También permite soluciones más apropiadas a contextos rurales o comunitarios, donde las redes tradicionales no llegan o son costosas.</w:t>
      </w:r>
    </w:p>
    <w:p w14:paraId="478C85A5" w14:textId="77777777" w:rsidR="006122F2" w:rsidRPr="00E00F13" w:rsidRDefault="006122F2" w:rsidP="006122F2">
      <w:pPr>
        <w:spacing w:after="0" w:line="360" w:lineRule="auto"/>
        <w:jc w:val="both"/>
        <w:rPr>
          <w:rFonts w:ascii="Arial" w:hAnsi="Arial" w:cs="Arial"/>
          <w:sz w:val="24"/>
          <w:szCs w:val="24"/>
        </w:rPr>
      </w:pPr>
    </w:p>
    <w:p w14:paraId="74EFDE8F" w14:textId="77777777" w:rsidR="006122F2" w:rsidRPr="00E00F13" w:rsidRDefault="006122F2" w:rsidP="006122F2">
      <w:pPr>
        <w:spacing w:after="0" w:line="360" w:lineRule="auto"/>
        <w:jc w:val="both"/>
        <w:rPr>
          <w:rFonts w:ascii="Arial" w:hAnsi="Arial" w:cs="Arial"/>
          <w:b/>
          <w:bCs/>
          <w:i/>
          <w:iCs/>
          <w:sz w:val="24"/>
          <w:szCs w:val="24"/>
        </w:rPr>
      </w:pPr>
      <w:r w:rsidRPr="00E00F13">
        <w:rPr>
          <w:rFonts w:ascii="Arial" w:hAnsi="Arial" w:cs="Arial"/>
          <w:b/>
          <w:bCs/>
          <w:i/>
          <w:iCs/>
          <w:sz w:val="24"/>
          <w:szCs w:val="24"/>
        </w:rPr>
        <w:t>Sostenibilidad operativa</w:t>
      </w:r>
    </w:p>
    <w:p w14:paraId="313A0910" w14:textId="77777777" w:rsidR="006122F2" w:rsidRPr="00E00F13" w:rsidRDefault="006122F2" w:rsidP="006122F2">
      <w:pPr>
        <w:spacing w:after="0" w:line="360" w:lineRule="auto"/>
        <w:jc w:val="both"/>
        <w:rPr>
          <w:rFonts w:ascii="Arial" w:hAnsi="Arial" w:cs="Arial"/>
          <w:sz w:val="24"/>
          <w:szCs w:val="24"/>
        </w:rPr>
      </w:pPr>
      <w:r w:rsidRPr="00E00F13">
        <w:rPr>
          <w:rFonts w:ascii="Arial" w:hAnsi="Arial" w:cs="Arial"/>
          <w:sz w:val="24"/>
          <w:szCs w:val="24"/>
        </w:rPr>
        <w:t xml:space="preserve">El uso del Sistema General de Participación para costos operativos eléctricos señalado en el Decreto 118 facilita la sostenibilidad técnica de muchos sistemas </w:t>
      </w:r>
      <w:r w:rsidRPr="00E00F13">
        <w:rPr>
          <w:rFonts w:ascii="Arial" w:hAnsi="Arial" w:cs="Arial"/>
          <w:sz w:val="24"/>
          <w:szCs w:val="24"/>
        </w:rPr>
        <w:lastRenderedPageBreak/>
        <w:t>pequeños o comunitarios. Sin este tipo de apoyo muchos acueductos comunitarios podrían colapsar por los altos costos de operación.</w:t>
      </w:r>
    </w:p>
    <w:p w14:paraId="1A7A810F" w14:textId="77777777" w:rsidR="006122F2" w:rsidRPr="00E00F13" w:rsidRDefault="006122F2" w:rsidP="006122F2">
      <w:pPr>
        <w:spacing w:after="0" w:line="360" w:lineRule="auto"/>
        <w:jc w:val="both"/>
        <w:rPr>
          <w:rFonts w:ascii="Arial" w:hAnsi="Arial" w:cs="Arial"/>
          <w:sz w:val="24"/>
          <w:szCs w:val="24"/>
        </w:rPr>
      </w:pPr>
    </w:p>
    <w:p w14:paraId="68B5D28C" w14:textId="77777777" w:rsidR="006122F2" w:rsidRPr="00E00F13" w:rsidRDefault="006122F2" w:rsidP="006122F2">
      <w:pPr>
        <w:spacing w:after="0" w:line="360" w:lineRule="auto"/>
        <w:jc w:val="both"/>
        <w:rPr>
          <w:rFonts w:ascii="Arial" w:hAnsi="Arial" w:cs="Arial"/>
          <w:b/>
          <w:bCs/>
          <w:i/>
          <w:iCs/>
          <w:sz w:val="24"/>
          <w:szCs w:val="24"/>
        </w:rPr>
      </w:pPr>
      <w:r w:rsidRPr="00E00F13">
        <w:rPr>
          <w:rFonts w:ascii="Arial" w:hAnsi="Arial" w:cs="Arial"/>
          <w:b/>
          <w:bCs/>
          <w:i/>
          <w:iCs/>
          <w:sz w:val="24"/>
          <w:szCs w:val="24"/>
        </w:rPr>
        <w:t>Ordenamiento territorial</w:t>
      </w:r>
    </w:p>
    <w:p w14:paraId="225B243F" w14:textId="77777777" w:rsidR="006122F2" w:rsidRPr="00E00F13" w:rsidRDefault="006122F2" w:rsidP="006122F2">
      <w:pPr>
        <w:spacing w:after="0" w:line="360" w:lineRule="auto"/>
        <w:jc w:val="both"/>
        <w:rPr>
          <w:rFonts w:ascii="Arial" w:hAnsi="Arial" w:cs="Arial"/>
          <w:sz w:val="24"/>
          <w:szCs w:val="24"/>
        </w:rPr>
      </w:pPr>
      <w:r w:rsidRPr="00E00F13">
        <w:rPr>
          <w:rFonts w:ascii="Arial" w:hAnsi="Arial" w:cs="Arial"/>
          <w:sz w:val="24"/>
          <w:szCs w:val="24"/>
        </w:rPr>
        <w:t>Los decretos permiten que el desarrollo urbano en materia de vivienda sea planificado en función del agua, particularmente en el ordenamiento alrededor del agua. Por ejemplo, en zonas rurales o vulnerables se pueden definir suelos para vivienda con condiciones técnicas para acueducto comunitario, reubicación, etc.</w:t>
      </w:r>
    </w:p>
    <w:p w14:paraId="1D8A4122" w14:textId="77777777" w:rsidR="006122F2" w:rsidRPr="00E00F13" w:rsidRDefault="006122F2" w:rsidP="006122F2">
      <w:pPr>
        <w:spacing w:after="0" w:line="360" w:lineRule="auto"/>
        <w:jc w:val="both"/>
        <w:rPr>
          <w:rFonts w:ascii="Arial" w:hAnsi="Arial" w:cs="Arial"/>
          <w:sz w:val="24"/>
          <w:szCs w:val="24"/>
        </w:rPr>
      </w:pPr>
    </w:p>
    <w:p w14:paraId="5BF16A53" w14:textId="77777777" w:rsidR="006122F2" w:rsidRPr="00E00F13" w:rsidRDefault="006122F2" w:rsidP="006122F2">
      <w:pPr>
        <w:spacing w:after="0" w:line="360" w:lineRule="auto"/>
        <w:jc w:val="both"/>
        <w:rPr>
          <w:rFonts w:ascii="Arial" w:hAnsi="Arial" w:cs="Arial"/>
          <w:b/>
          <w:bCs/>
          <w:i/>
          <w:iCs/>
          <w:sz w:val="24"/>
          <w:szCs w:val="24"/>
        </w:rPr>
      </w:pPr>
      <w:r w:rsidRPr="00E00F13">
        <w:rPr>
          <w:rFonts w:ascii="Arial" w:hAnsi="Arial" w:cs="Arial"/>
          <w:b/>
          <w:bCs/>
          <w:i/>
          <w:iCs/>
          <w:sz w:val="24"/>
          <w:szCs w:val="24"/>
        </w:rPr>
        <w:t>Inclusión social</w:t>
      </w:r>
    </w:p>
    <w:p w14:paraId="5788DC1A" w14:textId="77777777" w:rsidR="006122F2" w:rsidRPr="00E00F13" w:rsidRDefault="006122F2" w:rsidP="006122F2">
      <w:pPr>
        <w:spacing w:after="0" w:line="360" w:lineRule="auto"/>
        <w:jc w:val="both"/>
        <w:rPr>
          <w:rFonts w:ascii="Arial" w:hAnsi="Arial" w:cs="Arial"/>
          <w:sz w:val="24"/>
          <w:szCs w:val="24"/>
        </w:rPr>
      </w:pPr>
      <w:r w:rsidRPr="00E00F13">
        <w:rPr>
          <w:rFonts w:ascii="Arial" w:hAnsi="Arial" w:cs="Arial"/>
          <w:sz w:val="24"/>
          <w:szCs w:val="24"/>
        </w:rPr>
        <w:t>Muchas de estas normas están diseñadas para favorecer a comunidades vulnerables: zonas rurales, desplazadas, gestores comunitarios y hogares de bajos ingresos. Esto se traduce en una política que no solo promueve la construcción de viviendas, sino el acceso digno al agua como componente fundamental de la habitabilidad. El enfoque de economía popular se ve claramente al contar con la concurrencia de la autogestión, la participación comunitaria y el mejoramiento de barrios vulnerables. También se observa una política de «democratización del crédito» no solo dar subsidios, sino facilitar financiamiento accesible para que las personas puedan acceder a vivienda mediante crédito formal.</w:t>
      </w:r>
    </w:p>
    <w:p w14:paraId="3870A524" w14:textId="77777777" w:rsidR="006122F2" w:rsidRPr="00E00F13" w:rsidRDefault="006122F2" w:rsidP="006122F2">
      <w:pPr>
        <w:spacing w:after="0" w:line="360" w:lineRule="auto"/>
        <w:jc w:val="both"/>
        <w:rPr>
          <w:rFonts w:ascii="Arial" w:hAnsi="Arial" w:cs="Arial"/>
          <w:b/>
          <w:bCs/>
          <w:i/>
          <w:iCs/>
          <w:sz w:val="24"/>
          <w:szCs w:val="24"/>
        </w:rPr>
      </w:pPr>
    </w:p>
    <w:p w14:paraId="547C2BCC" w14:textId="77777777" w:rsidR="006122F2" w:rsidRPr="00E00F13" w:rsidRDefault="006122F2" w:rsidP="006122F2">
      <w:pPr>
        <w:spacing w:after="0" w:line="360" w:lineRule="auto"/>
        <w:jc w:val="both"/>
        <w:rPr>
          <w:rFonts w:ascii="Arial" w:hAnsi="Arial" w:cs="Arial"/>
          <w:sz w:val="24"/>
          <w:szCs w:val="24"/>
        </w:rPr>
      </w:pPr>
      <w:r w:rsidRPr="00E00F13">
        <w:rPr>
          <w:rFonts w:ascii="Arial" w:hAnsi="Arial" w:cs="Arial"/>
          <w:sz w:val="24"/>
          <w:szCs w:val="24"/>
        </w:rPr>
        <w:t xml:space="preserve">En este sentido, la política pública está armonizada y es coherente con un plan de desarrollo que prioriza la reducción del déficit cualitativo y no solo el cuantitativo; lo que promueve el empoderamiento de comunidades populares. </w:t>
      </w:r>
    </w:p>
    <w:p w14:paraId="3AA90328" w14:textId="77777777" w:rsidR="006122F2" w:rsidRPr="00E00F13" w:rsidRDefault="006122F2" w:rsidP="1D068790">
      <w:pPr>
        <w:spacing w:after="0" w:line="360" w:lineRule="auto"/>
        <w:jc w:val="both"/>
        <w:rPr>
          <w:rFonts w:ascii="Arial" w:hAnsi="Arial" w:cs="Arial"/>
          <w:b/>
          <w:bCs/>
          <w:sz w:val="24"/>
          <w:szCs w:val="24"/>
        </w:rPr>
      </w:pPr>
    </w:p>
    <w:p w14:paraId="2551DF41" w14:textId="77777777" w:rsidR="00A928DC" w:rsidRDefault="00A928DC" w:rsidP="1D068790">
      <w:pPr>
        <w:spacing w:after="0" w:line="360" w:lineRule="auto"/>
        <w:jc w:val="both"/>
        <w:rPr>
          <w:rFonts w:ascii="Arial" w:hAnsi="Arial" w:cs="Arial"/>
          <w:b/>
          <w:bCs/>
          <w:sz w:val="24"/>
          <w:szCs w:val="24"/>
        </w:rPr>
      </w:pPr>
    </w:p>
    <w:p w14:paraId="6BE4AE9B" w14:textId="77777777" w:rsidR="00A928DC" w:rsidRDefault="00A928DC" w:rsidP="1D068790">
      <w:pPr>
        <w:spacing w:after="0" w:line="360" w:lineRule="auto"/>
        <w:jc w:val="both"/>
        <w:rPr>
          <w:rFonts w:ascii="Arial" w:hAnsi="Arial" w:cs="Arial"/>
          <w:b/>
          <w:bCs/>
          <w:sz w:val="24"/>
          <w:szCs w:val="24"/>
        </w:rPr>
      </w:pPr>
    </w:p>
    <w:p w14:paraId="30D79227" w14:textId="77777777" w:rsidR="00A928DC" w:rsidRDefault="00A928DC" w:rsidP="1D068790">
      <w:pPr>
        <w:spacing w:after="0" w:line="360" w:lineRule="auto"/>
        <w:jc w:val="both"/>
        <w:rPr>
          <w:rFonts w:ascii="Arial" w:hAnsi="Arial" w:cs="Arial"/>
          <w:b/>
          <w:bCs/>
          <w:sz w:val="24"/>
          <w:szCs w:val="24"/>
        </w:rPr>
      </w:pPr>
    </w:p>
    <w:p w14:paraId="25A2C6A6" w14:textId="77777777" w:rsidR="00A928DC" w:rsidRDefault="00A928DC" w:rsidP="1D068790">
      <w:pPr>
        <w:spacing w:after="0" w:line="360" w:lineRule="auto"/>
        <w:jc w:val="both"/>
        <w:rPr>
          <w:rFonts w:ascii="Arial" w:hAnsi="Arial" w:cs="Arial"/>
          <w:b/>
          <w:bCs/>
          <w:sz w:val="24"/>
          <w:szCs w:val="24"/>
        </w:rPr>
      </w:pPr>
    </w:p>
    <w:p w14:paraId="03A38D86" w14:textId="77777777" w:rsidR="00A928DC" w:rsidRDefault="00A928DC" w:rsidP="1D068790">
      <w:pPr>
        <w:spacing w:after="0" w:line="360" w:lineRule="auto"/>
        <w:jc w:val="both"/>
        <w:rPr>
          <w:rFonts w:ascii="Arial" w:hAnsi="Arial" w:cs="Arial"/>
          <w:b/>
          <w:bCs/>
          <w:sz w:val="24"/>
          <w:szCs w:val="24"/>
        </w:rPr>
      </w:pPr>
    </w:p>
    <w:p w14:paraId="2105EF04" w14:textId="77777777" w:rsidR="00A928DC" w:rsidRDefault="00A928DC" w:rsidP="1D068790">
      <w:pPr>
        <w:spacing w:after="0" w:line="360" w:lineRule="auto"/>
        <w:jc w:val="both"/>
        <w:rPr>
          <w:rFonts w:ascii="Arial" w:hAnsi="Arial" w:cs="Arial"/>
          <w:b/>
          <w:bCs/>
          <w:sz w:val="24"/>
          <w:szCs w:val="24"/>
        </w:rPr>
      </w:pPr>
    </w:p>
    <w:p w14:paraId="0B3D1E8C" w14:textId="77777777" w:rsidR="00A928DC" w:rsidRDefault="00A928DC" w:rsidP="1D068790">
      <w:pPr>
        <w:spacing w:after="0" w:line="360" w:lineRule="auto"/>
        <w:jc w:val="both"/>
        <w:rPr>
          <w:rFonts w:ascii="Arial" w:hAnsi="Arial" w:cs="Arial"/>
          <w:b/>
          <w:bCs/>
          <w:sz w:val="24"/>
          <w:szCs w:val="24"/>
        </w:rPr>
      </w:pPr>
    </w:p>
    <w:p w14:paraId="5AF0EA2E" w14:textId="7BAF32CF" w:rsidR="6BEFDFCD" w:rsidRPr="00E00F13" w:rsidRDefault="6BEFDFCD" w:rsidP="1D068790">
      <w:pPr>
        <w:spacing w:after="0" w:line="360" w:lineRule="auto"/>
        <w:jc w:val="both"/>
        <w:rPr>
          <w:rFonts w:ascii="Arial" w:hAnsi="Arial" w:cs="Arial"/>
          <w:b/>
          <w:bCs/>
          <w:sz w:val="24"/>
          <w:szCs w:val="24"/>
        </w:rPr>
      </w:pPr>
      <w:r w:rsidRPr="00E00F13">
        <w:rPr>
          <w:rFonts w:ascii="Arial" w:hAnsi="Arial" w:cs="Arial"/>
          <w:b/>
          <w:bCs/>
          <w:sz w:val="24"/>
          <w:szCs w:val="24"/>
        </w:rPr>
        <w:lastRenderedPageBreak/>
        <w:t xml:space="preserve">Tabla. Decretos expedidos por el MVCT entre 2022 y </w:t>
      </w:r>
      <w:r w:rsidR="00A928C0" w:rsidRPr="00E00F13">
        <w:rPr>
          <w:rFonts w:ascii="Arial" w:hAnsi="Arial" w:cs="Arial"/>
          <w:b/>
          <w:bCs/>
          <w:sz w:val="24"/>
          <w:szCs w:val="24"/>
        </w:rPr>
        <w:t>noviembre</w:t>
      </w:r>
      <w:r w:rsidR="00CF1ECE" w:rsidRPr="00E00F13">
        <w:rPr>
          <w:rFonts w:ascii="Arial" w:hAnsi="Arial" w:cs="Arial"/>
          <w:b/>
          <w:bCs/>
          <w:sz w:val="24"/>
          <w:szCs w:val="24"/>
        </w:rPr>
        <w:t xml:space="preserve"> de </w:t>
      </w:r>
      <w:r w:rsidRPr="00E00F13">
        <w:rPr>
          <w:rFonts w:ascii="Arial" w:hAnsi="Arial" w:cs="Arial"/>
          <w:b/>
          <w:bCs/>
          <w:sz w:val="24"/>
          <w:szCs w:val="24"/>
        </w:rPr>
        <w:t>2025</w:t>
      </w:r>
    </w:p>
    <w:p w14:paraId="17CFC302" w14:textId="14F62977" w:rsidR="60BE040D" w:rsidRPr="00E00F13" w:rsidRDefault="60BE040D" w:rsidP="1D068790">
      <w:pPr>
        <w:spacing w:after="0" w:line="360" w:lineRule="auto"/>
        <w:jc w:val="both"/>
        <w:rPr>
          <w:sz w:val="20"/>
          <w:szCs w:val="20"/>
        </w:rPr>
      </w:pPr>
      <w:r w:rsidRPr="00E00F13">
        <w:rPr>
          <w:noProof/>
        </w:rPr>
        <w:drawing>
          <wp:inline distT="0" distB="0" distL="0" distR="0" wp14:anchorId="0DD3E4DA" wp14:editId="363B2CF2">
            <wp:extent cx="5619750" cy="3181350"/>
            <wp:effectExtent l="0" t="0" r="0" b="0"/>
            <wp:docPr id="14027530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735826" name="Picture 1645735826"/>
                    <pic:cNvPicPr/>
                  </pic:nvPicPr>
                  <pic:blipFill>
                    <a:blip r:embed="rId11">
                      <a:extLst>
                        <a:ext uri="{28A0092B-C50C-407E-A947-70E740481C1C}">
                          <a14:useLocalDpi xmlns:a14="http://schemas.microsoft.com/office/drawing/2010/main"/>
                        </a:ext>
                      </a:extLst>
                    </a:blip>
                    <a:stretch>
                      <a:fillRect/>
                    </a:stretch>
                  </pic:blipFill>
                  <pic:spPr>
                    <a:xfrm>
                      <a:off x="0" y="0"/>
                      <a:ext cx="5619750" cy="3181350"/>
                    </a:xfrm>
                    <a:prstGeom prst="rect">
                      <a:avLst/>
                    </a:prstGeom>
                  </pic:spPr>
                </pic:pic>
              </a:graphicData>
            </a:graphic>
          </wp:inline>
        </w:drawing>
      </w:r>
      <w:r w:rsidR="7350CFA4" w:rsidRPr="00E00F13">
        <w:rPr>
          <w:rFonts w:ascii="Arial" w:hAnsi="Arial" w:cs="Arial"/>
          <w:sz w:val="20"/>
          <w:szCs w:val="20"/>
        </w:rPr>
        <w:t>Fuente: MVCT, 2025</w:t>
      </w:r>
      <w:r w:rsidR="003075E5" w:rsidRPr="00E00F13">
        <w:rPr>
          <w:rFonts w:ascii="Arial" w:hAnsi="Arial" w:cs="Arial"/>
          <w:sz w:val="20"/>
          <w:szCs w:val="20"/>
        </w:rPr>
        <w:t>.</w:t>
      </w:r>
    </w:p>
    <w:p w14:paraId="315ECF6D" w14:textId="39C25DF4" w:rsidR="1D068790" w:rsidRPr="00E00F13" w:rsidRDefault="1D068790" w:rsidP="1D068790">
      <w:pPr>
        <w:spacing w:after="0" w:line="360" w:lineRule="auto"/>
        <w:jc w:val="both"/>
        <w:rPr>
          <w:rFonts w:ascii="Arial" w:hAnsi="Arial" w:cs="Arial"/>
          <w:sz w:val="24"/>
          <w:szCs w:val="24"/>
        </w:rPr>
      </w:pPr>
    </w:p>
    <w:p w14:paraId="00EAEB67" w14:textId="77777777" w:rsidR="006122F2" w:rsidRPr="00E00F13" w:rsidRDefault="006122F2" w:rsidP="006122F2">
      <w:pPr>
        <w:spacing w:after="0" w:line="360" w:lineRule="auto"/>
        <w:jc w:val="both"/>
        <w:rPr>
          <w:rFonts w:ascii="Arial" w:hAnsi="Arial" w:cs="Arial"/>
          <w:sz w:val="24"/>
          <w:szCs w:val="24"/>
        </w:rPr>
      </w:pPr>
      <w:r w:rsidRPr="00E00F13">
        <w:rPr>
          <w:rFonts w:ascii="Arial" w:hAnsi="Arial" w:cs="Arial"/>
          <w:sz w:val="24"/>
          <w:szCs w:val="24"/>
        </w:rPr>
        <w:t>Estos decretos guardan estricta relación con las promesas de transformación social, transformación del territorio, reducción de desigualdades, empoderamiento comunitario y construcción de paz territorial.</w:t>
      </w:r>
    </w:p>
    <w:p w14:paraId="4F55880A" w14:textId="77777777" w:rsidR="006122F2" w:rsidRPr="00E00F13" w:rsidRDefault="006122F2" w:rsidP="006122F2">
      <w:pPr>
        <w:spacing w:after="0" w:line="360" w:lineRule="auto"/>
        <w:jc w:val="both"/>
        <w:rPr>
          <w:rFonts w:ascii="Arial" w:hAnsi="Arial" w:cs="Arial"/>
          <w:sz w:val="24"/>
          <w:szCs w:val="24"/>
        </w:rPr>
      </w:pPr>
    </w:p>
    <w:p w14:paraId="1F50B543" w14:textId="77777777" w:rsidR="006122F2" w:rsidRPr="00E00F13" w:rsidRDefault="006122F2" w:rsidP="006122F2">
      <w:pPr>
        <w:spacing w:after="0" w:line="360" w:lineRule="auto"/>
        <w:jc w:val="both"/>
        <w:rPr>
          <w:rFonts w:ascii="Arial" w:hAnsi="Arial" w:cs="Arial"/>
          <w:sz w:val="24"/>
          <w:szCs w:val="24"/>
        </w:rPr>
      </w:pPr>
      <w:r w:rsidRPr="00E00F13">
        <w:rPr>
          <w:rFonts w:ascii="Arial" w:hAnsi="Arial" w:cs="Arial"/>
          <w:sz w:val="24"/>
          <w:szCs w:val="24"/>
        </w:rPr>
        <w:t>Para operativizar algunos de los decretos, el MVCT ha preparado documentos metodológicos tales como:</w:t>
      </w:r>
    </w:p>
    <w:p w14:paraId="7646912C" w14:textId="77777777" w:rsidR="006122F2" w:rsidRPr="00E00F13" w:rsidRDefault="006122F2" w:rsidP="005E33C6">
      <w:pPr>
        <w:numPr>
          <w:ilvl w:val="0"/>
          <w:numId w:val="4"/>
        </w:numPr>
        <w:spacing w:after="0" w:line="360" w:lineRule="auto"/>
        <w:jc w:val="both"/>
        <w:rPr>
          <w:rFonts w:ascii="Arial" w:hAnsi="Arial" w:cs="Arial"/>
          <w:sz w:val="24"/>
          <w:szCs w:val="24"/>
        </w:rPr>
      </w:pPr>
      <w:r w:rsidRPr="00E00F13">
        <w:rPr>
          <w:rFonts w:ascii="Arial" w:hAnsi="Arial" w:cs="Arial"/>
          <w:sz w:val="24"/>
          <w:szCs w:val="24"/>
        </w:rPr>
        <w:t xml:space="preserve">el </w:t>
      </w:r>
      <w:r w:rsidRPr="00E00F13">
        <w:rPr>
          <w:rFonts w:ascii="Arial" w:hAnsi="Arial" w:cs="Arial"/>
          <w:i/>
          <w:iCs/>
          <w:sz w:val="24"/>
          <w:szCs w:val="24"/>
        </w:rPr>
        <w:t>Manual Operativo del programa de Mejoramiento de Vivienda</w:t>
      </w:r>
      <w:r w:rsidRPr="00E00F13">
        <w:rPr>
          <w:rFonts w:ascii="Arial" w:hAnsi="Arial" w:cs="Arial"/>
          <w:sz w:val="24"/>
          <w:szCs w:val="24"/>
        </w:rPr>
        <w:t xml:space="preserve"> (Resolución 0466 del 22 de julio de 2025) y</w:t>
      </w:r>
    </w:p>
    <w:p w14:paraId="40F1A309" w14:textId="49E6B475" w:rsidR="009B4061" w:rsidRPr="00E00F13" w:rsidRDefault="006122F2" w:rsidP="005E33C6">
      <w:pPr>
        <w:numPr>
          <w:ilvl w:val="0"/>
          <w:numId w:val="4"/>
        </w:numPr>
        <w:spacing w:after="0" w:line="360" w:lineRule="auto"/>
        <w:jc w:val="both"/>
        <w:rPr>
          <w:rFonts w:ascii="Arial" w:hAnsi="Arial" w:cs="Arial"/>
          <w:sz w:val="24"/>
          <w:szCs w:val="24"/>
        </w:rPr>
      </w:pPr>
      <w:r w:rsidRPr="00E00F13">
        <w:rPr>
          <w:rFonts w:ascii="Arial" w:hAnsi="Arial" w:cs="Arial"/>
          <w:sz w:val="24"/>
          <w:szCs w:val="24"/>
        </w:rPr>
        <w:t xml:space="preserve">la </w:t>
      </w:r>
      <w:r w:rsidRPr="00E00F13">
        <w:rPr>
          <w:rFonts w:ascii="Arial" w:hAnsi="Arial" w:cs="Arial"/>
          <w:i/>
          <w:iCs/>
          <w:sz w:val="24"/>
          <w:szCs w:val="24"/>
        </w:rPr>
        <w:t>Guía para la Asistencia Técnica Integral: Lineamientos para la implementación de procesos de acompañamiento técnico y social en la oferta institucional del ministerio</w:t>
      </w:r>
      <w:r w:rsidRPr="00E00F13">
        <w:rPr>
          <w:rFonts w:ascii="Arial" w:hAnsi="Arial" w:cs="Arial"/>
          <w:sz w:val="24"/>
          <w:szCs w:val="24"/>
        </w:rPr>
        <w:t>.</w:t>
      </w:r>
    </w:p>
    <w:p w14:paraId="5FBFADAE" w14:textId="77777777" w:rsidR="00206FC8" w:rsidRPr="00E00F13" w:rsidRDefault="00206FC8" w:rsidP="1D068790">
      <w:pPr>
        <w:spacing w:after="0" w:line="360" w:lineRule="auto"/>
        <w:jc w:val="both"/>
        <w:rPr>
          <w:sz w:val="24"/>
          <w:szCs w:val="24"/>
        </w:rPr>
      </w:pPr>
    </w:p>
    <w:p w14:paraId="11DA410C" w14:textId="467F9768" w:rsidR="005417D9" w:rsidRPr="00E00F13" w:rsidRDefault="00206FC8" w:rsidP="1D068790">
      <w:pPr>
        <w:spacing w:after="0" w:line="360" w:lineRule="auto"/>
        <w:jc w:val="both"/>
        <w:rPr>
          <w:sz w:val="24"/>
          <w:szCs w:val="24"/>
        </w:rPr>
      </w:pPr>
      <w:r w:rsidRPr="00E00F13">
        <w:rPr>
          <w:sz w:val="24"/>
          <w:szCs w:val="24"/>
        </w:rPr>
        <w:t xml:space="preserve">Es importante tener en cuenta que a </w:t>
      </w:r>
      <w:r w:rsidR="00CF1ECE" w:rsidRPr="00E00F13">
        <w:rPr>
          <w:sz w:val="24"/>
          <w:szCs w:val="24"/>
        </w:rPr>
        <w:t xml:space="preserve">abril de </w:t>
      </w:r>
      <w:r w:rsidRPr="00E00F13">
        <w:rPr>
          <w:sz w:val="24"/>
          <w:szCs w:val="24"/>
        </w:rPr>
        <w:t>2026 el número de decretos expedidos asciende a dieciocho.</w:t>
      </w:r>
    </w:p>
    <w:p w14:paraId="4983E20F" w14:textId="77777777" w:rsidR="00206FC8" w:rsidRPr="00E00F13" w:rsidRDefault="00206FC8" w:rsidP="1D068790">
      <w:pPr>
        <w:spacing w:after="0" w:line="360" w:lineRule="auto"/>
        <w:jc w:val="both"/>
      </w:pPr>
    </w:p>
    <w:p w14:paraId="7CFE2347" w14:textId="1A7CAB3F" w:rsidR="005417D9" w:rsidRPr="00E00F13" w:rsidRDefault="00FD44FA" w:rsidP="005417D9">
      <w:pPr>
        <w:spacing w:after="0" w:line="360" w:lineRule="auto"/>
        <w:jc w:val="both"/>
        <w:rPr>
          <w:rFonts w:ascii="Arial" w:hAnsi="Arial" w:cs="Arial"/>
          <w:sz w:val="24"/>
          <w:szCs w:val="24"/>
        </w:rPr>
      </w:pPr>
      <w:bookmarkStart w:id="68" w:name="_Toc213341849"/>
      <w:bookmarkStart w:id="69" w:name="_Hlk213417133"/>
      <w:bookmarkStart w:id="70" w:name="_Hlk213421623"/>
      <w:bookmarkStart w:id="71" w:name="_Toc234242808"/>
      <w:r w:rsidRPr="00E00F13">
        <w:rPr>
          <w:rStyle w:val="Ttulo2Car"/>
          <w:color w:val="auto"/>
        </w:rPr>
        <w:lastRenderedPageBreak/>
        <w:t>2.4. V</w:t>
      </w:r>
      <w:r w:rsidR="005417D9" w:rsidRPr="00E00F13">
        <w:rPr>
          <w:rStyle w:val="Ttulo2Car"/>
          <w:color w:val="auto"/>
        </w:rPr>
        <w:t>ivienda. El Decreto 1470: Barrios y Veredas de Paz</w:t>
      </w:r>
      <w:bookmarkEnd w:id="68"/>
      <w:bookmarkEnd w:id="69"/>
      <w:bookmarkEnd w:id="70"/>
      <w:r w:rsidR="00D01D0F" w:rsidRPr="00E00F13">
        <w:rPr>
          <w:rStyle w:val="Ttulo2Car"/>
          <w:color w:val="auto"/>
        </w:rPr>
        <w:t xml:space="preserve"> y los planes de gestión del hábitat</w:t>
      </w:r>
      <w:bookmarkEnd w:id="71"/>
    </w:p>
    <w:p w14:paraId="1ED90C4A" w14:textId="6EF29D43" w:rsidR="00EB1EC4" w:rsidRPr="00E00F13" w:rsidRDefault="00EB1EC4" w:rsidP="00EB1EC4">
      <w:pPr>
        <w:spacing w:after="0" w:line="360" w:lineRule="auto"/>
        <w:jc w:val="both"/>
        <w:rPr>
          <w:rFonts w:ascii="Arial" w:hAnsi="Arial" w:cs="Arial"/>
          <w:sz w:val="24"/>
          <w:szCs w:val="24"/>
        </w:rPr>
      </w:pPr>
      <w:r w:rsidRPr="00E00F13">
        <w:rPr>
          <w:rFonts w:ascii="Arial" w:hAnsi="Arial" w:cs="Arial"/>
          <w:sz w:val="24"/>
          <w:szCs w:val="24"/>
        </w:rPr>
        <w:t xml:space="preserve">El Programa de Barrios y Veredas de Paz constituye </w:t>
      </w:r>
      <w:r w:rsidR="00300310" w:rsidRPr="00E00F13">
        <w:rPr>
          <w:rFonts w:ascii="Arial" w:hAnsi="Arial" w:cs="Arial"/>
          <w:sz w:val="24"/>
          <w:szCs w:val="24"/>
        </w:rPr>
        <w:t>uno</w:t>
      </w:r>
      <w:r w:rsidRPr="00E00F13">
        <w:rPr>
          <w:rFonts w:ascii="Arial" w:hAnsi="Arial" w:cs="Arial"/>
          <w:sz w:val="24"/>
          <w:szCs w:val="24"/>
        </w:rPr>
        <w:t xml:space="preserve"> de los cambios de paradigma del actual gobierno</w:t>
      </w:r>
      <w:r w:rsidR="00307A7D" w:rsidRPr="00E00F13">
        <w:rPr>
          <w:rFonts w:ascii="Arial" w:hAnsi="Arial" w:cs="Arial"/>
          <w:sz w:val="24"/>
          <w:szCs w:val="24"/>
        </w:rPr>
        <w:t xml:space="preserve"> hacia el hábitat biodiverso</w:t>
      </w:r>
      <w:r w:rsidRPr="00E00F13">
        <w:rPr>
          <w:rFonts w:ascii="Arial" w:hAnsi="Arial" w:cs="Arial"/>
          <w:sz w:val="24"/>
          <w:szCs w:val="24"/>
        </w:rPr>
        <w:t>. Con los ojos puestos en el pasado, en las poblaciones y territorios impactados por el conflicto armado y donde todavía persisten múltiples violencias, establece lineamientos para un futuro donde tenga lugar la reparación a las víctimas que habitan en bordes urbanos y ciudades refugio; el reconocimiento de memorias y trayectorias y; la restitución de derechos</w:t>
      </w:r>
      <w:r w:rsidR="0099250F" w:rsidRPr="00E00F13">
        <w:rPr>
          <w:rFonts w:ascii="Arial" w:hAnsi="Arial" w:cs="Arial"/>
          <w:sz w:val="24"/>
          <w:szCs w:val="24"/>
        </w:rPr>
        <w:t>, como propuesta</w:t>
      </w:r>
      <w:r w:rsidRPr="00E00F13">
        <w:rPr>
          <w:rFonts w:ascii="Arial" w:hAnsi="Arial" w:cs="Arial"/>
          <w:sz w:val="24"/>
          <w:szCs w:val="24"/>
        </w:rPr>
        <w:t xml:space="preserve"> </w:t>
      </w:r>
      <w:r w:rsidR="0099250F" w:rsidRPr="00E00F13">
        <w:rPr>
          <w:rFonts w:ascii="Arial" w:hAnsi="Arial" w:cs="Arial"/>
          <w:sz w:val="24"/>
          <w:szCs w:val="24"/>
        </w:rPr>
        <w:t>de construcción del hábitat biodiverso.</w:t>
      </w:r>
    </w:p>
    <w:p w14:paraId="3858004E" w14:textId="77777777" w:rsidR="00483F35" w:rsidRDefault="00483F35" w:rsidP="00483F35">
      <w:pPr>
        <w:spacing w:after="0" w:line="360" w:lineRule="auto"/>
        <w:jc w:val="both"/>
        <w:rPr>
          <w:rFonts w:ascii="Arial" w:hAnsi="Arial" w:cs="Arial"/>
          <w:sz w:val="24"/>
          <w:szCs w:val="24"/>
        </w:rPr>
      </w:pPr>
    </w:p>
    <w:p w14:paraId="6978A441" w14:textId="448B6468" w:rsidR="002875FD" w:rsidRPr="00E00F13" w:rsidRDefault="002875FD" w:rsidP="00483F35">
      <w:pPr>
        <w:spacing w:after="0" w:line="360" w:lineRule="auto"/>
        <w:jc w:val="both"/>
        <w:rPr>
          <w:rFonts w:ascii="Arial" w:hAnsi="Arial" w:cs="Arial"/>
          <w:sz w:val="24"/>
          <w:szCs w:val="24"/>
        </w:rPr>
      </w:pPr>
      <w:r w:rsidRPr="002875FD">
        <w:rPr>
          <w:rFonts w:ascii="Arial" w:hAnsi="Arial" w:cs="Arial"/>
          <w:noProof/>
          <w:sz w:val="24"/>
          <w:szCs w:val="24"/>
        </w:rPr>
        <w:drawing>
          <wp:inline distT="0" distB="0" distL="0" distR="0" wp14:anchorId="3297B250" wp14:editId="55809031">
            <wp:extent cx="5612130" cy="3156585"/>
            <wp:effectExtent l="0" t="0" r="1270" b="5715"/>
            <wp:docPr id="480302758" name="Imagen 2">
              <a:extLst xmlns:a="http://schemas.openxmlformats.org/drawingml/2006/main">
                <a:ext uri="{FF2B5EF4-FFF2-40B4-BE49-F238E27FC236}">
                  <a16:creationId xmlns:a16="http://schemas.microsoft.com/office/drawing/2014/main" id="{225FCA73-09C0-2C14-CE82-9FB7556433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225FCA73-09C0-2C14-CE82-9FB755643365}"/>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612130" cy="3156585"/>
                    </a:xfrm>
                    <a:prstGeom prst="rect">
                      <a:avLst/>
                    </a:prstGeom>
                  </pic:spPr>
                </pic:pic>
              </a:graphicData>
            </a:graphic>
          </wp:inline>
        </w:drawing>
      </w:r>
    </w:p>
    <w:p w14:paraId="23108468" w14:textId="77777777" w:rsidR="00483F35" w:rsidRPr="00E00F13" w:rsidRDefault="00483F35" w:rsidP="00483F35">
      <w:pPr>
        <w:spacing w:after="0" w:line="360" w:lineRule="auto"/>
        <w:jc w:val="both"/>
        <w:rPr>
          <w:rFonts w:ascii="Arial" w:hAnsi="Arial" w:cs="Arial"/>
          <w:sz w:val="24"/>
          <w:szCs w:val="24"/>
        </w:rPr>
      </w:pPr>
      <w:r w:rsidRPr="00E00F13">
        <w:rPr>
          <w:rFonts w:ascii="Arial" w:hAnsi="Arial" w:cs="Arial"/>
          <w:sz w:val="24"/>
          <w:szCs w:val="24"/>
        </w:rPr>
        <w:t>En términos de reconciliación social, Barrios de Paz es clave porque no solo aborda vivienda, sino también la gobernanza territorial y el empoderamiento comunitario como parte de la paz territorial.</w:t>
      </w:r>
    </w:p>
    <w:p w14:paraId="6C87FEB6" w14:textId="77777777" w:rsidR="00483F35" w:rsidRPr="00E00F13" w:rsidRDefault="00483F35" w:rsidP="00EB1EC4">
      <w:pPr>
        <w:spacing w:after="0" w:line="360" w:lineRule="auto"/>
        <w:jc w:val="both"/>
        <w:rPr>
          <w:rFonts w:ascii="Arial" w:hAnsi="Arial" w:cs="Arial"/>
          <w:sz w:val="24"/>
          <w:szCs w:val="24"/>
        </w:rPr>
      </w:pPr>
    </w:p>
    <w:p w14:paraId="622B7F12" w14:textId="476C1E10" w:rsidR="00FD1FA2" w:rsidRPr="00E00F13" w:rsidRDefault="00FD1FA2" w:rsidP="00FD1FA2">
      <w:pPr>
        <w:spacing w:after="0" w:line="360" w:lineRule="auto"/>
        <w:jc w:val="both"/>
        <w:rPr>
          <w:rFonts w:ascii="Arial" w:hAnsi="Arial" w:cs="Arial"/>
          <w:sz w:val="24"/>
          <w:szCs w:val="24"/>
        </w:rPr>
      </w:pPr>
      <w:r w:rsidRPr="00E00F13">
        <w:rPr>
          <w:rFonts w:ascii="Arial" w:hAnsi="Arial" w:cs="Arial"/>
          <w:sz w:val="24"/>
          <w:szCs w:val="24"/>
        </w:rPr>
        <w:t>El</w:t>
      </w:r>
      <w:r w:rsidR="00300310" w:rsidRPr="00E00F13">
        <w:rPr>
          <w:rFonts w:ascii="Arial" w:hAnsi="Arial" w:cs="Arial"/>
          <w:sz w:val="24"/>
          <w:szCs w:val="24"/>
        </w:rPr>
        <w:t xml:space="preserve"> Programa tiene su origen en el</w:t>
      </w:r>
      <w:r w:rsidRPr="00E00F13">
        <w:rPr>
          <w:rFonts w:ascii="Arial" w:hAnsi="Arial" w:cs="Arial"/>
          <w:sz w:val="24"/>
          <w:szCs w:val="24"/>
        </w:rPr>
        <w:t xml:space="preserve"> Decreto</w:t>
      </w:r>
      <w:r w:rsidR="00300310" w:rsidRPr="00E00F13">
        <w:rPr>
          <w:rFonts w:ascii="Arial" w:hAnsi="Arial" w:cs="Arial"/>
          <w:sz w:val="24"/>
          <w:szCs w:val="24"/>
        </w:rPr>
        <w:t xml:space="preserve"> 1470 de</w:t>
      </w:r>
      <w:r w:rsidRPr="00E00F13">
        <w:rPr>
          <w:rFonts w:ascii="Arial" w:hAnsi="Arial" w:cs="Arial"/>
          <w:sz w:val="24"/>
          <w:szCs w:val="24"/>
        </w:rPr>
        <w:t xml:space="preserve"> Barrios de Paz</w:t>
      </w:r>
      <w:r w:rsidR="00300310" w:rsidRPr="00E00F13">
        <w:rPr>
          <w:rFonts w:ascii="Arial" w:hAnsi="Arial" w:cs="Arial"/>
          <w:sz w:val="24"/>
          <w:szCs w:val="24"/>
        </w:rPr>
        <w:t>. Este decreto</w:t>
      </w:r>
      <w:r w:rsidRPr="00E00F13">
        <w:rPr>
          <w:rFonts w:ascii="Arial" w:hAnsi="Arial" w:cs="Arial"/>
          <w:sz w:val="24"/>
          <w:szCs w:val="24"/>
        </w:rPr>
        <w:t xml:space="preserve"> representa un hito institucional en Colombia, porque establece las reglas y principios que dan vida a una política de hábitat integral y biodiverso, construida desde y con las comunidades. Es una invitación activa a la comunidad a sumarse a una apuesta colectiva de transformación territorial para la reconciliación, la reparación y el </w:t>
      </w:r>
      <w:r w:rsidRPr="00E00F13">
        <w:rPr>
          <w:rFonts w:ascii="Arial" w:hAnsi="Arial" w:cs="Arial"/>
          <w:sz w:val="24"/>
          <w:szCs w:val="24"/>
        </w:rPr>
        <w:lastRenderedPageBreak/>
        <w:t xml:space="preserve">desarrollo justo. Apuesta por reconocer a quienes han resistido, creado y sostenido territorios en medio de la precariedad. Esta política valora los procesos sociales como cimientos de una paz duradera, integrándolos al Estado y convocándolos a sumar capacidades técnicas, financieras y políticas. </w:t>
      </w:r>
    </w:p>
    <w:p w14:paraId="39B6BE11" w14:textId="77777777" w:rsidR="00FD1FA2" w:rsidRPr="00E00F13" w:rsidRDefault="00FD1FA2" w:rsidP="00FD1FA2">
      <w:pPr>
        <w:spacing w:after="0" w:line="360" w:lineRule="auto"/>
        <w:jc w:val="both"/>
        <w:rPr>
          <w:rFonts w:ascii="Arial" w:hAnsi="Arial" w:cs="Arial"/>
          <w:sz w:val="24"/>
          <w:szCs w:val="24"/>
        </w:rPr>
      </w:pPr>
    </w:p>
    <w:p w14:paraId="72F73CFA" w14:textId="28EF560C" w:rsidR="00FD1FA2" w:rsidRPr="00E00F13" w:rsidRDefault="00FD1FA2" w:rsidP="00FD1FA2">
      <w:pPr>
        <w:spacing w:after="0" w:line="360" w:lineRule="auto"/>
        <w:jc w:val="both"/>
        <w:rPr>
          <w:rFonts w:ascii="Arial" w:hAnsi="Arial" w:cs="Arial"/>
          <w:sz w:val="24"/>
          <w:szCs w:val="24"/>
        </w:rPr>
      </w:pPr>
      <w:r w:rsidRPr="00E00F13">
        <w:rPr>
          <w:rFonts w:ascii="Arial" w:hAnsi="Arial" w:cs="Arial"/>
          <w:sz w:val="24"/>
          <w:szCs w:val="24"/>
        </w:rPr>
        <w:t>El Programa de Barrios de Paz integra el mandato del programa de gobierno y lo expresado con posterioridad en las Bases del Plan y en el Plan Nacional de Desarrollo «Colombia Potencia Mundial de la Vida».</w:t>
      </w:r>
    </w:p>
    <w:p w14:paraId="00C4D36B" w14:textId="77777777" w:rsidR="00FD1FA2" w:rsidRPr="00E00F13" w:rsidRDefault="00FD1FA2" w:rsidP="00FD1FA2">
      <w:pPr>
        <w:spacing w:after="0" w:line="360" w:lineRule="auto"/>
        <w:jc w:val="both"/>
        <w:rPr>
          <w:rFonts w:ascii="Arial" w:hAnsi="Arial" w:cs="Arial"/>
          <w:sz w:val="24"/>
          <w:szCs w:val="24"/>
        </w:rPr>
      </w:pPr>
    </w:p>
    <w:p w14:paraId="127D14BF" w14:textId="60D0CBD6" w:rsidR="00EB1EC4" w:rsidRPr="00E00F13" w:rsidRDefault="00EB1EC4" w:rsidP="00EB1EC4">
      <w:pPr>
        <w:spacing w:after="0" w:line="360" w:lineRule="auto"/>
        <w:jc w:val="both"/>
        <w:rPr>
          <w:rFonts w:ascii="Arial" w:hAnsi="Arial" w:cs="Arial"/>
          <w:sz w:val="24"/>
          <w:szCs w:val="24"/>
        </w:rPr>
      </w:pPr>
      <w:r w:rsidRPr="00E00F13">
        <w:rPr>
          <w:rFonts w:ascii="Arial" w:hAnsi="Arial" w:cs="Arial"/>
          <w:sz w:val="24"/>
          <w:szCs w:val="24"/>
        </w:rPr>
        <w:t xml:space="preserve">Mejorar Integralmente el hábitat desde el Hábitat Biodiverso significa asumir el enfoque de </w:t>
      </w:r>
      <w:r w:rsidR="00440C29" w:rsidRPr="00E00F13">
        <w:rPr>
          <w:rFonts w:ascii="Arial" w:hAnsi="Arial" w:cs="Arial"/>
          <w:sz w:val="24"/>
          <w:szCs w:val="24"/>
        </w:rPr>
        <w:t>p</w:t>
      </w:r>
      <w:r w:rsidRPr="00E00F13">
        <w:rPr>
          <w:rFonts w:ascii="Arial" w:hAnsi="Arial" w:cs="Arial"/>
          <w:sz w:val="24"/>
          <w:szCs w:val="24"/>
        </w:rPr>
        <w:t xml:space="preserve">az como </w:t>
      </w:r>
      <w:r w:rsidR="00FD1FA2" w:rsidRPr="00E00F13">
        <w:rPr>
          <w:rFonts w:ascii="Arial" w:hAnsi="Arial" w:cs="Arial"/>
          <w:sz w:val="24"/>
          <w:szCs w:val="24"/>
        </w:rPr>
        <w:t>foco</w:t>
      </w:r>
      <w:r w:rsidRPr="00E00F13">
        <w:rPr>
          <w:rFonts w:ascii="Arial" w:hAnsi="Arial" w:cs="Arial"/>
          <w:sz w:val="24"/>
          <w:szCs w:val="24"/>
        </w:rPr>
        <w:t xml:space="preserve"> para la priorización de territorios en donde </w:t>
      </w:r>
      <w:r w:rsidR="00440C29" w:rsidRPr="00E00F13">
        <w:rPr>
          <w:rFonts w:ascii="Arial" w:hAnsi="Arial" w:cs="Arial"/>
          <w:sz w:val="24"/>
          <w:szCs w:val="24"/>
        </w:rPr>
        <w:t xml:space="preserve">se fortalezcan las </w:t>
      </w:r>
      <w:r w:rsidRPr="00E00F13">
        <w:rPr>
          <w:rFonts w:ascii="Arial" w:hAnsi="Arial" w:cs="Arial"/>
          <w:sz w:val="24"/>
          <w:szCs w:val="24"/>
        </w:rPr>
        <w:t>organizaciones, constru</w:t>
      </w:r>
      <w:r w:rsidR="00440C29" w:rsidRPr="00E00F13">
        <w:rPr>
          <w:rFonts w:ascii="Arial" w:hAnsi="Arial" w:cs="Arial"/>
          <w:sz w:val="24"/>
          <w:szCs w:val="24"/>
        </w:rPr>
        <w:t>yan</w:t>
      </w:r>
      <w:r w:rsidRPr="00E00F13">
        <w:rPr>
          <w:rFonts w:ascii="Arial" w:hAnsi="Arial" w:cs="Arial"/>
          <w:sz w:val="24"/>
          <w:szCs w:val="24"/>
        </w:rPr>
        <w:t xml:space="preserve"> Planes de Gestión del Hábitat y produ</w:t>
      </w:r>
      <w:r w:rsidR="00440C29" w:rsidRPr="00E00F13">
        <w:rPr>
          <w:rFonts w:ascii="Arial" w:hAnsi="Arial" w:cs="Arial"/>
          <w:sz w:val="24"/>
          <w:szCs w:val="24"/>
        </w:rPr>
        <w:t>zcan</w:t>
      </w:r>
      <w:r w:rsidRPr="00E00F13">
        <w:rPr>
          <w:rFonts w:ascii="Arial" w:hAnsi="Arial" w:cs="Arial"/>
          <w:sz w:val="24"/>
          <w:szCs w:val="24"/>
        </w:rPr>
        <w:t xml:space="preserve"> órdenes territoriales, sociales y populares para la vida donde una vez </w:t>
      </w:r>
      <w:r w:rsidR="00440C29" w:rsidRPr="00E00F13">
        <w:rPr>
          <w:rFonts w:ascii="Arial" w:hAnsi="Arial" w:cs="Arial"/>
          <w:sz w:val="24"/>
          <w:szCs w:val="24"/>
        </w:rPr>
        <w:t>lo hizo</w:t>
      </w:r>
      <w:r w:rsidRPr="00E00F13">
        <w:rPr>
          <w:rFonts w:ascii="Arial" w:hAnsi="Arial" w:cs="Arial"/>
          <w:sz w:val="24"/>
          <w:szCs w:val="24"/>
        </w:rPr>
        <w:t xml:space="preserve"> la guerra.  </w:t>
      </w:r>
    </w:p>
    <w:p w14:paraId="0C1F817A" w14:textId="77777777" w:rsidR="00EB1EC4" w:rsidRPr="00E00F13" w:rsidRDefault="00EB1EC4" w:rsidP="005417D9">
      <w:pPr>
        <w:spacing w:after="0" w:line="360" w:lineRule="auto"/>
        <w:jc w:val="both"/>
        <w:rPr>
          <w:rFonts w:ascii="Arial" w:hAnsi="Arial" w:cs="Arial"/>
          <w:sz w:val="24"/>
          <w:szCs w:val="24"/>
        </w:rPr>
      </w:pPr>
    </w:p>
    <w:p w14:paraId="51F4C17E" w14:textId="3CE0670D" w:rsidR="005417D9" w:rsidRPr="00E00F13" w:rsidRDefault="005417D9" w:rsidP="005417D9">
      <w:pPr>
        <w:spacing w:after="0" w:line="360" w:lineRule="auto"/>
        <w:jc w:val="both"/>
        <w:rPr>
          <w:rFonts w:ascii="Arial" w:hAnsi="Arial" w:cs="Arial"/>
          <w:sz w:val="24"/>
          <w:szCs w:val="24"/>
        </w:rPr>
      </w:pPr>
      <w:r w:rsidRPr="00E00F13">
        <w:rPr>
          <w:rFonts w:ascii="Arial" w:hAnsi="Arial" w:cs="Arial"/>
          <w:sz w:val="24"/>
          <w:szCs w:val="24"/>
        </w:rPr>
        <w:t xml:space="preserve">Del proceso de reglamentación expedido por este gobierno, se destacan como logros significativos decretos cuyo propósito ha sido darle sustento y operatividad al concepto estratégico de </w:t>
      </w:r>
      <w:r w:rsidR="00440C29" w:rsidRPr="00E00F13">
        <w:rPr>
          <w:rFonts w:ascii="Arial" w:hAnsi="Arial" w:cs="Arial"/>
          <w:sz w:val="24"/>
          <w:szCs w:val="24"/>
        </w:rPr>
        <w:t>H</w:t>
      </w:r>
      <w:r w:rsidRPr="00E00F13">
        <w:rPr>
          <w:rFonts w:ascii="Arial" w:hAnsi="Arial" w:cs="Arial"/>
          <w:sz w:val="24"/>
          <w:szCs w:val="24"/>
        </w:rPr>
        <w:t xml:space="preserve">ábitat </w:t>
      </w:r>
      <w:r w:rsidR="00440C29" w:rsidRPr="00E00F13">
        <w:rPr>
          <w:rFonts w:ascii="Arial" w:hAnsi="Arial" w:cs="Arial"/>
          <w:sz w:val="24"/>
          <w:szCs w:val="24"/>
        </w:rPr>
        <w:t>B</w:t>
      </w:r>
      <w:r w:rsidRPr="00E00F13">
        <w:rPr>
          <w:rFonts w:ascii="Arial" w:hAnsi="Arial" w:cs="Arial"/>
          <w:sz w:val="24"/>
          <w:szCs w:val="24"/>
        </w:rPr>
        <w:t xml:space="preserve">iodiverso. </w:t>
      </w:r>
      <w:r w:rsidR="00440C29" w:rsidRPr="00E00F13">
        <w:rPr>
          <w:rFonts w:ascii="Arial" w:hAnsi="Arial" w:cs="Arial"/>
          <w:sz w:val="24"/>
          <w:szCs w:val="24"/>
        </w:rPr>
        <w:t>Algunos de ellos son l</w:t>
      </w:r>
      <w:r w:rsidRPr="00E00F13">
        <w:rPr>
          <w:rFonts w:ascii="Arial" w:hAnsi="Arial" w:cs="Arial"/>
          <w:sz w:val="24"/>
          <w:szCs w:val="24"/>
        </w:rPr>
        <w:t>os decretos 1381 de 2024</w:t>
      </w:r>
      <w:r w:rsidR="00440C29" w:rsidRPr="00E00F13">
        <w:rPr>
          <w:rFonts w:ascii="Arial" w:hAnsi="Arial" w:cs="Arial"/>
          <w:sz w:val="24"/>
          <w:szCs w:val="24"/>
        </w:rPr>
        <w:t xml:space="preserve">, </w:t>
      </w:r>
      <w:r w:rsidRPr="00E00F13">
        <w:rPr>
          <w:rFonts w:ascii="Arial" w:hAnsi="Arial" w:cs="Arial"/>
          <w:sz w:val="24"/>
          <w:szCs w:val="24"/>
        </w:rPr>
        <w:t>que adopta medidas afirmativas sobre Recicladores de Oficio; el 1494 de 2024 que crea la línea de crédito para el fortalecimiento de Viviendas de Interés Social (VIS) y Viviendas de Interés Priorizado (VIP); el 413 de 2025 sobre el subsidio de vivienda en modalidad de mejoramiento; y el 1470 de 2024 que regula el Programa Barrios y Veredas de Paz que reglamenta el artículo 298 del Plan Nacional de Desarrollo 2022-2026.</w:t>
      </w:r>
    </w:p>
    <w:p w14:paraId="6DF2AC6B" w14:textId="77777777" w:rsidR="005417D9" w:rsidRPr="00E00F13" w:rsidRDefault="005417D9" w:rsidP="005417D9">
      <w:pPr>
        <w:spacing w:after="0" w:line="360" w:lineRule="auto"/>
        <w:jc w:val="both"/>
        <w:rPr>
          <w:rFonts w:ascii="Arial" w:hAnsi="Arial" w:cs="Arial"/>
          <w:sz w:val="24"/>
          <w:szCs w:val="24"/>
        </w:rPr>
      </w:pPr>
    </w:p>
    <w:p w14:paraId="11CD897F" w14:textId="3E2ADD88" w:rsidR="005417D9" w:rsidRPr="00E00F13" w:rsidRDefault="008F15BF" w:rsidP="005417D9">
      <w:pPr>
        <w:spacing w:after="0" w:line="360" w:lineRule="auto"/>
        <w:jc w:val="both"/>
        <w:rPr>
          <w:rFonts w:ascii="Arial" w:hAnsi="Arial" w:cs="Arial"/>
          <w:sz w:val="24"/>
          <w:szCs w:val="24"/>
        </w:rPr>
      </w:pPr>
      <w:r w:rsidRPr="00E00F13">
        <w:rPr>
          <w:rFonts w:ascii="Arial" w:hAnsi="Arial" w:cs="Arial"/>
          <w:sz w:val="24"/>
          <w:szCs w:val="24"/>
        </w:rPr>
        <w:t>El principal objetivo del Decreto 1470 de 2024 que reglamenta el Programa Barrios de Paz es el reconocimiento de los miles de barrios construidos popularmente por comunidades impactadas durante décadas por el conflicto armado y sus persistencias.</w:t>
      </w:r>
      <w:r w:rsidR="005417D9" w:rsidRPr="00E00F13">
        <w:rPr>
          <w:rFonts w:ascii="Arial" w:hAnsi="Arial" w:cs="Arial"/>
          <w:sz w:val="24"/>
          <w:szCs w:val="24"/>
        </w:rPr>
        <w:t xml:space="preserve"> </w:t>
      </w:r>
      <w:r w:rsidRPr="00E00F13">
        <w:rPr>
          <w:rFonts w:ascii="Arial" w:hAnsi="Arial" w:cs="Arial"/>
          <w:sz w:val="24"/>
          <w:szCs w:val="24"/>
        </w:rPr>
        <w:t>T</w:t>
      </w:r>
      <w:r w:rsidR="005417D9" w:rsidRPr="00E00F13">
        <w:rPr>
          <w:rFonts w:ascii="Arial" w:hAnsi="Arial" w:cs="Arial"/>
          <w:sz w:val="24"/>
          <w:szCs w:val="24"/>
        </w:rPr>
        <w:t xml:space="preserve">iene como objetivo «promover intervenciones que, mediante el aumento de la presencia y articulación institucional, generen pactos y acuerdos impulsores de procesos de reconciliación que impacten favorablemente en la construcción de paz territorial, fortaleciendo y empoderando a las organizaciones </w:t>
      </w:r>
      <w:r w:rsidR="005417D9" w:rsidRPr="00E00F13">
        <w:rPr>
          <w:rFonts w:ascii="Arial" w:hAnsi="Arial" w:cs="Arial"/>
          <w:sz w:val="24"/>
          <w:szCs w:val="24"/>
        </w:rPr>
        <w:lastRenderedPageBreak/>
        <w:t xml:space="preserve">de base y a los habitantes de los espacios urbanos y rurales del territorio nacional» (artículo 2.2.4.4.1.2). Partiendo del concepto de hábitat integral para la paz territorial, las intervenciones buscan que los territorios sean sostenibles, equitativos y equilibrados, «(…) garantizando que los procesos respondan a las necesidades sociales, económicas y culturales de la comunidad» (artículo 2.2.4.4.1.2). </w:t>
      </w:r>
    </w:p>
    <w:p w14:paraId="2E64DF25" w14:textId="77777777" w:rsidR="008F15BF" w:rsidRPr="00E00F13" w:rsidRDefault="008F15BF" w:rsidP="008F15BF">
      <w:pPr>
        <w:spacing w:after="0" w:line="360" w:lineRule="auto"/>
        <w:jc w:val="both"/>
        <w:rPr>
          <w:rFonts w:ascii="Arial" w:hAnsi="Arial" w:cs="Arial"/>
          <w:sz w:val="24"/>
          <w:szCs w:val="24"/>
        </w:rPr>
      </w:pPr>
    </w:p>
    <w:p w14:paraId="13D4B090" w14:textId="4DC94312" w:rsidR="008F15BF" w:rsidRPr="00E00F13" w:rsidRDefault="008F15BF" w:rsidP="008F15BF">
      <w:pPr>
        <w:spacing w:after="0" w:line="360" w:lineRule="auto"/>
        <w:jc w:val="both"/>
        <w:rPr>
          <w:rFonts w:ascii="Arial" w:hAnsi="Arial" w:cs="Arial"/>
          <w:sz w:val="24"/>
          <w:szCs w:val="24"/>
        </w:rPr>
      </w:pPr>
      <w:r w:rsidRPr="00E00F13">
        <w:rPr>
          <w:rFonts w:ascii="Arial" w:hAnsi="Arial" w:cs="Arial"/>
          <w:sz w:val="24"/>
          <w:szCs w:val="24"/>
        </w:rPr>
        <w:t xml:space="preserve">Asimismo, el decreto establece cambios estructurales en la concepción de la vivienda, el hábitat y el ordenamiento territorial en Colombia y avanza en la transformación de los paradigmas que hasta ahora regían los problemas de la vivienda y el hábitat. Los enfoques que rigen la política, como el de ordenamiento territorial alrededor del agua (OTAA), el enfoque biodiverso y biocultural y el enfoque de paz con la naturaleza, ponen en el centro la relación entre las dinámicas de ordenamiento territorial, el reconocimiento, disfrute y cuidado de la naturaleza y las comunidades con sus prácticas y formas de habitar. Bajo este marco, el acceso al agua, el saneamiento, las acciones de basura cero, la construcción y mejoramiento de vivienda, los procesos de legalización, titulación, de autoconstrucción, autogestión o las soluciones basadas en la naturaleza dejan de ser acciones dispersas y desarticuladas. </w:t>
      </w:r>
    </w:p>
    <w:p w14:paraId="15209419" w14:textId="77777777" w:rsidR="005417D9" w:rsidRPr="00E00F13" w:rsidRDefault="005417D9" w:rsidP="005417D9">
      <w:pPr>
        <w:spacing w:after="0" w:line="360" w:lineRule="auto"/>
        <w:jc w:val="both"/>
        <w:rPr>
          <w:rFonts w:ascii="Arial" w:hAnsi="Arial" w:cs="Arial"/>
          <w:sz w:val="24"/>
          <w:szCs w:val="24"/>
        </w:rPr>
      </w:pPr>
    </w:p>
    <w:p w14:paraId="1DDE3716" w14:textId="77777777" w:rsidR="005417D9" w:rsidRPr="00E00F13" w:rsidRDefault="005417D9" w:rsidP="005417D9">
      <w:pPr>
        <w:spacing w:after="0" w:line="360" w:lineRule="auto"/>
        <w:jc w:val="both"/>
        <w:rPr>
          <w:rFonts w:ascii="Arial" w:hAnsi="Arial" w:cs="Arial"/>
          <w:sz w:val="24"/>
          <w:szCs w:val="24"/>
        </w:rPr>
      </w:pPr>
      <w:r w:rsidRPr="00E00F13">
        <w:rPr>
          <w:rFonts w:ascii="Arial" w:hAnsi="Arial" w:cs="Arial"/>
          <w:sz w:val="24"/>
          <w:szCs w:val="24"/>
        </w:rPr>
        <w:t>Este decreto se enmarca en lo establecido en la Ley 2294 de 2023 del Plan Nacional de Desarrollo 2022-2026 «Colombia, potencia mundial de la vida», que señala que «(…) se promoverá el acceso a soluciones habitacionales y entornos dignos, que consideren enfoques diferenciales y prioricen los territorios históricamente marginados y la ciudad de origen informal, para su transformación en territorios de paz». Y es el Ministerio de Vivienda, Ciudad y Territorio quien se encargará de articular a las diferentes entidades del Estado de orden nacional para que los territorios accedan al Programa Barrios y Veredas de Paz (artículo 2.2.4.4.3.1 del Decreto 1470).</w:t>
      </w:r>
    </w:p>
    <w:p w14:paraId="70F3FCB7" w14:textId="77777777" w:rsidR="005417D9" w:rsidRPr="00E00F13" w:rsidRDefault="005417D9" w:rsidP="005417D9">
      <w:pPr>
        <w:spacing w:after="0" w:line="360" w:lineRule="auto"/>
        <w:ind w:left="360"/>
        <w:jc w:val="both"/>
        <w:rPr>
          <w:rFonts w:ascii="Arial" w:hAnsi="Arial" w:cs="Arial"/>
          <w:sz w:val="24"/>
          <w:szCs w:val="24"/>
        </w:rPr>
      </w:pPr>
    </w:p>
    <w:p w14:paraId="5B32DB62" w14:textId="77777777" w:rsidR="005417D9" w:rsidRPr="00E00F13" w:rsidRDefault="005417D9" w:rsidP="005417D9">
      <w:pPr>
        <w:spacing w:after="0" w:line="360" w:lineRule="auto"/>
        <w:jc w:val="both"/>
        <w:rPr>
          <w:rFonts w:ascii="Arial" w:hAnsi="Arial" w:cs="Arial"/>
          <w:sz w:val="24"/>
          <w:szCs w:val="24"/>
        </w:rPr>
      </w:pPr>
      <w:r w:rsidRPr="00E00F13">
        <w:rPr>
          <w:rFonts w:ascii="Arial" w:hAnsi="Arial" w:cs="Arial"/>
          <w:sz w:val="24"/>
          <w:szCs w:val="24"/>
        </w:rPr>
        <w:t xml:space="preserve">El parágrafo 1 del artículo 2.2.4.4.1.1 señala que «Cualquier asentamiento humano podrá ser objeto del Programa Barrios de Paz, sin importar si se encuentra en suelo </w:t>
      </w:r>
      <w:r w:rsidRPr="00E00F13">
        <w:rPr>
          <w:rFonts w:ascii="Arial" w:hAnsi="Arial" w:cs="Arial"/>
          <w:sz w:val="24"/>
          <w:szCs w:val="24"/>
        </w:rPr>
        <w:lastRenderedPageBreak/>
        <w:t>rural, urbano o de expansión urbana, el tratamiento urbanístico al que se encuentre sometido o su origen formal o informal (…) siempre que cumpla con los requisitos del presente decreto y se formule el Plan de Gestión del Hábitat como hoja de ruta de las intervenciones.</w:t>
      </w:r>
    </w:p>
    <w:p w14:paraId="491735D0" w14:textId="77777777" w:rsidR="005417D9" w:rsidRPr="00E00F13" w:rsidRDefault="005417D9" w:rsidP="005417D9">
      <w:pPr>
        <w:spacing w:after="0" w:line="360" w:lineRule="auto"/>
        <w:jc w:val="both"/>
        <w:rPr>
          <w:rFonts w:ascii="Arial" w:hAnsi="Arial" w:cs="Arial"/>
          <w:sz w:val="24"/>
          <w:szCs w:val="24"/>
        </w:rPr>
      </w:pPr>
    </w:p>
    <w:p w14:paraId="1A784608" w14:textId="4249BE90" w:rsidR="005417D9" w:rsidRPr="00E00F13" w:rsidRDefault="005417D9" w:rsidP="005417D9">
      <w:pPr>
        <w:spacing w:after="0" w:line="360" w:lineRule="auto"/>
        <w:jc w:val="both"/>
        <w:rPr>
          <w:rFonts w:ascii="Arial" w:hAnsi="Arial" w:cs="Arial"/>
          <w:sz w:val="24"/>
          <w:szCs w:val="24"/>
        </w:rPr>
      </w:pPr>
      <w:r w:rsidRPr="00E00F13">
        <w:rPr>
          <w:rFonts w:ascii="Arial" w:hAnsi="Arial" w:cs="Arial"/>
          <w:sz w:val="24"/>
          <w:szCs w:val="24"/>
        </w:rPr>
        <w:t>A</w:t>
      </w:r>
      <w:r w:rsidR="008F15BF" w:rsidRPr="00E00F13">
        <w:rPr>
          <w:rFonts w:ascii="Arial" w:hAnsi="Arial" w:cs="Arial"/>
          <w:sz w:val="24"/>
          <w:szCs w:val="24"/>
        </w:rPr>
        <w:t>sí, a</w:t>
      </w:r>
      <w:r w:rsidRPr="00E00F13">
        <w:rPr>
          <w:rFonts w:ascii="Arial" w:hAnsi="Arial" w:cs="Arial"/>
          <w:sz w:val="24"/>
          <w:szCs w:val="24"/>
        </w:rPr>
        <w:t>suntos como la legalización urbanística, el reasentamiento de población en zonas de riesgo, el mejoramiento de la vivienda, la titulación, vivienda nueva, vivienda usada, reconocimiento de edificaciones, el eventual no trámite de licencias de construcción y, en general, toda la política, se puede desarrollar desde el Decreto 1470.</w:t>
      </w:r>
    </w:p>
    <w:p w14:paraId="13234FBD" w14:textId="77777777" w:rsidR="005417D9" w:rsidRPr="00E00F13" w:rsidRDefault="005417D9" w:rsidP="005417D9">
      <w:pPr>
        <w:spacing w:after="0" w:line="360" w:lineRule="auto"/>
        <w:jc w:val="both"/>
        <w:rPr>
          <w:rFonts w:ascii="Arial" w:hAnsi="Arial" w:cs="Arial"/>
          <w:sz w:val="24"/>
          <w:szCs w:val="24"/>
        </w:rPr>
      </w:pPr>
    </w:p>
    <w:p w14:paraId="4CB6CD4B" w14:textId="77777777" w:rsidR="005417D9" w:rsidRPr="00E00F13" w:rsidRDefault="005417D9" w:rsidP="005417D9">
      <w:pPr>
        <w:spacing w:after="0" w:line="360" w:lineRule="auto"/>
        <w:jc w:val="both"/>
        <w:rPr>
          <w:rFonts w:ascii="Arial" w:hAnsi="Arial" w:cs="Arial"/>
          <w:sz w:val="24"/>
          <w:szCs w:val="24"/>
        </w:rPr>
      </w:pPr>
      <w:r w:rsidRPr="00E00F13">
        <w:rPr>
          <w:rFonts w:ascii="Arial" w:hAnsi="Arial" w:cs="Arial"/>
          <w:sz w:val="24"/>
          <w:szCs w:val="24"/>
        </w:rPr>
        <w:t xml:space="preserve">El Plan de Gestión del Hábitat «(…) es el instrumento de planificación, gestión y financiación, mediante el cual se precisan las metas y el alcance de las intervenciones que se realizarán en los asentamientos objeto del Programa Barrios de Paz, así como sus estrategias de ejecución y financiamiento» (artículo 2.2.4.4.2.1). Por lo cual se concibe que deberá hacerse un Plan de Gestión del Hábitat por cada asentamiento que participe del Programa Barrios y Veredas de Paz. Y cada plan deberá contemplar su articulación con los otros instrumentos de planeación que existan en el territorio, como los Planes Colectivos de Vida, Manuales de Construcción de Comunidad y Convivencia y planes de ordenamiento territorial, así como con las normas urbanísticas.  </w:t>
      </w:r>
    </w:p>
    <w:p w14:paraId="1BEE829A" w14:textId="77777777" w:rsidR="005417D9" w:rsidRPr="00E00F13" w:rsidRDefault="005417D9" w:rsidP="005417D9">
      <w:pPr>
        <w:spacing w:after="0" w:line="360" w:lineRule="auto"/>
        <w:jc w:val="both"/>
        <w:rPr>
          <w:rFonts w:ascii="Arial" w:hAnsi="Arial" w:cs="Arial"/>
          <w:sz w:val="24"/>
          <w:szCs w:val="24"/>
        </w:rPr>
      </w:pPr>
    </w:p>
    <w:p w14:paraId="281504F2" w14:textId="77777777" w:rsidR="005417D9" w:rsidRPr="00E00F13" w:rsidRDefault="005417D9" w:rsidP="005417D9">
      <w:pPr>
        <w:spacing w:after="0" w:line="360" w:lineRule="auto"/>
        <w:jc w:val="both"/>
        <w:rPr>
          <w:rFonts w:ascii="Arial" w:hAnsi="Arial" w:cs="Arial"/>
          <w:sz w:val="24"/>
          <w:szCs w:val="24"/>
        </w:rPr>
      </w:pPr>
      <w:r w:rsidRPr="00E00F13">
        <w:rPr>
          <w:rFonts w:ascii="Arial" w:hAnsi="Arial" w:cs="Arial"/>
          <w:sz w:val="24"/>
          <w:szCs w:val="24"/>
        </w:rPr>
        <w:t xml:space="preserve">Para el diseño del Plan de Gestión del Hábitat deberá hacerse previamente la caracterización del asentamiento en términos físicos, espaciales y </w:t>
      </w:r>
      <w:proofErr w:type="spellStart"/>
      <w:r w:rsidRPr="00E00F13">
        <w:rPr>
          <w:rFonts w:ascii="Arial" w:hAnsi="Arial" w:cs="Arial"/>
          <w:sz w:val="24"/>
          <w:szCs w:val="24"/>
        </w:rPr>
        <w:t>étnicoculturales</w:t>
      </w:r>
      <w:proofErr w:type="spellEnd"/>
      <w:r w:rsidRPr="00E00F13">
        <w:rPr>
          <w:rFonts w:ascii="Arial" w:hAnsi="Arial" w:cs="Arial"/>
          <w:sz w:val="24"/>
          <w:szCs w:val="24"/>
        </w:rPr>
        <w:t>. En efecto, según el artículo 2.2.4.4.2.4. del Decreto 1470, se determinarán «(…) las condiciones de las viviendas y los entornos urbanísticos, con el objeto de verificar las deficiencias urbanísticas que se presentan en materia de servicios públicos, infraestructura vial local, espacio público y equipamientos, entre otros aspectos. Asimismo, se realizará una primera valoración general sobre las problemáticas sociales y, especialmente, de convivencia que se experimentan en el asentamiento».</w:t>
      </w:r>
    </w:p>
    <w:p w14:paraId="496B77D4" w14:textId="77777777" w:rsidR="005417D9" w:rsidRPr="00E00F13" w:rsidRDefault="005417D9" w:rsidP="005417D9">
      <w:pPr>
        <w:spacing w:after="0" w:line="360" w:lineRule="auto"/>
        <w:jc w:val="both"/>
        <w:rPr>
          <w:rFonts w:ascii="Arial" w:hAnsi="Arial" w:cs="Arial"/>
          <w:sz w:val="24"/>
          <w:szCs w:val="24"/>
        </w:rPr>
      </w:pPr>
    </w:p>
    <w:p w14:paraId="3AE0D788" w14:textId="77777777" w:rsidR="005417D9" w:rsidRPr="00E00F13" w:rsidRDefault="005417D9" w:rsidP="005417D9">
      <w:pPr>
        <w:spacing w:after="0" w:line="360" w:lineRule="auto"/>
        <w:jc w:val="both"/>
        <w:rPr>
          <w:rFonts w:ascii="Arial" w:hAnsi="Arial" w:cs="Arial"/>
          <w:sz w:val="24"/>
          <w:szCs w:val="24"/>
        </w:rPr>
      </w:pPr>
      <w:r w:rsidRPr="00E00F13">
        <w:rPr>
          <w:rFonts w:ascii="Arial" w:hAnsi="Arial" w:cs="Arial"/>
          <w:sz w:val="24"/>
          <w:szCs w:val="24"/>
        </w:rPr>
        <w:t>Por su parte, para la señalada articulación interinstitucional del Ministerio de Vivienda, Ciudad y Territorio, creará la Mesa Nacional para el desarrollo del programa Barrios de Paz, que será la instancia de coordinación entre entidades del sector central y las entidades territoriales, En esta mesa se definirán y priorizarán los componentes y proyectos a financiar en el marco del Programa Barrios de Paz, conforme a las solicitudes de las entidades territoriales.</w:t>
      </w:r>
    </w:p>
    <w:p w14:paraId="5EB95C3D" w14:textId="77777777" w:rsidR="005417D9" w:rsidRPr="00E00F13" w:rsidRDefault="005417D9" w:rsidP="005417D9">
      <w:pPr>
        <w:spacing w:after="0" w:line="360" w:lineRule="auto"/>
        <w:jc w:val="both"/>
        <w:rPr>
          <w:rFonts w:ascii="Arial" w:hAnsi="Arial" w:cs="Arial"/>
          <w:sz w:val="24"/>
          <w:szCs w:val="24"/>
        </w:rPr>
      </w:pPr>
    </w:p>
    <w:p w14:paraId="08147637" w14:textId="77777777" w:rsidR="005417D9" w:rsidRPr="00E00F13" w:rsidRDefault="005417D9" w:rsidP="005417D9">
      <w:pPr>
        <w:spacing w:after="0" w:line="360" w:lineRule="auto"/>
        <w:jc w:val="both"/>
        <w:rPr>
          <w:rFonts w:ascii="Arial" w:hAnsi="Arial" w:cs="Arial"/>
          <w:sz w:val="24"/>
          <w:szCs w:val="24"/>
        </w:rPr>
      </w:pPr>
      <w:r w:rsidRPr="00E00F13">
        <w:rPr>
          <w:rFonts w:ascii="Arial" w:hAnsi="Arial" w:cs="Arial"/>
          <w:sz w:val="24"/>
          <w:szCs w:val="24"/>
        </w:rPr>
        <w:t>La Mesa Nacional se encarga de la articulación de entidades del nivel central (ministerios), regional (gobernaciones) y local (alcaldías) para trabajar en los territorios. La función de la Mesa Nacional es articular para que el modelo de la autogestión se de en los territorios. Asimismo, la importancia de la Mesa Nacional viene dada por ser el soporte, en lo local, de los planes de gestión del hábitat, que serán aquellos que se construirán con las comunidades y se adoptarán por decreto a través de los gobiernos municipales</w:t>
      </w:r>
    </w:p>
    <w:p w14:paraId="1407DE98" w14:textId="77777777" w:rsidR="005417D9" w:rsidRPr="00E00F13" w:rsidRDefault="005417D9" w:rsidP="005417D9">
      <w:pPr>
        <w:spacing w:after="0" w:line="360" w:lineRule="auto"/>
        <w:jc w:val="both"/>
        <w:rPr>
          <w:rFonts w:ascii="Arial" w:hAnsi="Arial" w:cs="Arial"/>
          <w:sz w:val="24"/>
          <w:szCs w:val="24"/>
        </w:rPr>
      </w:pPr>
    </w:p>
    <w:p w14:paraId="0CF3330E" w14:textId="77777777" w:rsidR="005417D9" w:rsidRPr="00E00F13" w:rsidRDefault="005417D9" w:rsidP="005417D9">
      <w:pPr>
        <w:spacing w:after="0" w:line="360" w:lineRule="auto"/>
        <w:jc w:val="both"/>
        <w:rPr>
          <w:rFonts w:ascii="Arial" w:hAnsi="Arial" w:cs="Arial"/>
          <w:sz w:val="24"/>
          <w:szCs w:val="24"/>
        </w:rPr>
      </w:pPr>
      <w:r w:rsidRPr="00E00F13">
        <w:rPr>
          <w:rFonts w:ascii="Arial" w:hAnsi="Arial" w:cs="Arial"/>
          <w:sz w:val="24"/>
          <w:szCs w:val="24"/>
        </w:rPr>
        <w:t>El Decreto 1470 es una gran sombrilla que protege, adelanta y gestiona procesos comunitarios en barrios y veredas en Colombia, en especial en zonas excluidas, tomando como base enfoques poblacionales, diferenciales, interseccionales, de género y de derecho a la ciudad. Establece el mecanismo por medio del cual el MVCT generará procesos; por ello, poco a poco, ha venido reglamentando su contenido, tanto para lo urbano como para lo rural, y siempre en el marco de la planeación alrededor del agua y del ordenamiento territorial por tratarse de un hábitat integral. Permite que el MVCT entre a un territorio para hacer mejoramiento tanto de la vivienda como de las condiciones del barrio, a través del mecanismo de autogestión. Guarda estrecha relación con el ordenamiento territorial. Y concibe las distintas formas de concebir el hábitat, más allá de la vivienda sola, desde los ejes procesos comunitarios, economía local y lógica territorial.</w:t>
      </w:r>
    </w:p>
    <w:p w14:paraId="68FA5EA6" w14:textId="77777777" w:rsidR="005417D9" w:rsidRPr="00E00F13" w:rsidRDefault="005417D9" w:rsidP="005417D9">
      <w:pPr>
        <w:spacing w:after="0" w:line="360" w:lineRule="auto"/>
        <w:jc w:val="both"/>
        <w:rPr>
          <w:rFonts w:ascii="Arial" w:hAnsi="Arial" w:cs="Arial"/>
          <w:sz w:val="24"/>
          <w:szCs w:val="24"/>
        </w:rPr>
      </w:pPr>
    </w:p>
    <w:p w14:paraId="680DF9D8" w14:textId="2F3B8A8D" w:rsidR="005417D9" w:rsidRPr="00E00F13" w:rsidRDefault="005417D9" w:rsidP="005417D9">
      <w:pPr>
        <w:spacing w:after="0" w:line="360" w:lineRule="auto"/>
        <w:jc w:val="both"/>
        <w:rPr>
          <w:rFonts w:ascii="Arial" w:hAnsi="Arial" w:cs="Arial"/>
          <w:sz w:val="24"/>
          <w:szCs w:val="24"/>
        </w:rPr>
      </w:pPr>
      <w:r w:rsidRPr="00E00F13">
        <w:rPr>
          <w:rFonts w:ascii="Arial" w:hAnsi="Arial" w:cs="Arial"/>
          <w:sz w:val="24"/>
          <w:szCs w:val="24"/>
        </w:rPr>
        <w:t>E</w:t>
      </w:r>
      <w:r w:rsidR="00471165" w:rsidRPr="00E00F13">
        <w:rPr>
          <w:rFonts w:ascii="Arial" w:hAnsi="Arial" w:cs="Arial"/>
          <w:sz w:val="24"/>
          <w:szCs w:val="24"/>
        </w:rPr>
        <w:t xml:space="preserve">s así </w:t>
      </w:r>
      <w:proofErr w:type="gramStart"/>
      <w:r w:rsidR="00471165" w:rsidRPr="00E00F13">
        <w:rPr>
          <w:rFonts w:ascii="Arial" w:hAnsi="Arial" w:cs="Arial"/>
          <w:sz w:val="24"/>
          <w:szCs w:val="24"/>
        </w:rPr>
        <w:t>que</w:t>
      </w:r>
      <w:proofErr w:type="gramEnd"/>
      <w:r w:rsidR="00471165" w:rsidRPr="00E00F13">
        <w:rPr>
          <w:rFonts w:ascii="Arial" w:hAnsi="Arial" w:cs="Arial"/>
          <w:sz w:val="24"/>
          <w:szCs w:val="24"/>
        </w:rPr>
        <w:t xml:space="preserve"> en</w:t>
      </w:r>
      <w:r w:rsidRPr="00E00F13">
        <w:rPr>
          <w:rFonts w:ascii="Arial" w:hAnsi="Arial" w:cs="Arial"/>
          <w:sz w:val="24"/>
          <w:szCs w:val="24"/>
        </w:rPr>
        <w:t xml:space="preserve"> el Programa Barrios de Paz la gestión comunitaria no es tan solo un componente, sino que cobra un sentido significativo </w:t>
      </w:r>
      <w:r w:rsidR="00471165" w:rsidRPr="00E00F13">
        <w:rPr>
          <w:rFonts w:ascii="Arial" w:hAnsi="Arial" w:cs="Arial"/>
          <w:sz w:val="24"/>
          <w:szCs w:val="24"/>
        </w:rPr>
        <w:t>en la medida en que</w:t>
      </w:r>
      <w:r w:rsidRPr="00E00F13">
        <w:rPr>
          <w:rFonts w:ascii="Arial" w:hAnsi="Arial" w:cs="Arial"/>
          <w:sz w:val="24"/>
          <w:szCs w:val="24"/>
        </w:rPr>
        <w:t xml:space="preserve"> «La </w:t>
      </w:r>
      <w:r w:rsidRPr="00E00F13">
        <w:rPr>
          <w:rFonts w:ascii="Arial" w:hAnsi="Arial" w:cs="Arial"/>
          <w:sz w:val="24"/>
          <w:szCs w:val="24"/>
        </w:rPr>
        <w:lastRenderedPageBreak/>
        <w:t>gestión comunitaria integra acciones y procesos encaminados a generar capacidades, individuales y comunitarias, para fortalecer a las organizaciones, mejorar las condiciones de asociatividad y sus ingresos, medidas que mejoren las condiciones de seguridad humana, convivencia y reconciliación» (artículo 2.2.4.4.1.3).</w:t>
      </w:r>
    </w:p>
    <w:p w14:paraId="7B36B0C0" w14:textId="77777777" w:rsidR="005417D9" w:rsidRPr="00E00F13" w:rsidRDefault="005417D9" w:rsidP="005417D9">
      <w:pPr>
        <w:spacing w:after="0" w:line="360" w:lineRule="auto"/>
        <w:jc w:val="both"/>
        <w:rPr>
          <w:rFonts w:ascii="Arial" w:hAnsi="Arial" w:cs="Arial"/>
          <w:sz w:val="24"/>
          <w:szCs w:val="24"/>
        </w:rPr>
      </w:pPr>
    </w:p>
    <w:p w14:paraId="7C27BB6B" w14:textId="77777777" w:rsidR="005417D9" w:rsidRPr="00E00F13" w:rsidRDefault="005417D9" w:rsidP="005417D9">
      <w:pPr>
        <w:spacing w:after="0" w:line="360" w:lineRule="auto"/>
        <w:jc w:val="both"/>
        <w:rPr>
          <w:rFonts w:ascii="Arial" w:hAnsi="Arial" w:cs="Arial"/>
          <w:sz w:val="24"/>
          <w:szCs w:val="24"/>
        </w:rPr>
      </w:pPr>
      <w:r w:rsidRPr="00E00F13">
        <w:rPr>
          <w:rFonts w:ascii="Arial" w:hAnsi="Arial" w:cs="Arial"/>
          <w:sz w:val="24"/>
          <w:szCs w:val="24"/>
        </w:rPr>
        <w:t>En este sentido, como propósito el programa busca fortalecer el desarrollo comunitario como paso fundamental para la construcción de paz territorial en el país.</w:t>
      </w:r>
    </w:p>
    <w:p w14:paraId="1B4DF9E0" w14:textId="77777777" w:rsidR="005417D9" w:rsidRPr="00E00F13" w:rsidRDefault="005417D9" w:rsidP="005417D9">
      <w:pPr>
        <w:spacing w:after="0" w:line="360" w:lineRule="auto"/>
        <w:jc w:val="both"/>
        <w:rPr>
          <w:rFonts w:ascii="Arial" w:hAnsi="Arial" w:cs="Arial"/>
          <w:sz w:val="24"/>
          <w:szCs w:val="24"/>
        </w:rPr>
      </w:pPr>
    </w:p>
    <w:p w14:paraId="1977BF8C" w14:textId="001A39B5" w:rsidR="005417D9" w:rsidRPr="00E00F13" w:rsidRDefault="005417D9" w:rsidP="005417D9">
      <w:pPr>
        <w:spacing w:after="0" w:line="360" w:lineRule="auto"/>
        <w:jc w:val="both"/>
        <w:rPr>
          <w:rFonts w:ascii="Arial" w:hAnsi="Arial" w:cs="Arial"/>
          <w:sz w:val="24"/>
          <w:szCs w:val="24"/>
        </w:rPr>
      </w:pPr>
      <w:r w:rsidRPr="00E00F13">
        <w:rPr>
          <w:rFonts w:ascii="Arial" w:hAnsi="Arial" w:cs="Arial"/>
          <w:sz w:val="24"/>
          <w:szCs w:val="24"/>
        </w:rPr>
        <w:t xml:space="preserve">Con el desarrollo de procesos sociales comunitarios se fortalecerán elementos que cualifican la intervención y la ubican más allá de la intervención física con infraestructura en agua y vivienda. El desarrollo de procesos de memoria colectiva, el intercambio de saberes, la cohesión social y el empoderamiento comunitario, la población local como actor principal y participativo permiten que el territorio se dinamice desde los conocimientos, necesidades, cultura y lógicas territoriales. A la par de que se fortalecería la capacidad de gestionar infraestructura de agua y vivienda asegurando la viabilidad a largo plazo de las intervenciones realizadas. Sobre esto último, la autogestión contemplada en el decreto 585 de 2025, cobra una gran importancia por estar en coherencia con el Programa de Barrios y Veredas de Paz. </w:t>
      </w:r>
    </w:p>
    <w:p w14:paraId="21FC280A" w14:textId="77777777" w:rsidR="005417D9" w:rsidRPr="00E00F13" w:rsidRDefault="005417D9" w:rsidP="005417D9">
      <w:pPr>
        <w:spacing w:after="0" w:line="360" w:lineRule="auto"/>
        <w:jc w:val="both"/>
        <w:rPr>
          <w:rFonts w:ascii="Arial" w:hAnsi="Arial" w:cs="Arial"/>
          <w:sz w:val="24"/>
          <w:szCs w:val="24"/>
        </w:rPr>
      </w:pPr>
    </w:p>
    <w:p w14:paraId="6198DABA" w14:textId="77777777" w:rsidR="005417D9" w:rsidRPr="00E00F13" w:rsidRDefault="005417D9" w:rsidP="005417D9">
      <w:pPr>
        <w:spacing w:after="0" w:line="360" w:lineRule="auto"/>
        <w:jc w:val="both"/>
        <w:rPr>
          <w:rFonts w:ascii="Arial" w:hAnsi="Arial" w:cs="Arial"/>
          <w:sz w:val="24"/>
          <w:szCs w:val="24"/>
        </w:rPr>
      </w:pPr>
      <w:r w:rsidRPr="00E00F13">
        <w:rPr>
          <w:rFonts w:ascii="Arial" w:hAnsi="Arial" w:cs="Arial"/>
          <w:sz w:val="24"/>
          <w:szCs w:val="24"/>
        </w:rPr>
        <w:t xml:space="preserve">Mediante el mecanismo de la autogestión se puede hacer autoconstrucción y vivienda nueva por construcción delegada, en asentamientos irregulares construidos por las mismas personas que habitan el barrio o la vereda, así no estén legalizados. También se puede adelantar la vivienda usada, que en asentamientos en zonas rurales usualmente pueden estar destinadas a población víctima del conflicto armado, población reincorporada o a mujeres cabeza de hogar.  </w:t>
      </w:r>
    </w:p>
    <w:p w14:paraId="400BFC45" w14:textId="77777777" w:rsidR="005417D9" w:rsidRPr="00E00F13" w:rsidRDefault="005417D9" w:rsidP="005417D9">
      <w:pPr>
        <w:spacing w:after="0" w:line="360" w:lineRule="auto"/>
        <w:jc w:val="both"/>
        <w:rPr>
          <w:rFonts w:ascii="Arial" w:hAnsi="Arial" w:cs="Arial"/>
          <w:sz w:val="24"/>
          <w:szCs w:val="24"/>
        </w:rPr>
      </w:pPr>
    </w:p>
    <w:p w14:paraId="26D9AFB8" w14:textId="77777777" w:rsidR="005417D9" w:rsidRPr="00E00F13" w:rsidRDefault="005417D9" w:rsidP="005417D9">
      <w:pPr>
        <w:spacing w:after="0" w:line="360" w:lineRule="auto"/>
        <w:jc w:val="both"/>
        <w:rPr>
          <w:rFonts w:ascii="Arial" w:hAnsi="Arial" w:cs="Arial"/>
          <w:sz w:val="24"/>
          <w:szCs w:val="24"/>
        </w:rPr>
      </w:pPr>
      <w:r w:rsidRPr="00E00F13">
        <w:rPr>
          <w:rFonts w:ascii="Arial" w:hAnsi="Arial" w:cs="Arial"/>
          <w:sz w:val="24"/>
          <w:szCs w:val="24"/>
        </w:rPr>
        <w:t xml:space="preserve">En el aspecto relacionado con el ordenamiento alrededor del agua, en la medida en que el decreto reconoce un enfoque de hábitat diferencial y de vivienda diferencial, </w:t>
      </w:r>
      <w:r w:rsidRPr="00E00F13">
        <w:rPr>
          <w:rFonts w:ascii="Arial" w:hAnsi="Arial" w:cs="Arial"/>
          <w:sz w:val="24"/>
          <w:szCs w:val="24"/>
        </w:rPr>
        <w:lastRenderedPageBreak/>
        <w:t>viviendas que han sido levantadas como palafitos, por ejemplo, se pueden reconocer y mejorar.</w:t>
      </w:r>
    </w:p>
    <w:p w14:paraId="0836F8B8" w14:textId="77777777" w:rsidR="005417D9" w:rsidRPr="00E00F13" w:rsidRDefault="005417D9" w:rsidP="005417D9">
      <w:pPr>
        <w:spacing w:after="0" w:line="360" w:lineRule="auto"/>
        <w:jc w:val="both"/>
        <w:rPr>
          <w:rFonts w:ascii="Arial" w:hAnsi="Arial" w:cs="Arial"/>
          <w:sz w:val="24"/>
          <w:szCs w:val="24"/>
        </w:rPr>
      </w:pPr>
    </w:p>
    <w:p w14:paraId="3FF05A46" w14:textId="77777777" w:rsidR="005417D9" w:rsidRPr="00E00F13" w:rsidRDefault="005417D9" w:rsidP="005417D9">
      <w:pPr>
        <w:spacing w:after="0" w:line="360" w:lineRule="auto"/>
        <w:jc w:val="both"/>
        <w:rPr>
          <w:rFonts w:ascii="Arial" w:hAnsi="Arial" w:cs="Arial"/>
          <w:sz w:val="24"/>
          <w:szCs w:val="24"/>
        </w:rPr>
      </w:pPr>
      <w:r w:rsidRPr="00E00F13">
        <w:rPr>
          <w:rFonts w:ascii="Arial" w:hAnsi="Arial" w:cs="Arial"/>
          <w:sz w:val="24"/>
          <w:szCs w:val="24"/>
        </w:rPr>
        <w:t>Desde lo rural, y relacionado con el agua, el decreto establece las políticas de «Basura cero», mínimo vital y comunidades organizadas alrededor del agua, de los que se hablará más adelante.</w:t>
      </w:r>
    </w:p>
    <w:p w14:paraId="02C40873" w14:textId="77777777" w:rsidR="005417D9" w:rsidRPr="00E00F13" w:rsidRDefault="005417D9" w:rsidP="005417D9">
      <w:pPr>
        <w:spacing w:after="0" w:line="360" w:lineRule="auto"/>
        <w:jc w:val="both"/>
        <w:rPr>
          <w:rFonts w:ascii="Arial" w:hAnsi="Arial" w:cs="Arial"/>
          <w:sz w:val="24"/>
          <w:szCs w:val="24"/>
        </w:rPr>
      </w:pPr>
    </w:p>
    <w:p w14:paraId="34F5C1C7" w14:textId="77777777" w:rsidR="00FD44FA" w:rsidRPr="00E00F13" w:rsidRDefault="005417D9" w:rsidP="00FD44FA">
      <w:pPr>
        <w:spacing w:after="0" w:line="360" w:lineRule="auto"/>
        <w:jc w:val="both"/>
        <w:rPr>
          <w:rFonts w:ascii="Arial" w:hAnsi="Arial" w:cs="Arial"/>
          <w:sz w:val="24"/>
          <w:szCs w:val="24"/>
        </w:rPr>
      </w:pPr>
      <w:r w:rsidRPr="00E00F13">
        <w:rPr>
          <w:rFonts w:ascii="Arial" w:hAnsi="Arial" w:cs="Arial"/>
          <w:sz w:val="24"/>
          <w:szCs w:val="24"/>
        </w:rPr>
        <w:t xml:space="preserve">En su conjunto, estos elementos conforman la política integral de hábitat llamada Barrios y Veredas de Paz. Es así </w:t>
      </w:r>
      <w:proofErr w:type="gramStart"/>
      <w:r w:rsidRPr="00E00F13">
        <w:rPr>
          <w:rFonts w:ascii="Arial" w:hAnsi="Arial" w:cs="Arial"/>
          <w:sz w:val="24"/>
          <w:szCs w:val="24"/>
        </w:rPr>
        <w:t>que</w:t>
      </w:r>
      <w:proofErr w:type="gramEnd"/>
      <w:r w:rsidRPr="00E00F13">
        <w:rPr>
          <w:rFonts w:ascii="Arial" w:hAnsi="Arial" w:cs="Arial"/>
          <w:sz w:val="24"/>
          <w:szCs w:val="24"/>
        </w:rPr>
        <w:t xml:space="preserve"> el Decreto 1470 establece un nuevo modelo de desarrollo tanto en infraestructura como en la gestión y organización comunitaria y abre un camino de cambio para que haya paz territorial en cuanto contempla, de manera intrínseca, la seguridad humana y la convivencia: temas transversales en el modelo. Barrios y Veredas de Paz se </w:t>
      </w:r>
      <w:proofErr w:type="gramStart"/>
      <w:r w:rsidRPr="00E00F13">
        <w:rPr>
          <w:rFonts w:ascii="Arial" w:hAnsi="Arial" w:cs="Arial"/>
          <w:sz w:val="24"/>
          <w:szCs w:val="24"/>
        </w:rPr>
        <w:t>enmarca</w:t>
      </w:r>
      <w:proofErr w:type="gramEnd"/>
      <w:r w:rsidRPr="00E00F13">
        <w:rPr>
          <w:rFonts w:ascii="Arial" w:hAnsi="Arial" w:cs="Arial"/>
          <w:sz w:val="24"/>
          <w:szCs w:val="24"/>
        </w:rPr>
        <w:t xml:space="preserve"> en el concepto de hábitat integral. </w:t>
      </w:r>
      <w:bookmarkStart w:id="72" w:name="_Toc213341850"/>
    </w:p>
    <w:p w14:paraId="513E7E06" w14:textId="77777777" w:rsidR="00FD44FA" w:rsidRPr="00E00F13" w:rsidRDefault="00FD44FA" w:rsidP="00FD44FA">
      <w:pPr>
        <w:spacing w:after="0" w:line="360" w:lineRule="auto"/>
        <w:jc w:val="both"/>
        <w:rPr>
          <w:rFonts w:ascii="Arial" w:hAnsi="Arial" w:cs="Arial"/>
          <w:sz w:val="24"/>
          <w:szCs w:val="24"/>
        </w:rPr>
      </w:pPr>
    </w:p>
    <w:p w14:paraId="68216780" w14:textId="61DA77D0" w:rsidR="00041ECB" w:rsidRPr="00E00F13" w:rsidRDefault="00FD44FA" w:rsidP="00B14C99">
      <w:pPr>
        <w:pStyle w:val="Ttulo3"/>
        <w:jc w:val="both"/>
        <w:rPr>
          <w:color w:val="auto"/>
        </w:rPr>
      </w:pPr>
      <w:bookmarkStart w:id="73" w:name="_Toc234242809"/>
      <w:r w:rsidRPr="00E00F13">
        <w:rPr>
          <w:color w:val="auto"/>
        </w:rPr>
        <w:t>2.4.1.</w:t>
      </w:r>
      <w:r w:rsidR="00E372F2" w:rsidRPr="00E00F13">
        <w:rPr>
          <w:color w:val="auto"/>
        </w:rPr>
        <w:t xml:space="preserve"> La autogestión: la autoconstrucción y la construcción delegada</w:t>
      </w:r>
      <w:r w:rsidR="00214066" w:rsidRPr="00E00F13">
        <w:rPr>
          <w:color w:val="auto"/>
        </w:rPr>
        <w:t xml:space="preserve">. El 585, </w:t>
      </w:r>
      <w:r w:rsidR="00E372F2" w:rsidRPr="00E00F13">
        <w:rPr>
          <w:color w:val="auto"/>
        </w:rPr>
        <w:t>un decreto progresista</w:t>
      </w:r>
      <w:bookmarkEnd w:id="72"/>
      <w:bookmarkEnd w:id="73"/>
    </w:p>
    <w:p w14:paraId="62F9134E" w14:textId="77777777" w:rsidR="00B14C99" w:rsidRPr="00E00F13" w:rsidRDefault="00B14C99" w:rsidP="00041ECB">
      <w:pPr>
        <w:spacing w:line="360" w:lineRule="auto"/>
        <w:jc w:val="both"/>
        <w:rPr>
          <w:rFonts w:ascii="Arial" w:hAnsi="Arial" w:cs="Arial"/>
          <w:sz w:val="24"/>
          <w:szCs w:val="24"/>
        </w:rPr>
      </w:pPr>
      <w:r w:rsidRPr="00E00F13">
        <w:rPr>
          <w:rFonts w:ascii="Arial" w:hAnsi="Arial" w:cs="Arial"/>
          <w:sz w:val="24"/>
          <w:szCs w:val="24"/>
        </w:rPr>
        <w:t>A lo largo de la historia de Colombia l</w:t>
      </w:r>
      <w:r w:rsidR="00041ECB" w:rsidRPr="00E00F13">
        <w:rPr>
          <w:rFonts w:ascii="Arial" w:hAnsi="Arial" w:cs="Arial"/>
          <w:sz w:val="24"/>
          <w:szCs w:val="24"/>
        </w:rPr>
        <w:t xml:space="preserve">a autoconstrucción ha sido la forma principal en que las comunidades han creado sus propios espacios habitables. </w:t>
      </w:r>
    </w:p>
    <w:p w14:paraId="16307948" w14:textId="08668C27" w:rsidR="00041ECB" w:rsidRPr="00E00F13" w:rsidRDefault="00041ECB" w:rsidP="00041ECB">
      <w:pPr>
        <w:spacing w:line="360" w:lineRule="auto"/>
        <w:jc w:val="both"/>
        <w:rPr>
          <w:rFonts w:ascii="Arial" w:hAnsi="Arial" w:cs="Arial"/>
          <w:sz w:val="24"/>
          <w:szCs w:val="24"/>
        </w:rPr>
      </w:pPr>
      <w:r w:rsidRPr="00E00F13">
        <w:rPr>
          <w:rFonts w:ascii="Arial" w:hAnsi="Arial" w:cs="Arial"/>
          <w:sz w:val="24"/>
          <w:szCs w:val="24"/>
        </w:rPr>
        <w:t>Esta modalidad de producción de soluciones habitacionales se diferencia de la vivienda producida por el mercado, cuyo objetivo es la venta. La autoconstrucción, en cambio, tiene como fin principal construir por cuenta propia una vivienda para habitarla y de manera concurrente generar procesos asociativos para lograr mejores condiciones de vida (MVCT, s.f. b).</w:t>
      </w:r>
    </w:p>
    <w:p w14:paraId="5CA97AF3" w14:textId="6CDD7159" w:rsidR="00041ECB" w:rsidRPr="00E00F13" w:rsidRDefault="00041ECB" w:rsidP="00041ECB">
      <w:pPr>
        <w:spacing w:line="360" w:lineRule="auto"/>
        <w:jc w:val="both"/>
        <w:rPr>
          <w:rFonts w:ascii="Arial" w:hAnsi="Arial" w:cs="Arial"/>
          <w:sz w:val="24"/>
          <w:szCs w:val="24"/>
        </w:rPr>
      </w:pPr>
      <w:r w:rsidRPr="00E00F13">
        <w:rPr>
          <w:rFonts w:ascii="Arial" w:hAnsi="Arial" w:cs="Arial"/>
          <w:sz w:val="24"/>
          <w:szCs w:val="24"/>
        </w:rPr>
        <w:t>Sin embargo, la autoconstrucción presenta desafíos. La falta de recursos económicos normalmente alarga los plazos de ejecución, y la ausencia de acompañamiento técnico puede conllevar a problemas técnicos o de calidad. Por ello, es crucial que un programa de autoconstrucción asistida ofrezca un acompañamiento</w:t>
      </w:r>
      <w:r w:rsidR="00B14C99" w:rsidRPr="00E00F13">
        <w:rPr>
          <w:rFonts w:ascii="Arial" w:hAnsi="Arial" w:cs="Arial"/>
          <w:sz w:val="24"/>
          <w:szCs w:val="24"/>
        </w:rPr>
        <w:t xml:space="preserve"> integral del MVCT</w:t>
      </w:r>
      <w:r w:rsidRPr="00E00F13">
        <w:rPr>
          <w:rFonts w:ascii="Arial" w:hAnsi="Arial" w:cs="Arial"/>
          <w:sz w:val="24"/>
          <w:szCs w:val="24"/>
        </w:rPr>
        <w:t xml:space="preserve"> que oriente</w:t>
      </w:r>
      <w:r w:rsidR="00B14C99" w:rsidRPr="00E00F13">
        <w:rPr>
          <w:rFonts w:ascii="Arial" w:hAnsi="Arial" w:cs="Arial"/>
          <w:sz w:val="24"/>
          <w:szCs w:val="24"/>
        </w:rPr>
        <w:t>,</w:t>
      </w:r>
      <w:r w:rsidRPr="00E00F13">
        <w:rPr>
          <w:rFonts w:ascii="Arial" w:hAnsi="Arial" w:cs="Arial"/>
          <w:sz w:val="24"/>
          <w:szCs w:val="24"/>
        </w:rPr>
        <w:t xml:space="preserve"> sin sustituir, el </w:t>
      </w:r>
      <w:proofErr w:type="gramStart"/>
      <w:r w:rsidRPr="00E00F13">
        <w:rPr>
          <w:rFonts w:ascii="Arial" w:hAnsi="Arial" w:cs="Arial"/>
          <w:sz w:val="24"/>
          <w:szCs w:val="24"/>
        </w:rPr>
        <w:t>papel  del</w:t>
      </w:r>
      <w:proofErr w:type="gramEnd"/>
      <w:r w:rsidRPr="00E00F13">
        <w:rPr>
          <w:rFonts w:ascii="Arial" w:hAnsi="Arial" w:cs="Arial"/>
          <w:sz w:val="24"/>
          <w:szCs w:val="24"/>
        </w:rPr>
        <w:t xml:space="preserve"> </w:t>
      </w:r>
      <w:proofErr w:type="spellStart"/>
      <w:r w:rsidRPr="00E00F13">
        <w:rPr>
          <w:rFonts w:ascii="Arial" w:hAnsi="Arial" w:cs="Arial"/>
          <w:sz w:val="24"/>
          <w:szCs w:val="24"/>
        </w:rPr>
        <w:t>autoconstructor</w:t>
      </w:r>
      <w:proofErr w:type="spellEnd"/>
      <w:r w:rsidRPr="00E00F13">
        <w:rPr>
          <w:rFonts w:ascii="Arial" w:hAnsi="Arial" w:cs="Arial"/>
          <w:sz w:val="24"/>
          <w:szCs w:val="24"/>
        </w:rPr>
        <w:t xml:space="preserve">, ya que su aporte más importante es su propio trabajo </w:t>
      </w:r>
      <w:r w:rsidR="00B14C99" w:rsidRPr="00E00F13">
        <w:rPr>
          <w:rFonts w:ascii="Arial" w:hAnsi="Arial" w:cs="Arial"/>
          <w:sz w:val="24"/>
          <w:szCs w:val="24"/>
        </w:rPr>
        <w:t>(MVCT, s.f. b).</w:t>
      </w:r>
    </w:p>
    <w:p w14:paraId="6CDE942A" w14:textId="06526676" w:rsidR="00041ECB" w:rsidRPr="00E00F13" w:rsidRDefault="00041ECB" w:rsidP="00B14C99">
      <w:pPr>
        <w:pStyle w:val="Ttulo3"/>
        <w:rPr>
          <w:color w:val="auto"/>
        </w:rPr>
      </w:pPr>
      <w:bookmarkStart w:id="74" w:name="_Toc234242810"/>
      <w:r w:rsidRPr="00E00F13">
        <w:rPr>
          <w:color w:val="auto"/>
        </w:rPr>
        <w:lastRenderedPageBreak/>
        <w:t>La autoconstrucción como política pública del Gobierno del Cambio</w:t>
      </w:r>
      <w:bookmarkEnd w:id="74"/>
    </w:p>
    <w:p w14:paraId="31E711EF" w14:textId="75CB5C4B" w:rsidR="00041ECB" w:rsidRDefault="00041ECB" w:rsidP="00041ECB">
      <w:pPr>
        <w:spacing w:line="360" w:lineRule="auto"/>
        <w:jc w:val="both"/>
        <w:rPr>
          <w:rFonts w:ascii="Arial" w:hAnsi="Arial" w:cs="Arial"/>
          <w:sz w:val="24"/>
          <w:szCs w:val="24"/>
        </w:rPr>
      </w:pPr>
      <w:r w:rsidRPr="00E00F13">
        <w:rPr>
          <w:rFonts w:ascii="Arial" w:hAnsi="Arial" w:cs="Arial"/>
          <w:sz w:val="24"/>
          <w:szCs w:val="24"/>
        </w:rPr>
        <w:t>La autoconstrucción debe se organizada y soportada en la asociatividad de las comunidades</w:t>
      </w:r>
      <w:r w:rsidR="00B14C99" w:rsidRPr="00E00F13">
        <w:rPr>
          <w:rFonts w:ascii="Arial" w:hAnsi="Arial" w:cs="Arial"/>
          <w:sz w:val="24"/>
          <w:szCs w:val="24"/>
        </w:rPr>
        <w:t xml:space="preserve">. Está plasmada en </w:t>
      </w:r>
      <w:r w:rsidRPr="00E00F13">
        <w:rPr>
          <w:rFonts w:ascii="Arial" w:hAnsi="Arial" w:cs="Arial"/>
          <w:sz w:val="24"/>
          <w:szCs w:val="24"/>
        </w:rPr>
        <w:t xml:space="preserve">el decreto 585 de 2025 como una política pública viable y eficaz, considerando que sus limitaciones de recursos pueden ser superadas con métodos e instrumentos apoyados y fomentados por mecanismos financieros y operativos que se derivan de ese decreto. </w:t>
      </w:r>
    </w:p>
    <w:p w14:paraId="412D60F4" w14:textId="3DB9A9FC" w:rsidR="00624B85" w:rsidRPr="00E00F13" w:rsidRDefault="00624B85" w:rsidP="00041ECB">
      <w:pPr>
        <w:spacing w:line="360" w:lineRule="auto"/>
        <w:jc w:val="both"/>
        <w:rPr>
          <w:rFonts w:ascii="Arial" w:hAnsi="Arial" w:cs="Arial"/>
          <w:sz w:val="24"/>
          <w:szCs w:val="24"/>
        </w:rPr>
      </w:pPr>
      <w:r w:rsidRPr="00624B85">
        <w:rPr>
          <w:rFonts w:ascii="Arial" w:hAnsi="Arial" w:cs="Arial"/>
          <w:noProof/>
          <w:sz w:val="24"/>
          <w:szCs w:val="24"/>
        </w:rPr>
        <w:drawing>
          <wp:inline distT="0" distB="0" distL="0" distR="0" wp14:anchorId="16BAF008" wp14:editId="5A551D9B">
            <wp:extent cx="5612130" cy="3156585"/>
            <wp:effectExtent l="0" t="0" r="1270" b="5715"/>
            <wp:docPr id="10825868" name="Imagen 2">
              <a:extLst xmlns:a="http://schemas.openxmlformats.org/drawingml/2006/main">
                <a:ext uri="{FF2B5EF4-FFF2-40B4-BE49-F238E27FC236}">
                  <a16:creationId xmlns:a16="http://schemas.microsoft.com/office/drawing/2014/main" id="{53102244-7371-0FF7-BFC0-A3BB4F78BD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53102244-7371-0FF7-BFC0-A3BB4F78BDB2}"/>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612130" cy="3156585"/>
                    </a:xfrm>
                    <a:prstGeom prst="rect">
                      <a:avLst/>
                    </a:prstGeom>
                  </pic:spPr>
                </pic:pic>
              </a:graphicData>
            </a:graphic>
          </wp:inline>
        </w:drawing>
      </w:r>
    </w:p>
    <w:p w14:paraId="353F5964" w14:textId="77777777" w:rsidR="00624B85" w:rsidRDefault="00624B85" w:rsidP="00041ECB">
      <w:pPr>
        <w:spacing w:line="360" w:lineRule="auto"/>
        <w:jc w:val="both"/>
        <w:rPr>
          <w:rFonts w:ascii="Arial" w:hAnsi="Arial" w:cs="Arial"/>
          <w:sz w:val="24"/>
          <w:szCs w:val="24"/>
        </w:rPr>
      </w:pPr>
    </w:p>
    <w:p w14:paraId="08A7CF46" w14:textId="189207BB" w:rsidR="00041ECB" w:rsidRPr="00E00F13" w:rsidRDefault="00041ECB" w:rsidP="00041ECB">
      <w:pPr>
        <w:spacing w:line="360" w:lineRule="auto"/>
        <w:jc w:val="both"/>
        <w:rPr>
          <w:rFonts w:ascii="Arial" w:hAnsi="Arial" w:cs="Arial"/>
          <w:sz w:val="24"/>
          <w:szCs w:val="24"/>
        </w:rPr>
      </w:pPr>
      <w:r w:rsidRPr="00E00F13">
        <w:rPr>
          <w:rFonts w:ascii="Arial" w:hAnsi="Arial" w:cs="Arial"/>
          <w:sz w:val="24"/>
          <w:szCs w:val="24"/>
        </w:rPr>
        <w:t>La autoconstrucción se considera efectiva porque:</w:t>
      </w:r>
    </w:p>
    <w:p w14:paraId="28C774EA" w14:textId="77777777" w:rsidR="00041ECB" w:rsidRPr="00E00F13" w:rsidRDefault="00041ECB" w:rsidP="00041ECB">
      <w:pPr>
        <w:spacing w:line="360" w:lineRule="auto"/>
        <w:jc w:val="both"/>
        <w:rPr>
          <w:rFonts w:ascii="Arial" w:hAnsi="Arial" w:cs="Arial"/>
          <w:sz w:val="24"/>
          <w:szCs w:val="24"/>
        </w:rPr>
      </w:pPr>
      <w:r w:rsidRPr="00E00F13">
        <w:rPr>
          <w:rFonts w:ascii="Arial" w:hAnsi="Arial" w:cs="Arial"/>
          <w:sz w:val="24"/>
          <w:szCs w:val="24"/>
        </w:rPr>
        <w:t>• Reconoce y parte de lo ya construido por la comunidad en suelo urbano y rural.</w:t>
      </w:r>
    </w:p>
    <w:p w14:paraId="06DD0F9A" w14:textId="77777777" w:rsidR="00041ECB" w:rsidRPr="00E00F13" w:rsidRDefault="00041ECB" w:rsidP="00041ECB">
      <w:pPr>
        <w:spacing w:line="360" w:lineRule="auto"/>
        <w:jc w:val="both"/>
        <w:rPr>
          <w:rFonts w:ascii="Arial" w:hAnsi="Arial" w:cs="Arial"/>
          <w:sz w:val="24"/>
          <w:szCs w:val="24"/>
        </w:rPr>
      </w:pPr>
      <w:r w:rsidRPr="00E00F13">
        <w:rPr>
          <w:rFonts w:ascii="Arial" w:hAnsi="Arial" w:cs="Arial"/>
          <w:sz w:val="24"/>
          <w:szCs w:val="24"/>
        </w:rPr>
        <w:t>• Valora los aportes comunitarios, tanto en recursos como en trabajo.</w:t>
      </w:r>
    </w:p>
    <w:p w14:paraId="69AC2B35" w14:textId="77777777" w:rsidR="00041ECB" w:rsidRPr="00E00F13" w:rsidRDefault="00041ECB" w:rsidP="00041ECB">
      <w:pPr>
        <w:spacing w:line="360" w:lineRule="auto"/>
        <w:jc w:val="both"/>
        <w:rPr>
          <w:rFonts w:ascii="Arial" w:hAnsi="Arial" w:cs="Arial"/>
          <w:sz w:val="24"/>
          <w:szCs w:val="24"/>
        </w:rPr>
      </w:pPr>
      <w:r w:rsidRPr="00E00F13">
        <w:rPr>
          <w:rFonts w:ascii="Arial" w:hAnsi="Arial" w:cs="Arial"/>
          <w:sz w:val="24"/>
          <w:szCs w:val="24"/>
        </w:rPr>
        <w:t>• Fortalece la organización popular y la cohesión social.</w:t>
      </w:r>
    </w:p>
    <w:p w14:paraId="0D028D2A" w14:textId="1008806D" w:rsidR="00041ECB" w:rsidRPr="00E00F13" w:rsidRDefault="00041ECB" w:rsidP="00041ECB">
      <w:pPr>
        <w:spacing w:line="360" w:lineRule="auto"/>
        <w:jc w:val="both"/>
        <w:rPr>
          <w:rFonts w:ascii="Arial" w:hAnsi="Arial" w:cs="Arial"/>
          <w:sz w:val="24"/>
          <w:szCs w:val="24"/>
        </w:rPr>
      </w:pPr>
      <w:r w:rsidRPr="00E00F13">
        <w:rPr>
          <w:rFonts w:ascii="Arial" w:hAnsi="Arial" w:cs="Arial"/>
          <w:sz w:val="24"/>
          <w:szCs w:val="24"/>
        </w:rPr>
        <w:t>• Promueve un hábitat integral que busca la armonía con la naturaleza</w:t>
      </w:r>
      <w:r w:rsidR="00B14C99" w:rsidRPr="00E00F13">
        <w:rPr>
          <w:rFonts w:ascii="Arial" w:hAnsi="Arial" w:cs="Arial"/>
          <w:sz w:val="24"/>
          <w:szCs w:val="24"/>
        </w:rPr>
        <w:t xml:space="preserve"> (MVCT, </w:t>
      </w:r>
      <w:proofErr w:type="spellStart"/>
      <w:r w:rsidR="00B14C99" w:rsidRPr="00E00F13">
        <w:rPr>
          <w:rFonts w:ascii="Arial" w:hAnsi="Arial" w:cs="Arial"/>
          <w:sz w:val="24"/>
          <w:szCs w:val="24"/>
        </w:rPr>
        <w:t>s.f.b</w:t>
      </w:r>
      <w:proofErr w:type="spellEnd"/>
      <w:r w:rsidR="00B14C99" w:rsidRPr="00E00F13">
        <w:rPr>
          <w:rFonts w:ascii="Arial" w:hAnsi="Arial" w:cs="Arial"/>
          <w:sz w:val="24"/>
          <w:szCs w:val="24"/>
        </w:rPr>
        <w:t>)</w:t>
      </w:r>
      <w:r w:rsidRPr="00E00F13">
        <w:rPr>
          <w:rFonts w:ascii="Arial" w:hAnsi="Arial" w:cs="Arial"/>
          <w:sz w:val="24"/>
          <w:szCs w:val="24"/>
        </w:rPr>
        <w:t>.</w:t>
      </w:r>
    </w:p>
    <w:p w14:paraId="35EE2FDE" w14:textId="29F7B4D0" w:rsidR="00041ECB" w:rsidRPr="00E00F13" w:rsidRDefault="00B14C99" w:rsidP="00041ECB">
      <w:pPr>
        <w:spacing w:line="360" w:lineRule="auto"/>
        <w:jc w:val="both"/>
        <w:rPr>
          <w:rFonts w:ascii="Arial" w:hAnsi="Arial" w:cs="Arial"/>
          <w:sz w:val="24"/>
          <w:szCs w:val="24"/>
        </w:rPr>
      </w:pPr>
      <w:r w:rsidRPr="00E00F13">
        <w:rPr>
          <w:rFonts w:ascii="Arial" w:hAnsi="Arial" w:cs="Arial"/>
          <w:sz w:val="24"/>
          <w:szCs w:val="24"/>
        </w:rPr>
        <w:t>La a</w:t>
      </w:r>
      <w:r w:rsidR="00041ECB" w:rsidRPr="00E00F13">
        <w:rPr>
          <w:rFonts w:ascii="Arial" w:hAnsi="Arial" w:cs="Arial"/>
          <w:sz w:val="24"/>
          <w:szCs w:val="24"/>
        </w:rPr>
        <w:t xml:space="preserve">utogestión va más allá de construir viviendas; busca generar procesos para mejorar la infraestructura, la movilidad, la seguridad y la convivencia en los asentamientos construidos por la población y en su entorno. Su objetivo es un desarrollo integral que considera la vivienda como la infraestructura para fortalecer </w:t>
      </w:r>
      <w:r w:rsidR="00041ECB" w:rsidRPr="00E00F13">
        <w:rPr>
          <w:rFonts w:ascii="Arial" w:hAnsi="Arial" w:cs="Arial"/>
          <w:sz w:val="24"/>
          <w:szCs w:val="24"/>
        </w:rPr>
        <w:lastRenderedPageBreak/>
        <w:t>el cuidado y se articula con los aspectos de productividad y sostenibilidad ambiental que se desprenden de este proceso. Por ello, reconocerla y darle un papel en la política pública es un logro de este gobierno.</w:t>
      </w:r>
    </w:p>
    <w:p w14:paraId="0DAF268D" w14:textId="1EE06609" w:rsidR="00041ECB" w:rsidRPr="00E00F13" w:rsidRDefault="00041ECB" w:rsidP="00B14C99">
      <w:pPr>
        <w:pStyle w:val="Ttulo3"/>
        <w:rPr>
          <w:color w:val="auto"/>
        </w:rPr>
      </w:pPr>
      <w:bookmarkStart w:id="75" w:name="_Toc234242811"/>
      <w:r w:rsidRPr="00E00F13">
        <w:rPr>
          <w:color w:val="auto"/>
        </w:rPr>
        <w:t>Reconocimiento de los aportes de la autogestión colectiva como plataforma para producir nuevos espacios habitacionales y mejorar los existentes</w:t>
      </w:r>
      <w:bookmarkEnd w:id="75"/>
    </w:p>
    <w:p w14:paraId="1366ACF7" w14:textId="52C436DD" w:rsidR="00041ECB" w:rsidRPr="00E00F13" w:rsidRDefault="00041ECB" w:rsidP="00041ECB">
      <w:pPr>
        <w:spacing w:line="360" w:lineRule="auto"/>
        <w:jc w:val="both"/>
        <w:rPr>
          <w:rFonts w:ascii="Arial" w:hAnsi="Arial" w:cs="Arial"/>
          <w:sz w:val="24"/>
          <w:szCs w:val="24"/>
        </w:rPr>
      </w:pPr>
      <w:r w:rsidRPr="00E00F13">
        <w:rPr>
          <w:rFonts w:ascii="Arial" w:hAnsi="Arial" w:cs="Arial"/>
          <w:sz w:val="24"/>
          <w:szCs w:val="24"/>
        </w:rPr>
        <w:t xml:space="preserve">Para el desarrollo del programa de autogestión en la modalidad de </w:t>
      </w:r>
      <w:proofErr w:type="spellStart"/>
      <w:r w:rsidRPr="00E00F13">
        <w:rPr>
          <w:rFonts w:ascii="Arial" w:hAnsi="Arial" w:cs="Arial"/>
          <w:sz w:val="24"/>
          <w:szCs w:val="24"/>
        </w:rPr>
        <w:t>autocontrucción</w:t>
      </w:r>
      <w:proofErr w:type="spellEnd"/>
      <w:r w:rsidRPr="00E00F13">
        <w:rPr>
          <w:rFonts w:ascii="Arial" w:hAnsi="Arial" w:cs="Arial"/>
          <w:sz w:val="24"/>
          <w:szCs w:val="24"/>
        </w:rPr>
        <w:t>, es importante precisar que no se trata únicamente de buscar nuevos lotes o predios para construir una vivienda, sino de reconocer y potenciar lo que ya existe</w:t>
      </w:r>
      <w:r w:rsidR="00B14C99" w:rsidRPr="00E00F13">
        <w:rPr>
          <w:rFonts w:ascii="Arial" w:hAnsi="Arial" w:cs="Arial"/>
          <w:sz w:val="24"/>
          <w:szCs w:val="24"/>
        </w:rPr>
        <w:t>. E</w:t>
      </w:r>
      <w:r w:rsidRPr="00E00F13">
        <w:rPr>
          <w:rFonts w:ascii="Arial" w:hAnsi="Arial" w:cs="Arial"/>
          <w:sz w:val="24"/>
          <w:szCs w:val="24"/>
        </w:rPr>
        <w:t>sto sígnica desarrollar la autoconstrucción en asentamientos urbanos y en zonas rurales porque las organizaciones comunitarias ya poseen suelo, conocimientos y prácticas que el Estado debe acompañar, no ignorar. La autoconstrucción puede aplicarse en predios ya legalizados o en proceso de legalización, tanto en zonas rurales como urbanas, para propietarios o poseedores, tanto en lotes dispersos o nucleados</w:t>
      </w:r>
      <w:r w:rsidR="00B14C99" w:rsidRPr="00E00F13">
        <w:rPr>
          <w:rFonts w:ascii="Arial" w:hAnsi="Arial" w:cs="Arial"/>
          <w:sz w:val="24"/>
          <w:szCs w:val="24"/>
        </w:rPr>
        <w:t xml:space="preserve"> (MVCT, </w:t>
      </w:r>
      <w:proofErr w:type="spellStart"/>
      <w:r w:rsidR="00B14C99" w:rsidRPr="00E00F13">
        <w:rPr>
          <w:rFonts w:ascii="Arial" w:hAnsi="Arial" w:cs="Arial"/>
          <w:sz w:val="24"/>
          <w:szCs w:val="24"/>
        </w:rPr>
        <w:t>s.f.b</w:t>
      </w:r>
      <w:proofErr w:type="spellEnd"/>
      <w:r w:rsidR="00B14C99" w:rsidRPr="00E00F13">
        <w:rPr>
          <w:rFonts w:ascii="Arial" w:hAnsi="Arial" w:cs="Arial"/>
          <w:sz w:val="24"/>
          <w:szCs w:val="24"/>
        </w:rPr>
        <w:t>)</w:t>
      </w:r>
      <w:r w:rsidRPr="00E00F13">
        <w:rPr>
          <w:rFonts w:ascii="Arial" w:hAnsi="Arial" w:cs="Arial"/>
          <w:sz w:val="24"/>
          <w:szCs w:val="24"/>
        </w:rPr>
        <w:t>.</w:t>
      </w:r>
    </w:p>
    <w:p w14:paraId="65064CFB" w14:textId="77777777" w:rsidR="00041ECB" w:rsidRPr="00E00F13" w:rsidRDefault="00041ECB" w:rsidP="00041ECB">
      <w:pPr>
        <w:spacing w:line="360" w:lineRule="auto"/>
        <w:jc w:val="both"/>
        <w:rPr>
          <w:rFonts w:ascii="Arial" w:hAnsi="Arial" w:cs="Arial"/>
          <w:sz w:val="24"/>
          <w:szCs w:val="24"/>
        </w:rPr>
      </w:pPr>
      <w:r w:rsidRPr="00E00F13">
        <w:rPr>
          <w:rFonts w:ascii="Arial" w:hAnsi="Arial" w:cs="Arial"/>
          <w:sz w:val="24"/>
          <w:szCs w:val="24"/>
        </w:rPr>
        <w:t>El Decreto 585 de 2025 establece que la autoconstrucción puede aplicarse a partir de un mínimo de 10 viviendas, lo que la convierte en una opción inmediata y viable, especialmente para juntas de acción comunal, comunidades indígenas y afrodescendientes, y grupos de vecinos en barrios populares.</w:t>
      </w:r>
    </w:p>
    <w:p w14:paraId="3DC41D70" w14:textId="77777777" w:rsidR="00041ECB" w:rsidRPr="00E00F13" w:rsidRDefault="00041ECB" w:rsidP="00B14C99">
      <w:pPr>
        <w:pStyle w:val="Ttulo3"/>
        <w:rPr>
          <w:color w:val="auto"/>
        </w:rPr>
      </w:pPr>
      <w:bookmarkStart w:id="76" w:name="_Toc234242812"/>
      <w:r w:rsidRPr="00E00F13">
        <w:rPr>
          <w:color w:val="auto"/>
        </w:rPr>
        <w:t>Principios de la autoconstrucción: Asociatividad vs. Individualismo</w:t>
      </w:r>
      <w:bookmarkEnd w:id="76"/>
    </w:p>
    <w:p w14:paraId="27AA2CE1" w14:textId="1A07A03F" w:rsidR="00041ECB" w:rsidRPr="00E00F13" w:rsidRDefault="00041ECB" w:rsidP="00041ECB">
      <w:pPr>
        <w:spacing w:line="360" w:lineRule="auto"/>
        <w:jc w:val="both"/>
        <w:rPr>
          <w:rFonts w:ascii="Arial" w:hAnsi="Arial" w:cs="Arial"/>
          <w:sz w:val="24"/>
          <w:szCs w:val="24"/>
        </w:rPr>
      </w:pPr>
      <w:r w:rsidRPr="00E00F13">
        <w:rPr>
          <w:rFonts w:ascii="Arial" w:hAnsi="Arial" w:cs="Arial"/>
          <w:sz w:val="24"/>
          <w:szCs w:val="24"/>
        </w:rPr>
        <w:t xml:space="preserve">El Gobierno del Cambio considera la autoconstrucción asociativa como un principio que contrasta, </w:t>
      </w:r>
      <w:proofErr w:type="gramStart"/>
      <w:r w:rsidRPr="00E00F13">
        <w:rPr>
          <w:rFonts w:ascii="Arial" w:hAnsi="Arial" w:cs="Arial"/>
          <w:sz w:val="24"/>
          <w:szCs w:val="24"/>
        </w:rPr>
        <w:t>modera  y</w:t>
      </w:r>
      <w:proofErr w:type="gramEnd"/>
      <w:r w:rsidRPr="00E00F13">
        <w:rPr>
          <w:rFonts w:ascii="Arial" w:hAnsi="Arial" w:cs="Arial"/>
          <w:sz w:val="24"/>
          <w:szCs w:val="24"/>
        </w:rPr>
        <w:t xml:space="preserve"> complementa el modelo individualista impuesto por la Ley 3 de 1991. Este modelo redujo el acceso a la vivienda a subsidios individuales, condicionados a la capacidad de pago de las familias para lograr un "cierre financiero".</w:t>
      </w:r>
    </w:p>
    <w:p w14:paraId="46886963" w14:textId="319B5389" w:rsidR="00041ECB" w:rsidRPr="00E00F13" w:rsidRDefault="00041ECB" w:rsidP="00041ECB">
      <w:pPr>
        <w:spacing w:line="360" w:lineRule="auto"/>
        <w:jc w:val="both"/>
        <w:rPr>
          <w:rFonts w:ascii="Arial" w:hAnsi="Arial" w:cs="Arial"/>
          <w:sz w:val="24"/>
          <w:szCs w:val="24"/>
        </w:rPr>
      </w:pPr>
      <w:r w:rsidRPr="00E00F13">
        <w:rPr>
          <w:rFonts w:ascii="Arial" w:hAnsi="Arial" w:cs="Arial"/>
          <w:sz w:val="24"/>
          <w:szCs w:val="24"/>
        </w:rPr>
        <w:t>La autoconstrucción, en cambio, no depende únicamente de la capacidad de pago individual, sino que le da protagonismo a la organización y la colaboración comunitaria para transformar colectivamente su hábitat. Esta política se fundamenta en dos principios:</w:t>
      </w:r>
    </w:p>
    <w:p w14:paraId="7A3FD6E6" w14:textId="77777777" w:rsidR="00041ECB" w:rsidRPr="00E00F13" w:rsidRDefault="00041ECB" w:rsidP="00041ECB">
      <w:pPr>
        <w:spacing w:line="360" w:lineRule="auto"/>
        <w:jc w:val="both"/>
        <w:rPr>
          <w:rFonts w:ascii="Arial" w:hAnsi="Arial" w:cs="Arial"/>
          <w:b/>
          <w:bCs/>
          <w:sz w:val="24"/>
          <w:szCs w:val="24"/>
        </w:rPr>
      </w:pPr>
      <w:r w:rsidRPr="00E00F13">
        <w:rPr>
          <w:rFonts w:ascii="Arial" w:hAnsi="Arial" w:cs="Arial"/>
          <w:b/>
          <w:bCs/>
          <w:sz w:val="24"/>
          <w:szCs w:val="24"/>
        </w:rPr>
        <w:t>a) Los aportes comunitarios diversos</w:t>
      </w:r>
    </w:p>
    <w:p w14:paraId="7E2430E2" w14:textId="2EE08B45" w:rsidR="00041ECB" w:rsidRPr="00E00F13" w:rsidRDefault="00041ECB" w:rsidP="00041ECB">
      <w:pPr>
        <w:spacing w:line="360" w:lineRule="auto"/>
        <w:jc w:val="both"/>
        <w:rPr>
          <w:rFonts w:ascii="Arial" w:hAnsi="Arial" w:cs="Arial"/>
          <w:sz w:val="24"/>
          <w:szCs w:val="24"/>
        </w:rPr>
      </w:pPr>
      <w:r w:rsidRPr="00E00F13">
        <w:rPr>
          <w:rFonts w:ascii="Arial" w:hAnsi="Arial" w:cs="Arial"/>
          <w:sz w:val="24"/>
          <w:szCs w:val="24"/>
        </w:rPr>
        <w:lastRenderedPageBreak/>
        <w:t>La modalidad de construcción en sitio propio es uno de los aportes más importantes. Cuando una familia o comunidad contribuye con un lote, está aportando entre el 12% y el 15% del valor de la solución de vivienda. Además, la autoconstrucción en sitio propio busca mejorar la infraestructura del entorno, incluyendo la movilidad, la seguridad y la convivencia.</w:t>
      </w:r>
    </w:p>
    <w:p w14:paraId="4D744D8E" w14:textId="5E795ADA" w:rsidR="00041ECB" w:rsidRPr="00E00F13" w:rsidRDefault="00041ECB" w:rsidP="00041ECB">
      <w:pPr>
        <w:spacing w:line="360" w:lineRule="auto"/>
        <w:jc w:val="both"/>
        <w:rPr>
          <w:rFonts w:ascii="Arial" w:hAnsi="Arial" w:cs="Arial"/>
          <w:sz w:val="24"/>
          <w:szCs w:val="24"/>
        </w:rPr>
      </w:pPr>
      <w:r w:rsidRPr="00E00F13">
        <w:rPr>
          <w:rFonts w:ascii="Arial" w:hAnsi="Arial" w:cs="Arial"/>
          <w:sz w:val="24"/>
          <w:szCs w:val="24"/>
        </w:rPr>
        <w:t>La comunidad, a través de su organización, también puede contribuir con otros aportes como mano de obra no calificada, el transporte de materiales, el almacenamiento y seguridad de la obra y otros costos indirectos o directos. Estos aportes maximizan el uso de los recursos del Ministerio y otras entidades que otorgan créditos o subsidios</w:t>
      </w:r>
      <w:r w:rsidR="00B14C99" w:rsidRPr="00E00F13">
        <w:rPr>
          <w:rFonts w:ascii="Arial" w:hAnsi="Arial" w:cs="Arial"/>
          <w:sz w:val="24"/>
          <w:szCs w:val="24"/>
        </w:rPr>
        <w:t xml:space="preserve"> (MVCT, </w:t>
      </w:r>
      <w:proofErr w:type="spellStart"/>
      <w:r w:rsidR="00B14C99" w:rsidRPr="00E00F13">
        <w:rPr>
          <w:rFonts w:ascii="Arial" w:hAnsi="Arial" w:cs="Arial"/>
          <w:sz w:val="24"/>
          <w:szCs w:val="24"/>
        </w:rPr>
        <w:t>s.f.b</w:t>
      </w:r>
      <w:proofErr w:type="spellEnd"/>
      <w:r w:rsidR="00B14C99" w:rsidRPr="00E00F13">
        <w:rPr>
          <w:rFonts w:ascii="Arial" w:hAnsi="Arial" w:cs="Arial"/>
          <w:sz w:val="24"/>
          <w:szCs w:val="24"/>
        </w:rPr>
        <w:t>)</w:t>
      </w:r>
      <w:r w:rsidRPr="00E00F13">
        <w:rPr>
          <w:rFonts w:ascii="Arial" w:hAnsi="Arial" w:cs="Arial"/>
          <w:sz w:val="24"/>
          <w:szCs w:val="24"/>
        </w:rPr>
        <w:t>.</w:t>
      </w:r>
    </w:p>
    <w:p w14:paraId="01D01961" w14:textId="77777777" w:rsidR="00041ECB" w:rsidRPr="00E00F13" w:rsidRDefault="00041ECB" w:rsidP="00041ECB">
      <w:pPr>
        <w:spacing w:line="360" w:lineRule="auto"/>
        <w:jc w:val="both"/>
        <w:rPr>
          <w:rFonts w:ascii="Arial" w:hAnsi="Arial" w:cs="Arial"/>
          <w:b/>
          <w:bCs/>
          <w:sz w:val="24"/>
          <w:szCs w:val="24"/>
        </w:rPr>
      </w:pPr>
      <w:r w:rsidRPr="00E00F13">
        <w:rPr>
          <w:rFonts w:ascii="Arial" w:hAnsi="Arial" w:cs="Arial"/>
          <w:b/>
          <w:bCs/>
          <w:sz w:val="24"/>
          <w:szCs w:val="24"/>
        </w:rPr>
        <w:t>b) Reconocimiento de la autoconstrucción como modalidad de acceso a la vivienda</w:t>
      </w:r>
    </w:p>
    <w:p w14:paraId="276A5B15" w14:textId="77777777" w:rsidR="00041ECB" w:rsidRPr="00E00F13" w:rsidRDefault="00041ECB" w:rsidP="00041ECB">
      <w:pPr>
        <w:spacing w:line="360" w:lineRule="auto"/>
        <w:jc w:val="both"/>
        <w:rPr>
          <w:rFonts w:ascii="Arial" w:hAnsi="Arial" w:cs="Arial"/>
          <w:sz w:val="24"/>
          <w:szCs w:val="24"/>
        </w:rPr>
      </w:pPr>
      <w:r w:rsidRPr="00E00F13">
        <w:rPr>
          <w:rFonts w:ascii="Arial" w:hAnsi="Arial" w:cs="Arial"/>
          <w:sz w:val="24"/>
          <w:szCs w:val="24"/>
        </w:rPr>
        <w:t>El objetivo de esta política no es convertir a los miembros de la comunidad en maestros de obra. Su fundamento es que la comunidad participe y fortalezca sus procesos organizativos. Con el acompañamiento de un operador técnico contratado por el Ministerio, se controlan los recursos y se desarrolla el proyecto.</w:t>
      </w:r>
    </w:p>
    <w:p w14:paraId="3634FAFD" w14:textId="356B4DB4" w:rsidR="00041ECB" w:rsidRPr="00E00F13" w:rsidRDefault="00041ECB" w:rsidP="00041ECB">
      <w:pPr>
        <w:spacing w:line="360" w:lineRule="auto"/>
        <w:jc w:val="both"/>
        <w:rPr>
          <w:rFonts w:ascii="Arial" w:hAnsi="Arial" w:cs="Arial"/>
          <w:sz w:val="24"/>
          <w:szCs w:val="24"/>
        </w:rPr>
      </w:pPr>
      <w:r w:rsidRPr="00E00F13">
        <w:rPr>
          <w:rFonts w:ascii="Arial" w:hAnsi="Arial" w:cs="Arial"/>
          <w:sz w:val="24"/>
          <w:szCs w:val="24"/>
        </w:rPr>
        <w:t>Además de producir viviendas, este modelo fortalece la relación directa entre el Estado y las comunidades, permitiendo su participación en otros procesos, programas y proyectos de gobierno</w:t>
      </w:r>
      <w:r w:rsidR="00B14C99" w:rsidRPr="00E00F13">
        <w:rPr>
          <w:rFonts w:ascii="Arial" w:hAnsi="Arial" w:cs="Arial"/>
          <w:sz w:val="24"/>
          <w:szCs w:val="24"/>
        </w:rPr>
        <w:t xml:space="preserve"> (MVCT, </w:t>
      </w:r>
      <w:proofErr w:type="spellStart"/>
      <w:r w:rsidR="00B14C99" w:rsidRPr="00E00F13">
        <w:rPr>
          <w:rFonts w:ascii="Arial" w:hAnsi="Arial" w:cs="Arial"/>
          <w:sz w:val="24"/>
          <w:szCs w:val="24"/>
        </w:rPr>
        <w:t>s.f.b</w:t>
      </w:r>
      <w:proofErr w:type="spellEnd"/>
      <w:r w:rsidR="00B14C99" w:rsidRPr="00E00F13">
        <w:rPr>
          <w:rFonts w:ascii="Arial" w:hAnsi="Arial" w:cs="Arial"/>
          <w:sz w:val="24"/>
          <w:szCs w:val="24"/>
        </w:rPr>
        <w:t>)</w:t>
      </w:r>
      <w:r w:rsidRPr="00E00F13">
        <w:rPr>
          <w:rFonts w:ascii="Arial" w:hAnsi="Arial" w:cs="Arial"/>
          <w:sz w:val="24"/>
          <w:szCs w:val="24"/>
        </w:rPr>
        <w:t>.</w:t>
      </w:r>
    </w:p>
    <w:p w14:paraId="298D9BE5" w14:textId="77777777" w:rsidR="00041ECB" w:rsidRPr="00E00F13" w:rsidRDefault="00041ECB" w:rsidP="00B14C99">
      <w:pPr>
        <w:pStyle w:val="Ttulo3"/>
        <w:rPr>
          <w:color w:val="auto"/>
        </w:rPr>
      </w:pPr>
      <w:bookmarkStart w:id="77" w:name="_Toc234242813"/>
      <w:r w:rsidRPr="00E00F13">
        <w:rPr>
          <w:color w:val="auto"/>
        </w:rPr>
        <w:t>La autogestión como riqueza comunitaria</w:t>
      </w:r>
      <w:bookmarkEnd w:id="77"/>
    </w:p>
    <w:p w14:paraId="38A26DD1" w14:textId="77777777" w:rsidR="00041ECB" w:rsidRPr="00E00F13" w:rsidRDefault="00041ECB" w:rsidP="00041ECB">
      <w:pPr>
        <w:spacing w:line="360" w:lineRule="auto"/>
        <w:jc w:val="both"/>
        <w:rPr>
          <w:rFonts w:ascii="Arial" w:hAnsi="Arial" w:cs="Arial"/>
          <w:sz w:val="24"/>
          <w:szCs w:val="24"/>
        </w:rPr>
      </w:pPr>
      <w:r w:rsidRPr="00E00F13">
        <w:rPr>
          <w:rFonts w:ascii="Arial" w:hAnsi="Arial" w:cs="Arial"/>
          <w:sz w:val="24"/>
          <w:szCs w:val="24"/>
        </w:rPr>
        <w:t>La autogestión no es una práctica nueva. Desde las mingas de las comunidades indígenas hasta los procesos organizativos de afrodescendientes y las juntas de acción comunal, las comunidades han construido barrios y veredas con su propio esfuerzo. Estos procesos no solo crean casas, sino que también fortalecen redes de apoyo y mecanismos de subsistencia basados en el intercambio de saberes, lo que consolida la asociatividad como su mayor riqueza.</w:t>
      </w:r>
    </w:p>
    <w:p w14:paraId="75E79DAD" w14:textId="0BB3B8E4" w:rsidR="00191AD9" w:rsidRPr="00E00F13" w:rsidRDefault="00191AD9" w:rsidP="00191AD9">
      <w:pPr>
        <w:spacing w:line="360" w:lineRule="auto"/>
        <w:jc w:val="both"/>
        <w:rPr>
          <w:rFonts w:ascii="Arial" w:hAnsi="Arial" w:cs="Arial"/>
          <w:sz w:val="24"/>
          <w:szCs w:val="24"/>
          <w:lang w:val="es-ES"/>
        </w:rPr>
      </w:pPr>
      <w:r w:rsidRPr="00E00F13">
        <w:rPr>
          <w:rFonts w:ascii="Arial" w:hAnsi="Arial" w:cs="Arial"/>
          <w:sz w:val="24"/>
          <w:szCs w:val="24"/>
          <w:lang w:val="es-ES"/>
        </w:rPr>
        <w:t>El Decreto 585 de 2025</w:t>
      </w:r>
      <w:r w:rsidR="00B14C99" w:rsidRPr="00E00F13">
        <w:rPr>
          <w:rFonts w:ascii="Arial" w:hAnsi="Arial" w:cs="Arial"/>
          <w:sz w:val="24"/>
          <w:szCs w:val="24"/>
          <w:lang w:val="es-ES"/>
        </w:rPr>
        <w:t xml:space="preserve"> </w:t>
      </w:r>
      <w:r w:rsidRPr="00E00F13">
        <w:rPr>
          <w:rFonts w:ascii="Arial" w:hAnsi="Arial" w:cs="Arial"/>
          <w:sz w:val="24"/>
          <w:szCs w:val="24"/>
          <w:lang w:val="es-ES"/>
        </w:rPr>
        <w:t xml:space="preserve">expedido por </w:t>
      </w:r>
      <w:r w:rsidR="00B14C99" w:rsidRPr="00E00F13">
        <w:rPr>
          <w:rFonts w:ascii="Arial" w:hAnsi="Arial" w:cs="Arial"/>
          <w:sz w:val="24"/>
          <w:szCs w:val="24"/>
          <w:lang w:val="es-ES"/>
        </w:rPr>
        <w:t>este ministerio</w:t>
      </w:r>
      <w:r w:rsidRPr="00E00F13">
        <w:rPr>
          <w:rFonts w:ascii="Arial" w:hAnsi="Arial" w:cs="Arial"/>
          <w:sz w:val="24"/>
          <w:szCs w:val="24"/>
          <w:lang w:val="es-ES"/>
        </w:rPr>
        <w:t xml:space="preserve"> representa una inflexión histórica en la política habitacional colombiana. Por primera vez, el Estado colombiano reconoce formalmente a las comunidades no como receptoras pasivas </w:t>
      </w:r>
      <w:r w:rsidRPr="00E00F13">
        <w:rPr>
          <w:rFonts w:ascii="Arial" w:hAnsi="Arial" w:cs="Arial"/>
          <w:sz w:val="24"/>
          <w:szCs w:val="24"/>
          <w:lang w:val="es-ES"/>
        </w:rPr>
        <w:lastRenderedPageBreak/>
        <w:t xml:space="preserve">de soluciones de vivienda, sino como sujetos de derecho y agentes activos en el desarrollo de sus territorios, capaces de producir hábitat desde sus propios saberes, esfuerzos y redes de apoyo. El programa establece la asignación del Subsidio Familiar de Vivienda para la construcción de vivienda de interés social nueva, a través de las modalidades de autoconstrucción y construcción delegada, aplicable a suelo urbano y rural, y otorgado por Fonvivienda a los hogares que pertenezcan a organizaciones y/o comunidades legalmente constituidas. </w:t>
      </w:r>
    </w:p>
    <w:p w14:paraId="154BF1A3" w14:textId="77777777" w:rsidR="006021BD" w:rsidRPr="00E00F13" w:rsidRDefault="00191AD9" w:rsidP="00191AD9">
      <w:pPr>
        <w:spacing w:line="360" w:lineRule="auto"/>
        <w:jc w:val="both"/>
        <w:rPr>
          <w:rFonts w:ascii="Arial" w:hAnsi="Arial" w:cs="Arial"/>
          <w:sz w:val="24"/>
          <w:szCs w:val="24"/>
          <w:lang w:val="es-ES"/>
        </w:rPr>
      </w:pPr>
      <w:r w:rsidRPr="00E00F13">
        <w:rPr>
          <w:rFonts w:ascii="Arial" w:hAnsi="Arial" w:cs="Arial"/>
          <w:sz w:val="24"/>
          <w:szCs w:val="24"/>
          <w:lang w:val="es-ES"/>
        </w:rPr>
        <w:t xml:space="preserve">La autoconstrucción se desarrolla con la participación e iniciativa comunitaria a través de sus aportes para las actividades de la obra, con acompañamiento técnico integral del MVCT en la gestión y ejecución, generando un trabajo colaborativo que promueve la apropiación, la cohesión social y la solidaridad entre las partes. </w:t>
      </w:r>
    </w:p>
    <w:p w14:paraId="5FA73623" w14:textId="0D3ECF32" w:rsidR="00191AD9" w:rsidRPr="00E00F13" w:rsidRDefault="00191AD9" w:rsidP="00191AD9">
      <w:pPr>
        <w:spacing w:line="360" w:lineRule="auto"/>
        <w:jc w:val="both"/>
        <w:rPr>
          <w:rFonts w:ascii="Arial" w:hAnsi="Arial" w:cs="Arial"/>
          <w:sz w:val="24"/>
          <w:szCs w:val="24"/>
          <w:lang w:val="es-ES"/>
        </w:rPr>
      </w:pPr>
      <w:r w:rsidRPr="00E00F13">
        <w:rPr>
          <w:rFonts w:ascii="Arial" w:hAnsi="Arial" w:cs="Arial"/>
          <w:sz w:val="24"/>
          <w:szCs w:val="24"/>
          <w:lang w:val="es-ES"/>
        </w:rPr>
        <w:t xml:space="preserve">La construcción delegada, por su parte, permite que una organización legalmente constituida se asocie con un tercero idóneo —arquitecto, ingeniero o firma constructora— para la estructuración de un proyecto en todas sus etapas, preservando así el protagonismo </w:t>
      </w:r>
      <w:proofErr w:type="gramStart"/>
      <w:r w:rsidRPr="00E00F13">
        <w:rPr>
          <w:rFonts w:ascii="Arial" w:hAnsi="Arial" w:cs="Arial"/>
          <w:sz w:val="24"/>
          <w:szCs w:val="24"/>
          <w:lang w:val="es-ES"/>
        </w:rPr>
        <w:t>comunitario</w:t>
      </w:r>
      <w:proofErr w:type="gramEnd"/>
      <w:r w:rsidRPr="00E00F13">
        <w:rPr>
          <w:rFonts w:ascii="Arial" w:hAnsi="Arial" w:cs="Arial"/>
          <w:sz w:val="24"/>
          <w:szCs w:val="24"/>
          <w:lang w:val="es-ES"/>
        </w:rPr>
        <w:t xml:space="preserve"> pero con el respaldo técnico. El programa contempla un Subsidio Familiar de Vivienda de hasta 70 SMLMV y, en zonas de difícil acceso como la región Amazónica o el departamento del Chocó, el monto puede ascender hasta los 100 SMLMV, reconociendo explícitamente las asimetrías territoriales del país. </w:t>
      </w:r>
    </w:p>
    <w:p w14:paraId="24BCD215" w14:textId="77777777" w:rsidR="006021BD" w:rsidRPr="00E00F13" w:rsidRDefault="00191AD9" w:rsidP="00191AD9">
      <w:pPr>
        <w:spacing w:line="360" w:lineRule="auto"/>
        <w:jc w:val="both"/>
        <w:rPr>
          <w:rFonts w:ascii="Arial" w:hAnsi="Arial" w:cs="Arial"/>
          <w:sz w:val="24"/>
          <w:szCs w:val="24"/>
          <w:lang w:val="es-ES"/>
        </w:rPr>
      </w:pPr>
      <w:r w:rsidRPr="00E00F13">
        <w:rPr>
          <w:rFonts w:ascii="Arial" w:hAnsi="Arial" w:cs="Arial"/>
          <w:sz w:val="24"/>
          <w:szCs w:val="24"/>
          <w:lang w:val="es-ES"/>
        </w:rPr>
        <w:t xml:space="preserve">Lo verdaderamente transformador del Decreto 585 radica en su cambio de paradigma: mientras que la política habitacional colombiana de las últimas tres décadas concibió el acceso a la vivienda como un problema de mercado —donde el Estado subsidiaba la demanda para que el sector privado construyera y el hogar comprara—, este decreto reposiciona la producción social del hábitat como eje de la política pública. </w:t>
      </w:r>
    </w:p>
    <w:p w14:paraId="3ADA2BDF" w14:textId="77777777" w:rsidR="006021BD" w:rsidRPr="00E00F13" w:rsidRDefault="00191AD9" w:rsidP="00191AD9">
      <w:pPr>
        <w:spacing w:line="360" w:lineRule="auto"/>
        <w:jc w:val="both"/>
        <w:rPr>
          <w:rFonts w:ascii="Arial" w:hAnsi="Arial" w:cs="Arial"/>
          <w:sz w:val="24"/>
          <w:szCs w:val="24"/>
          <w:lang w:val="es-ES"/>
        </w:rPr>
      </w:pPr>
      <w:r w:rsidRPr="00E00F13">
        <w:rPr>
          <w:rFonts w:ascii="Arial" w:hAnsi="Arial" w:cs="Arial"/>
          <w:sz w:val="24"/>
          <w:szCs w:val="24"/>
          <w:lang w:val="es-ES"/>
        </w:rPr>
        <w:t xml:space="preserve">De acuerdo con las bases del Plan Nacional de Desarrollo 2022-2026 "Colombia Potencia Mundial de la Vida", la política de vivienda implementará la participación de la comunidad y los saberes populares en la política integral de hábitat, reconociendo al poblador del territorio como dinamizador y actor principal, con un enfoque holístico y participativo que atiende las necesidades inmediatas de </w:t>
      </w:r>
      <w:r w:rsidRPr="00E00F13">
        <w:rPr>
          <w:rFonts w:ascii="Arial" w:hAnsi="Arial" w:cs="Arial"/>
          <w:sz w:val="24"/>
          <w:szCs w:val="24"/>
          <w:lang w:val="es-ES"/>
        </w:rPr>
        <w:lastRenderedPageBreak/>
        <w:t xml:space="preserve">infraestructura y vivienda y, al mismo tiempo, fortalece la cohesión social y el empoderamiento comunitario. </w:t>
      </w:r>
    </w:p>
    <w:p w14:paraId="4395A7A1" w14:textId="77777777" w:rsidR="006021BD" w:rsidRPr="00E00F13" w:rsidRDefault="00191AD9" w:rsidP="00191AD9">
      <w:pPr>
        <w:spacing w:line="360" w:lineRule="auto"/>
        <w:jc w:val="both"/>
        <w:rPr>
          <w:rFonts w:ascii="Arial" w:hAnsi="Arial" w:cs="Arial"/>
          <w:sz w:val="24"/>
          <w:szCs w:val="24"/>
          <w:lang w:val="es-ES"/>
        </w:rPr>
      </w:pPr>
      <w:r w:rsidRPr="00E00F13">
        <w:rPr>
          <w:rFonts w:ascii="Arial" w:hAnsi="Arial" w:cs="Arial"/>
          <w:sz w:val="24"/>
          <w:szCs w:val="24"/>
          <w:lang w:val="es-ES"/>
        </w:rPr>
        <w:t>El programa está dirigido a Organizaciones Populares de Vivienda (OPV), juntas de acción comunal, cooperativas, resguardos indígenas, consejos y demás organizaciones comunitarias, para desarrollar vivienda en suelos urbanos</w:t>
      </w:r>
      <w:r w:rsidR="006021BD" w:rsidRPr="00E00F13">
        <w:rPr>
          <w:rFonts w:ascii="Arial" w:hAnsi="Arial" w:cs="Arial"/>
          <w:sz w:val="24"/>
          <w:szCs w:val="24"/>
          <w:lang w:val="es-ES"/>
        </w:rPr>
        <w:t xml:space="preserve"> y </w:t>
      </w:r>
      <w:r w:rsidRPr="00E00F13">
        <w:rPr>
          <w:rFonts w:ascii="Arial" w:hAnsi="Arial" w:cs="Arial"/>
          <w:sz w:val="24"/>
          <w:szCs w:val="24"/>
          <w:lang w:val="es-ES"/>
        </w:rPr>
        <w:t>rurales, lo que supone una apertura sin precedentes hacia formas de tenencia y organización social históricamente invisibilizadas por la normativa. El modelo busca fortalecer la autodeterminación colectiva</w:t>
      </w:r>
      <w:r w:rsidR="006021BD" w:rsidRPr="00E00F13">
        <w:rPr>
          <w:rFonts w:ascii="Arial" w:hAnsi="Arial" w:cs="Arial"/>
          <w:sz w:val="24"/>
          <w:szCs w:val="24"/>
          <w:lang w:val="es-ES"/>
        </w:rPr>
        <w:t xml:space="preserve"> </w:t>
      </w:r>
      <w:r w:rsidRPr="00E00F13">
        <w:rPr>
          <w:rFonts w:ascii="Arial" w:hAnsi="Arial" w:cs="Arial"/>
          <w:sz w:val="24"/>
          <w:szCs w:val="24"/>
          <w:lang w:val="es-ES"/>
        </w:rPr>
        <w:t xml:space="preserve">y la gestión eficiente de los recursos disponibles, planteando una integración entre la política de vivienda y la promoción de la economía popular, con impacto directo en el desarrollo territorial al dinamizar economías locales y generar empleo. </w:t>
      </w:r>
    </w:p>
    <w:p w14:paraId="3BC15F10" w14:textId="2815736D" w:rsidR="00AA7F4C" w:rsidRPr="00E00F13" w:rsidRDefault="00191AD9" w:rsidP="000761DB">
      <w:pPr>
        <w:spacing w:line="360" w:lineRule="auto"/>
        <w:jc w:val="both"/>
        <w:rPr>
          <w:rFonts w:ascii="Arial" w:hAnsi="Arial" w:cs="Arial"/>
          <w:sz w:val="24"/>
          <w:szCs w:val="24"/>
          <w:lang w:val="es-ES"/>
        </w:rPr>
      </w:pPr>
      <w:r w:rsidRPr="00E00F13">
        <w:rPr>
          <w:rFonts w:ascii="Arial" w:hAnsi="Arial" w:cs="Arial"/>
          <w:sz w:val="24"/>
          <w:szCs w:val="24"/>
          <w:lang w:val="es-ES"/>
        </w:rPr>
        <w:t>Leído en clave estructural, este decreto no es simplemente una herramienta operativa</w:t>
      </w:r>
      <w:r w:rsidR="006021BD" w:rsidRPr="00E00F13">
        <w:rPr>
          <w:rFonts w:ascii="Arial" w:hAnsi="Arial" w:cs="Arial"/>
          <w:sz w:val="24"/>
          <w:szCs w:val="24"/>
          <w:lang w:val="es-ES"/>
        </w:rPr>
        <w:t xml:space="preserve">, sino que </w:t>
      </w:r>
      <w:r w:rsidRPr="00E00F13">
        <w:rPr>
          <w:rFonts w:ascii="Arial" w:hAnsi="Arial" w:cs="Arial"/>
          <w:sz w:val="24"/>
          <w:szCs w:val="24"/>
          <w:lang w:val="es-ES"/>
        </w:rPr>
        <w:t>es una declaración política que sitúa a las comunidades organizadas —y no al mercado financiero ni al intermediario constructor— como el motor legítimo de la producción del hábitat popular en Colombia</w:t>
      </w:r>
      <w:r w:rsidR="006021BD" w:rsidRPr="00E00F13">
        <w:rPr>
          <w:rFonts w:ascii="Arial" w:hAnsi="Arial" w:cs="Arial"/>
          <w:sz w:val="24"/>
          <w:szCs w:val="24"/>
          <w:lang w:val="es-ES"/>
        </w:rPr>
        <w:t>.</w:t>
      </w:r>
    </w:p>
    <w:p w14:paraId="4073A430" w14:textId="675E345A" w:rsidR="00AA7F4C" w:rsidRPr="00E00F13" w:rsidRDefault="00AA7F4C" w:rsidP="001B2270">
      <w:pPr>
        <w:pStyle w:val="Ttulo3"/>
        <w:rPr>
          <w:color w:val="auto"/>
        </w:rPr>
      </w:pPr>
      <w:bookmarkStart w:id="78" w:name="_Toc234242814"/>
      <w:r w:rsidRPr="00E00F13">
        <w:rPr>
          <w:color w:val="auto"/>
        </w:rPr>
        <w:t>La autogestión: dos modalidades para hacer vivienda con protagonismo comunitario y acompañamiento técnico del Estado</w:t>
      </w:r>
      <w:bookmarkEnd w:id="78"/>
    </w:p>
    <w:p w14:paraId="2F6E9816" w14:textId="2759EDF6" w:rsidR="00AA7F4C" w:rsidRPr="00E00F13" w:rsidRDefault="00AA7F4C" w:rsidP="00AA7F4C">
      <w:pPr>
        <w:spacing w:after="0" w:line="360" w:lineRule="auto"/>
        <w:jc w:val="both"/>
        <w:rPr>
          <w:rFonts w:ascii="Arial" w:eastAsia="Aptos" w:hAnsi="Arial" w:cs="Arial"/>
          <w:sz w:val="24"/>
          <w:szCs w:val="24"/>
        </w:rPr>
      </w:pPr>
      <w:r w:rsidRPr="00E00F13">
        <w:rPr>
          <w:rFonts w:ascii="Arial" w:eastAsia="Aptos" w:hAnsi="Arial" w:cs="Arial"/>
          <w:sz w:val="24"/>
          <w:szCs w:val="24"/>
        </w:rPr>
        <w:t>El decreto establece dos formas de autogestión, ambas con acompañamiento técnico integral del Ministerio de Vivienda, que modifica su estructura operativa y genera vínculos directos a través de alianzas público-populares, con una presencia más fuerte y permanente en el territorio</w:t>
      </w:r>
      <w:r w:rsidR="006F2F49" w:rsidRPr="00E00F13">
        <w:rPr>
          <w:rFonts w:ascii="Arial" w:eastAsia="Aptos" w:hAnsi="Arial" w:cs="Arial"/>
          <w:sz w:val="24"/>
          <w:szCs w:val="24"/>
        </w:rPr>
        <w:t xml:space="preserve"> (MVCT, 2026)</w:t>
      </w:r>
      <w:r w:rsidRPr="00E00F13">
        <w:rPr>
          <w:rFonts w:ascii="Arial" w:eastAsia="Aptos" w:hAnsi="Arial" w:cs="Arial"/>
          <w:sz w:val="24"/>
          <w:szCs w:val="24"/>
        </w:rPr>
        <w:t>.</w:t>
      </w:r>
    </w:p>
    <w:p w14:paraId="40CD44E1" w14:textId="77777777" w:rsidR="00AA7F4C" w:rsidRPr="00E00F13" w:rsidRDefault="00AA7F4C" w:rsidP="00AA7F4C">
      <w:pPr>
        <w:spacing w:after="0" w:line="360" w:lineRule="auto"/>
        <w:jc w:val="both"/>
        <w:rPr>
          <w:rFonts w:ascii="Arial" w:eastAsia="Aptos" w:hAnsi="Arial" w:cs="Arial"/>
          <w:sz w:val="24"/>
          <w:szCs w:val="24"/>
        </w:rPr>
      </w:pPr>
    </w:p>
    <w:p w14:paraId="0EACBC86" w14:textId="7DC9C1DD" w:rsidR="00AA7F4C" w:rsidRPr="00E00F13" w:rsidRDefault="00AA7F4C">
      <w:pPr>
        <w:pStyle w:val="Ttulo3"/>
        <w:numPr>
          <w:ilvl w:val="0"/>
          <w:numId w:val="63"/>
        </w:numPr>
        <w:rPr>
          <w:color w:val="auto"/>
        </w:rPr>
      </w:pPr>
      <w:bookmarkStart w:id="79" w:name="_Toc234242815"/>
      <w:r w:rsidRPr="00E00F13">
        <w:rPr>
          <w:color w:val="auto"/>
        </w:rPr>
        <w:t>Autoconstrucción (ejecución directa)</w:t>
      </w:r>
      <w:bookmarkEnd w:id="79"/>
    </w:p>
    <w:p w14:paraId="7219A35E" w14:textId="04B0AC5F" w:rsidR="00AA7F4C" w:rsidRPr="00E00F13" w:rsidRDefault="00AA7F4C" w:rsidP="00AA7F4C">
      <w:pPr>
        <w:spacing w:after="0" w:line="360" w:lineRule="auto"/>
        <w:jc w:val="both"/>
        <w:rPr>
          <w:rFonts w:ascii="Arial" w:eastAsia="Aptos" w:hAnsi="Arial" w:cs="Arial"/>
          <w:sz w:val="24"/>
          <w:szCs w:val="24"/>
        </w:rPr>
      </w:pPr>
      <w:r w:rsidRPr="00E00F13">
        <w:rPr>
          <w:rFonts w:ascii="Arial" w:eastAsia="Aptos" w:hAnsi="Arial" w:cs="Arial"/>
          <w:sz w:val="24"/>
          <w:szCs w:val="24"/>
        </w:rPr>
        <w:t>La organización social –junta de acción comunal, consejo comunitario, grupo indígena, campesinos organizados, organización popular de vivienda, asociación de recicladores, cooperativa de vivienda– presenta el proyecto y lo ejecuta de manera directa. El Estado acompaña para minimizar riesgos a través de programas de asistencia técnica. Las comunidades aportan su mano de obra en cuadrillas, mingas o grupos de trabajo, y ese aporte es valorado como parte de la solución</w:t>
      </w:r>
      <w:r w:rsidR="006F2F49" w:rsidRPr="00E00F13">
        <w:rPr>
          <w:rFonts w:ascii="Arial" w:eastAsia="Aptos" w:hAnsi="Arial" w:cs="Arial"/>
          <w:sz w:val="24"/>
          <w:szCs w:val="24"/>
        </w:rPr>
        <w:t xml:space="preserve"> (MVCT, 2026)</w:t>
      </w:r>
      <w:r w:rsidRPr="00E00F13">
        <w:rPr>
          <w:rFonts w:ascii="Arial" w:eastAsia="Aptos" w:hAnsi="Arial" w:cs="Arial"/>
          <w:sz w:val="24"/>
          <w:szCs w:val="24"/>
        </w:rPr>
        <w:t>.</w:t>
      </w:r>
    </w:p>
    <w:p w14:paraId="03BE0041" w14:textId="77777777" w:rsidR="00AA7F4C" w:rsidRPr="00E00F13" w:rsidRDefault="00AA7F4C" w:rsidP="00AA7F4C">
      <w:pPr>
        <w:spacing w:after="0" w:line="360" w:lineRule="auto"/>
        <w:jc w:val="both"/>
        <w:rPr>
          <w:rFonts w:ascii="Arial" w:eastAsia="Aptos" w:hAnsi="Arial" w:cs="Arial"/>
          <w:sz w:val="24"/>
          <w:szCs w:val="24"/>
        </w:rPr>
      </w:pPr>
    </w:p>
    <w:p w14:paraId="5C9D2F27" w14:textId="6445895B" w:rsidR="00AA7F4C" w:rsidRPr="00E00F13" w:rsidRDefault="00AA7F4C">
      <w:pPr>
        <w:pStyle w:val="Ttulo3"/>
        <w:numPr>
          <w:ilvl w:val="0"/>
          <w:numId w:val="63"/>
        </w:numPr>
        <w:rPr>
          <w:color w:val="auto"/>
        </w:rPr>
      </w:pPr>
      <w:bookmarkStart w:id="80" w:name="_Toc234242816"/>
      <w:r w:rsidRPr="00E00F13">
        <w:rPr>
          <w:color w:val="auto"/>
        </w:rPr>
        <w:lastRenderedPageBreak/>
        <w:t>Construcción delegada (apoyo de un tercero)</w:t>
      </w:r>
      <w:bookmarkEnd w:id="80"/>
    </w:p>
    <w:p w14:paraId="0EBF089B" w14:textId="0FEE3582" w:rsidR="00AA7F4C" w:rsidRPr="00E00F13" w:rsidRDefault="00AA7F4C" w:rsidP="00AA7F4C">
      <w:pPr>
        <w:spacing w:after="0" w:line="360" w:lineRule="auto"/>
        <w:jc w:val="both"/>
        <w:rPr>
          <w:rFonts w:ascii="Arial" w:eastAsia="Aptos" w:hAnsi="Arial" w:cs="Arial"/>
          <w:sz w:val="24"/>
          <w:szCs w:val="24"/>
        </w:rPr>
      </w:pPr>
      <w:r w:rsidRPr="00E00F13">
        <w:rPr>
          <w:rFonts w:ascii="Arial" w:eastAsia="Aptos" w:hAnsi="Arial" w:cs="Arial"/>
          <w:sz w:val="24"/>
          <w:szCs w:val="24"/>
        </w:rPr>
        <w:t>La organización contrata a un tercero que la apoya técnica, jurídica y administrativamente para una administración eficiente de los recursos. La relación es directa entre la comunidad y el ejecutor; Fonvivienda no interviene en ese contrato</w:t>
      </w:r>
      <w:r w:rsidR="006F2F49" w:rsidRPr="00E00F13">
        <w:rPr>
          <w:rFonts w:ascii="Arial" w:eastAsia="Aptos" w:hAnsi="Arial" w:cs="Arial"/>
          <w:sz w:val="24"/>
          <w:szCs w:val="24"/>
        </w:rPr>
        <w:t xml:space="preserve"> (MVCT, 2026)</w:t>
      </w:r>
      <w:r w:rsidRPr="00E00F13">
        <w:rPr>
          <w:rFonts w:ascii="Arial" w:eastAsia="Aptos" w:hAnsi="Arial" w:cs="Arial"/>
          <w:sz w:val="24"/>
          <w:szCs w:val="24"/>
        </w:rPr>
        <w:t xml:space="preserve">. </w:t>
      </w:r>
    </w:p>
    <w:p w14:paraId="51B9CCA4" w14:textId="77777777" w:rsidR="00AA7F4C" w:rsidRPr="00E00F13" w:rsidRDefault="00AA7F4C" w:rsidP="00AA7F4C">
      <w:pPr>
        <w:spacing w:after="0" w:line="360" w:lineRule="auto"/>
        <w:jc w:val="both"/>
        <w:rPr>
          <w:rFonts w:ascii="Arial" w:eastAsia="Aptos" w:hAnsi="Arial" w:cs="Arial"/>
          <w:sz w:val="24"/>
          <w:szCs w:val="24"/>
        </w:rPr>
      </w:pPr>
    </w:p>
    <w:p w14:paraId="5FECA178" w14:textId="77777777" w:rsidR="00AA7F4C" w:rsidRPr="00E00F13" w:rsidRDefault="00AA7F4C" w:rsidP="00AA7F4C">
      <w:pPr>
        <w:spacing w:after="0" w:line="360" w:lineRule="auto"/>
        <w:jc w:val="both"/>
        <w:rPr>
          <w:rFonts w:ascii="Arial" w:eastAsia="Aptos" w:hAnsi="Arial" w:cs="Arial"/>
          <w:sz w:val="24"/>
          <w:szCs w:val="24"/>
        </w:rPr>
      </w:pPr>
      <w:r w:rsidRPr="00E00F13">
        <w:rPr>
          <w:rFonts w:ascii="Arial" w:eastAsia="Aptos" w:hAnsi="Arial" w:cs="Arial"/>
          <w:sz w:val="24"/>
          <w:szCs w:val="24"/>
        </w:rPr>
        <w:t>En ambas modalidades, el decreto exige mínimo 10 hogares por proyecto, fortaleciendo así la escala colectiva y la solidaridad.</w:t>
      </w:r>
    </w:p>
    <w:p w14:paraId="13FB5608" w14:textId="77777777" w:rsidR="00AA7F4C" w:rsidRPr="00E00F13" w:rsidRDefault="00AA7F4C" w:rsidP="00AA7F4C">
      <w:pPr>
        <w:spacing w:after="0" w:line="360" w:lineRule="auto"/>
        <w:jc w:val="both"/>
        <w:rPr>
          <w:rFonts w:ascii="Arial" w:eastAsia="Aptos" w:hAnsi="Arial" w:cs="Arial"/>
          <w:sz w:val="24"/>
          <w:szCs w:val="24"/>
        </w:rPr>
      </w:pPr>
    </w:p>
    <w:p w14:paraId="6B0913C7" w14:textId="7F10C0BA" w:rsidR="00AA7F4C" w:rsidRPr="00E00F13" w:rsidRDefault="00AA7F4C" w:rsidP="00AA7F4C">
      <w:pPr>
        <w:pStyle w:val="Ttulo3"/>
        <w:jc w:val="both"/>
        <w:rPr>
          <w:color w:val="auto"/>
        </w:rPr>
      </w:pPr>
      <w:bookmarkStart w:id="81" w:name="_Toc234242817"/>
      <w:r w:rsidRPr="00E00F13">
        <w:rPr>
          <w:color w:val="auto"/>
        </w:rPr>
        <w:t>Reconocimiento del suelo popular y la posesión: una puerta de entrada para muchas familias</w:t>
      </w:r>
      <w:bookmarkEnd w:id="81"/>
    </w:p>
    <w:p w14:paraId="3A35A608" w14:textId="4E43F2CA" w:rsidR="00AA7F4C" w:rsidRPr="00E00F13" w:rsidRDefault="00AA7F4C" w:rsidP="00AA7F4C">
      <w:pPr>
        <w:spacing w:after="0" w:line="360" w:lineRule="auto"/>
        <w:jc w:val="both"/>
        <w:rPr>
          <w:rFonts w:ascii="Arial" w:eastAsia="Aptos" w:hAnsi="Arial" w:cs="Arial"/>
          <w:sz w:val="24"/>
          <w:szCs w:val="24"/>
        </w:rPr>
      </w:pPr>
      <w:r w:rsidRPr="00E00F13">
        <w:rPr>
          <w:rFonts w:ascii="Arial" w:eastAsia="Aptos" w:hAnsi="Arial" w:cs="Arial"/>
          <w:sz w:val="24"/>
          <w:szCs w:val="24"/>
        </w:rPr>
        <w:t>El decreto incorpora mecanismos que permiten a las organizaciones desarrollar vivienda en:</w:t>
      </w:r>
    </w:p>
    <w:p w14:paraId="372F5547" w14:textId="77777777" w:rsidR="00AA7F4C" w:rsidRPr="00E00F13" w:rsidRDefault="00AA7F4C">
      <w:pPr>
        <w:numPr>
          <w:ilvl w:val="0"/>
          <w:numId w:val="62"/>
        </w:numPr>
        <w:spacing w:after="0" w:line="360" w:lineRule="auto"/>
        <w:jc w:val="both"/>
        <w:rPr>
          <w:rFonts w:ascii="Arial" w:eastAsia="Aptos" w:hAnsi="Arial" w:cs="Arial"/>
          <w:sz w:val="24"/>
          <w:szCs w:val="24"/>
        </w:rPr>
      </w:pPr>
      <w:r w:rsidRPr="00E00F13">
        <w:rPr>
          <w:rFonts w:ascii="Arial" w:eastAsia="Aptos" w:hAnsi="Arial" w:cs="Arial"/>
          <w:i/>
          <w:iCs/>
          <w:sz w:val="24"/>
          <w:szCs w:val="24"/>
        </w:rPr>
        <w:t>Suelos urbanizados</w:t>
      </w:r>
      <w:r w:rsidRPr="00E00F13">
        <w:rPr>
          <w:rFonts w:ascii="Arial" w:eastAsia="Aptos" w:hAnsi="Arial" w:cs="Arial"/>
          <w:sz w:val="24"/>
          <w:szCs w:val="24"/>
        </w:rPr>
        <w:t xml:space="preserve"> por las mismas comunidades y reconocidos legalmente a través de procesos de definición urbanística.</w:t>
      </w:r>
    </w:p>
    <w:p w14:paraId="2DE74C80" w14:textId="77777777" w:rsidR="00AA7F4C" w:rsidRPr="00E00F13" w:rsidRDefault="00AA7F4C">
      <w:pPr>
        <w:numPr>
          <w:ilvl w:val="0"/>
          <w:numId w:val="62"/>
        </w:numPr>
        <w:spacing w:after="0" w:line="360" w:lineRule="auto"/>
        <w:jc w:val="both"/>
        <w:rPr>
          <w:rFonts w:ascii="Arial" w:eastAsia="Aptos" w:hAnsi="Arial" w:cs="Arial"/>
          <w:sz w:val="24"/>
          <w:szCs w:val="24"/>
        </w:rPr>
      </w:pPr>
      <w:r w:rsidRPr="00E00F13">
        <w:rPr>
          <w:rFonts w:ascii="Arial" w:eastAsia="Aptos" w:hAnsi="Arial" w:cs="Arial"/>
          <w:i/>
          <w:iCs/>
          <w:sz w:val="24"/>
          <w:szCs w:val="24"/>
        </w:rPr>
        <w:t>Interior de cascos urbanos legalizados urbanísticamente</w:t>
      </w:r>
      <w:r w:rsidRPr="00E00F13">
        <w:rPr>
          <w:rFonts w:ascii="Arial" w:eastAsia="Aptos" w:hAnsi="Arial" w:cs="Arial"/>
          <w:sz w:val="24"/>
          <w:szCs w:val="24"/>
        </w:rPr>
        <w:t xml:space="preserve"> (reconocidos por autoridades locales).</w:t>
      </w:r>
    </w:p>
    <w:p w14:paraId="1D6E9DD3" w14:textId="77777777" w:rsidR="00AA7F4C" w:rsidRPr="00E00F13" w:rsidRDefault="00AA7F4C">
      <w:pPr>
        <w:numPr>
          <w:ilvl w:val="0"/>
          <w:numId w:val="62"/>
        </w:numPr>
        <w:spacing w:after="0" w:line="360" w:lineRule="auto"/>
        <w:jc w:val="both"/>
        <w:rPr>
          <w:rFonts w:ascii="Arial" w:eastAsia="Aptos" w:hAnsi="Arial" w:cs="Arial"/>
          <w:sz w:val="24"/>
          <w:szCs w:val="24"/>
        </w:rPr>
      </w:pPr>
      <w:r w:rsidRPr="00E00F13">
        <w:rPr>
          <w:rFonts w:ascii="Arial" w:eastAsia="Aptos" w:hAnsi="Arial" w:cs="Arial"/>
          <w:i/>
          <w:iCs/>
          <w:sz w:val="24"/>
          <w:szCs w:val="24"/>
        </w:rPr>
        <w:t>Asentamientos en proceso de legalización urbanística</w:t>
      </w:r>
      <w:r w:rsidRPr="00E00F13">
        <w:rPr>
          <w:rFonts w:ascii="Arial" w:eastAsia="Aptos" w:hAnsi="Arial" w:cs="Arial"/>
          <w:sz w:val="24"/>
          <w:szCs w:val="24"/>
        </w:rPr>
        <w:t>, sin necesidad de un acto formal de legalización.</w:t>
      </w:r>
    </w:p>
    <w:p w14:paraId="37A95A88" w14:textId="6CFFDD5A" w:rsidR="00AA7F4C" w:rsidRPr="00E00F13" w:rsidRDefault="00AA7F4C">
      <w:pPr>
        <w:numPr>
          <w:ilvl w:val="0"/>
          <w:numId w:val="62"/>
        </w:numPr>
        <w:spacing w:after="0" w:line="360" w:lineRule="auto"/>
        <w:jc w:val="both"/>
        <w:rPr>
          <w:rFonts w:ascii="Arial" w:eastAsia="Aptos" w:hAnsi="Arial" w:cs="Arial"/>
          <w:sz w:val="24"/>
          <w:szCs w:val="24"/>
        </w:rPr>
      </w:pPr>
      <w:r w:rsidRPr="00E00F13">
        <w:rPr>
          <w:rFonts w:ascii="Arial" w:eastAsia="Aptos" w:hAnsi="Arial" w:cs="Arial"/>
          <w:i/>
          <w:iCs/>
          <w:sz w:val="24"/>
          <w:szCs w:val="24"/>
        </w:rPr>
        <w:t>Zonas rurales,</w:t>
      </w:r>
      <w:r w:rsidRPr="00E00F13">
        <w:rPr>
          <w:rFonts w:ascii="Arial" w:eastAsia="Aptos" w:hAnsi="Arial" w:cs="Arial"/>
          <w:sz w:val="24"/>
          <w:szCs w:val="24"/>
        </w:rPr>
        <w:t xml:space="preserve"> donde el predio pertenece a la familia</w:t>
      </w:r>
      <w:r w:rsidR="006F2F49" w:rsidRPr="00E00F13">
        <w:rPr>
          <w:rFonts w:ascii="Arial" w:eastAsia="Aptos" w:hAnsi="Arial" w:cs="Arial"/>
          <w:sz w:val="24"/>
          <w:szCs w:val="24"/>
        </w:rPr>
        <w:t xml:space="preserve"> (MVCT, 2026)</w:t>
      </w:r>
      <w:r w:rsidRPr="00E00F13">
        <w:rPr>
          <w:rFonts w:ascii="Arial" w:eastAsia="Aptos" w:hAnsi="Arial" w:cs="Arial"/>
          <w:sz w:val="24"/>
          <w:szCs w:val="24"/>
        </w:rPr>
        <w:t>.</w:t>
      </w:r>
    </w:p>
    <w:p w14:paraId="7702D3B1" w14:textId="77777777" w:rsidR="00AA7F4C" w:rsidRPr="00E00F13" w:rsidRDefault="00AA7F4C" w:rsidP="00AA7F4C">
      <w:pPr>
        <w:spacing w:after="0" w:line="360" w:lineRule="auto"/>
        <w:ind w:left="720"/>
        <w:jc w:val="both"/>
        <w:rPr>
          <w:rFonts w:ascii="Arial" w:eastAsia="Aptos" w:hAnsi="Arial" w:cs="Arial"/>
          <w:sz w:val="24"/>
          <w:szCs w:val="24"/>
        </w:rPr>
      </w:pPr>
    </w:p>
    <w:p w14:paraId="428027A9" w14:textId="77777777" w:rsidR="00AA7F4C" w:rsidRPr="00E00F13" w:rsidRDefault="00AA7F4C" w:rsidP="00AA7F4C">
      <w:pPr>
        <w:spacing w:after="0" w:line="360" w:lineRule="auto"/>
        <w:jc w:val="both"/>
        <w:rPr>
          <w:rFonts w:ascii="Arial" w:eastAsia="Aptos" w:hAnsi="Arial" w:cs="Arial"/>
          <w:sz w:val="24"/>
          <w:szCs w:val="24"/>
        </w:rPr>
      </w:pPr>
      <w:r w:rsidRPr="00E00F13">
        <w:rPr>
          <w:rFonts w:ascii="Arial" w:eastAsia="Aptos" w:hAnsi="Arial" w:cs="Arial"/>
          <w:sz w:val="24"/>
          <w:szCs w:val="24"/>
        </w:rPr>
        <w:t>Un aspecto muy importante que cambia la lógica de la construcción de vivienda en sitio propio es el acceso a través de la posesión. No se exige título de propiedad pleno; basta con la sana posesión de mínimo 5 años. Esto:</w:t>
      </w:r>
    </w:p>
    <w:p w14:paraId="497E49B2" w14:textId="77777777" w:rsidR="00AA7F4C" w:rsidRPr="00E00F13" w:rsidRDefault="00AA7F4C">
      <w:pPr>
        <w:numPr>
          <w:ilvl w:val="0"/>
          <w:numId w:val="61"/>
        </w:numPr>
        <w:spacing w:after="0" w:line="360" w:lineRule="auto"/>
        <w:jc w:val="both"/>
        <w:rPr>
          <w:rFonts w:ascii="Arial" w:eastAsia="Aptos" w:hAnsi="Arial" w:cs="Arial"/>
          <w:sz w:val="24"/>
          <w:szCs w:val="24"/>
        </w:rPr>
      </w:pPr>
      <w:r w:rsidRPr="00E00F13">
        <w:rPr>
          <w:rFonts w:ascii="Arial" w:eastAsia="Aptos" w:hAnsi="Arial" w:cs="Arial"/>
          <w:sz w:val="24"/>
          <w:szCs w:val="24"/>
        </w:rPr>
        <w:t>Genera vinculación real en los procesos organizativos.</w:t>
      </w:r>
    </w:p>
    <w:p w14:paraId="0CDE2090" w14:textId="77777777" w:rsidR="00AA7F4C" w:rsidRPr="00E00F13" w:rsidRDefault="00AA7F4C">
      <w:pPr>
        <w:numPr>
          <w:ilvl w:val="0"/>
          <w:numId w:val="61"/>
        </w:numPr>
        <w:spacing w:after="0" w:line="360" w:lineRule="auto"/>
        <w:jc w:val="both"/>
        <w:rPr>
          <w:rFonts w:ascii="Arial" w:eastAsia="Aptos" w:hAnsi="Arial" w:cs="Arial"/>
          <w:sz w:val="24"/>
          <w:szCs w:val="24"/>
        </w:rPr>
      </w:pPr>
      <w:r w:rsidRPr="00E00F13">
        <w:rPr>
          <w:rFonts w:ascii="Arial" w:eastAsia="Aptos" w:hAnsi="Arial" w:cs="Arial"/>
          <w:sz w:val="24"/>
          <w:szCs w:val="24"/>
        </w:rPr>
        <w:t>Permite acceder a mecanismos de formalización no necesariamente jurídica, sino de acceso al uso público.</w:t>
      </w:r>
    </w:p>
    <w:p w14:paraId="4093E132" w14:textId="77777777" w:rsidR="00AA7F4C" w:rsidRPr="00E00F13" w:rsidRDefault="00AA7F4C">
      <w:pPr>
        <w:numPr>
          <w:ilvl w:val="0"/>
          <w:numId w:val="61"/>
        </w:numPr>
        <w:spacing w:after="0" w:line="360" w:lineRule="auto"/>
        <w:jc w:val="both"/>
        <w:rPr>
          <w:rFonts w:ascii="Arial" w:eastAsia="Aptos" w:hAnsi="Arial" w:cs="Arial"/>
          <w:sz w:val="24"/>
          <w:szCs w:val="24"/>
        </w:rPr>
      </w:pPr>
      <w:r w:rsidRPr="00E00F13">
        <w:rPr>
          <w:rFonts w:ascii="Arial" w:eastAsia="Aptos" w:hAnsi="Arial" w:cs="Arial"/>
          <w:sz w:val="24"/>
          <w:szCs w:val="24"/>
        </w:rPr>
        <w:t>Cambia la vida de muchas personas.</w:t>
      </w:r>
    </w:p>
    <w:p w14:paraId="04330D70" w14:textId="77777777" w:rsidR="00AA7F4C" w:rsidRPr="00E00F13" w:rsidRDefault="00AA7F4C">
      <w:pPr>
        <w:numPr>
          <w:ilvl w:val="0"/>
          <w:numId w:val="61"/>
        </w:numPr>
        <w:spacing w:after="0" w:line="360" w:lineRule="auto"/>
        <w:jc w:val="both"/>
        <w:rPr>
          <w:rFonts w:ascii="Arial" w:eastAsia="Aptos" w:hAnsi="Arial" w:cs="Arial"/>
          <w:sz w:val="24"/>
          <w:szCs w:val="24"/>
        </w:rPr>
      </w:pPr>
      <w:r w:rsidRPr="00E00F13">
        <w:rPr>
          <w:rFonts w:ascii="Arial" w:eastAsia="Aptos" w:hAnsi="Arial" w:cs="Arial"/>
          <w:sz w:val="24"/>
          <w:szCs w:val="24"/>
        </w:rPr>
        <w:t>El Estado colombiano reconoce a la población y su esfuerzo como parte de la solución habitacional.</w:t>
      </w:r>
    </w:p>
    <w:p w14:paraId="35974619" w14:textId="77777777" w:rsidR="00AA7F4C" w:rsidRPr="00E00F13" w:rsidRDefault="00AA7F4C" w:rsidP="00AA7F4C">
      <w:pPr>
        <w:spacing w:after="0" w:line="360" w:lineRule="auto"/>
        <w:jc w:val="both"/>
        <w:rPr>
          <w:rFonts w:ascii="Arial" w:eastAsia="Aptos" w:hAnsi="Arial" w:cs="Arial"/>
          <w:sz w:val="24"/>
          <w:szCs w:val="24"/>
        </w:rPr>
      </w:pPr>
    </w:p>
    <w:p w14:paraId="076900B5" w14:textId="5A7F9D0A" w:rsidR="00AA7F4C" w:rsidRPr="00E00F13" w:rsidRDefault="00AA7F4C" w:rsidP="00AA7F4C">
      <w:pPr>
        <w:spacing w:after="0" w:line="360" w:lineRule="auto"/>
        <w:jc w:val="both"/>
        <w:rPr>
          <w:rFonts w:ascii="Arial" w:eastAsia="Aptos" w:hAnsi="Arial" w:cs="Arial"/>
          <w:sz w:val="24"/>
          <w:szCs w:val="24"/>
        </w:rPr>
      </w:pPr>
      <w:r w:rsidRPr="00E00F13">
        <w:rPr>
          <w:rFonts w:ascii="Arial" w:eastAsia="Aptos" w:hAnsi="Arial" w:cs="Arial"/>
          <w:sz w:val="24"/>
          <w:szCs w:val="24"/>
        </w:rPr>
        <w:lastRenderedPageBreak/>
        <w:t xml:space="preserve">Este reconocimiento implica también la generación de una tecnología </w:t>
      </w:r>
      <w:proofErr w:type="spellStart"/>
      <w:r w:rsidRPr="00E00F13">
        <w:rPr>
          <w:rFonts w:ascii="Arial" w:eastAsia="Aptos" w:hAnsi="Arial" w:cs="Arial"/>
          <w:sz w:val="24"/>
          <w:szCs w:val="24"/>
        </w:rPr>
        <w:t>biocosmática</w:t>
      </w:r>
      <w:proofErr w:type="spellEnd"/>
      <w:r w:rsidRPr="00E00F13">
        <w:rPr>
          <w:rFonts w:ascii="Arial" w:eastAsia="Aptos" w:hAnsi="Arial" w:cs="Arial"/>
          <w:sz w:val="24"/>
          <w:szCs w:val="24"/>
        </w:rPr>
        <w:t>: una forma de construir que respeta los saberes locales, los materiales del territorio y las prácticas culturales</w:t>
      </w:r>
      <w:r w:rsidR="006F2F49" w:rsidRPr="00E00F13">
        <w:rPr>
          <w:rFonts w:ascii="Arial" w:eastAsia="Aptos" w:hAnsi="Arial" w:cs="Arial"/>
          <w:sz w:val="24"/>
          <w:szCs w:val="24"/>
        </w:rPr>
        <w:t xml:space="preserve"> (MVCT, 2026)</w:t>
      </w:r>
      <w:r w:rsidRPr="00E00F13">
        <w:rPr>
          <w:rFonts w:ascii="Arial" w:eastAsia="Aptos" w:hAnsi="Arial" w:cs="Arial"/>
          <w:sz w:val="24"/>
          <w:szCs w:val="24"/>
        </w:rPr>
        <w:t>.</w:t>
      </w:r>
    </w:p>
    <w:p w14:paraId="624CC823" w14:textId="77777777" w:rsidR="00AA7F4C" w:rsidRPr="00E00F13" w:rsidRDefault="00AA7F4C" w:rsidP="00AA7F4C">
      <w:pPr>
        <w:spacing w:after="0" w:line="360" w:lineRule="auto"/>
        <w:jc w:val="both"/>
        <w:rPr>
          <w:rFonts w:ascii="Arial" w:eastAsia="Aptos" w:hAnsi="Arial" w:cs="Arial"/>
          <w:sz w:val="24"/>
          <w:szCs w:val="24"/>
        </w:rPr>
      </w:pPr>
    </w:p>
    <w:p w14:paraId="36A6E33F" w14:textId="77777777" w:rsidR="00AA7F4C" w:rsidRPr="00E00F13" w:rsidRDefault="00AA7F4C" w:rsidP="00AA7F4C">
      <w:pPr>
        <w:pStyle w:val="Ttulo3"/>
        <w:rPr>
          <w:color w:val="auto"/>
        </w:rPr>
      </w:pPr>
      <w:bookmarkStart w:id="82" w:name="_Toc234242818"/>
      <w:r w:rsidRPr="00E00F13">
        <w:rPr>
          <w:color w:val="auto"/>
        </w:rPr>
        <w:t>Montos claros y equitativos: hasta 70 SMMLV más incrementos por transporte</w:t>
      </w:r>
      <w:bookmarkEnd w:id="82"/>
    </w:p>
    <w:p w14:paraId="3C3615BE" w14:textId="77777777" w:rsidR="00AA7F4C" w:rsidRPr="00E00F13" w:rsidRDefault="00AA7F4C" w:rsidP="00AA7F4C">
      <w:pPr>
        <w:spacing w:after="0" w:line="360" w:lineRule="auto"/>
        <w:jc w:val="both"/>
        <w:rPr>
          <w:rFonts w:ascii="Arial" w:eastAsia="Aptos" w:hAnsi="Arial" w:cs="Arial"/>
          <w:sz w:val="24"/>
          <w:szCs w:val="24"/>
        </w:rPr>
      </w:pPr>
      <w:r w:rsidRPr="00E00F13">
        <w:rPr>
          <w:rFonts w:ascii="Arial" w:eastAsia="Aptos" w:hAnsi="Arial" w:cs="Arial"/>
          <w:sz w:val="24"/>
          <w:szCs w:val="24"/>
        </w:rPr>
        <w:t>El programa asigna recursos de manera justa y diferenciada:</w:t>
      </w:r>
    </w:p>
    <w:p w14:paraId="01ECFC42" w14:textId="77777777" w:rsidR="00AA7F4C" w:rsidRPr="00E00F13" w:rsidRDefault="00AA7F4C">
      <w:pPr>
        <w:numPr>
          <w:ilvl w:val="0"/>
          <w:numId w:val="60"/>
        </w:numPr>
        <w:spacing w:after="0" w:line="360" w:lineRule="auto"/>
        <w:jc w:val="both"/>
        <w:rPr>
          <w:rFonts w:ascii="Arial" w:eastAsia="Aptos" w:hAnsi="Arial" w:cs="Arial"/>
          <w:sz w:val="24"/>
          <w:szCs w:val="24"/>
        </w:rPr>
      </w:pPr>
      <w:r w:rsidRPr="00E00F13">
        <w:rPr>
          <w:rFonts w:ascii="Arial" w:eastAsia="Aptos" w:hAnsi="Arial" w:cs="Arial"/>
          <w:sz w:val="24"/>
          <w:szCs w:val="24"/>
        </w:rPr>
        <w:t>Subsidio base: hasta 70 Salarios Mínimos Mensuales Legales Vigentes (SMMLV) para vivienda VIS nueva urbana o rural.</w:t>
      </w:r>
    </w:p>
    <w:p w14:paraId="7B962878" w14:textId="77777777" w:rsidR="00AA7F4C" w:rsidRPr="00E00F13" w:rsidRDefault="00AA7F4C">
      <w:pPr>
        <w:numPr>
          <w:ilvl w:val="0"/>
          <w:numId w:val="60"/>
        </w:numPr>
        <w:spacing w:after="0" w:line="360" w:lineRule="auto"/>
        <w:jc w:val="both"/>
        <w:rPr>
          <w:rFonts w:ascii="Arial" w:eastAsia="Aptos" w:hAnsi="Arial" w:cs="Arial"/>
          <w:sz w:val="24"/>
          <w:szCs w:val="24"/>
        </w:rPr>
      </w:pPr>
      <w:r w:rsidRPr="00E00F13">
        <w:rPr>
          <w:rFonts w:ascii="Arial" w:eastAsia="Aptos" w:hAnsi="Arial" w:cs="Arial"/>
          <w:sz w:val="24"/>
          <w:szCs w:val="24"/>
        </w:rPr>
        <w:t>Incremento por transporte en zonas rurales: hasta 20 SMMLV adicionales, previa justificación de la organización, aval del prestador de asistencia técnica y aprobación del interventor.</w:t>
      </w:r>
    </w:p>
    <w:p w14:paraId="4A9B8226" w14:textId="77777777" w:rsidR="00AA7F4C" w:rsidRPr="00E00F13" w:rsidRDefault="00AA7F4C">
      <w:pPr>
        <w:numPr>
          <w:ilvl w:val="0"/>
          <w:numId w:val="60"/>
        </w:numPr>
        <w:spacing w:after="0" w:line="360" w:lineRule="auto"/>
        <w:jc w:val="both"/>
        <w:rPr>
          <w:rFonts w:ascii="Arial" w:eastAsia="Aptos" w:hAnsi="Arial" w:cs="Arial"/>
          <w:sz w:val="24"/>
          <w:szCs w:val="24"/>
        </w:rPr>
      </w:pPr>
      <w:r w:rsidRPr="00E00F13">
        <w:rPr>
          <w:rFonts w:ascii="Arial" w:eastAsia="Aptos" w:hAnsi="Arial" w:cs="Arial"/>
          <w:sz w:val="24"/>
          <w:szCs w:val="24"/>
        </w:rPr>
        <w:t>Incremento superior (hasta 100 SMMLV) para los departamentos de San Andrés, Providencia, Amazonas, Chocó, Putumayo, Vichada, Guaviare, Vaupés y Guainía, garantizando llegada a los territorios más apartados.</w:t>
      </w:r>
    </w:p>
    <w:p w14:paraId="4ADCD4A1" w14:textId="77777777" w:rsidR="00AA7F4C" w:rsidRPr="00E00F13" w:rsidRDefault="00AA7F4C" w:rsidP="00AA7F4C">
      <w:pPr>
        <w:spacing w:after="0" w:line="360" w:lineRule="auto"/>
        <w:ind w:left="720"/>
        <w:jc w:val="both"/>
        <w:rPr>
          <w:rFonts w:ascii="Arial" w:eastAsia="Aptos" w:hAnsi="Arial" w:cs="Arial"/>
          <w:sz w:val="24"/>
          <w:szCs w:val="24"/>
        </w:rPr>
      </w:pPr>
    </w:p>
    <w:p w14:paraId="14D602C0" w14:textId="38E6C0DD" w:rsidR="00AA7F4C" w:rsidRPr="00E00F13" w:rsidRDefault="00AA7F4C" w:rsidP="00AA7F4C">
      <w:pPr>
        <w:spacing w:after="0" w:line="360" w:lineRule="auto"/>
        <w:jc w:val="both"/>
        <w:rPr>
          <w:rFonts w:ascii="Arial" w:eastAsia="Aptos" w:hAnsi="Arial" w:cs="Arial"/>
          <w:sz w:val="24"/>
          <w:szCs w:val="24"/>
        </w:rPr>
      </w:pPr>
      <w:r w:rsidRPr="00E00F13">
        <w:rPr>
          <w:rFonts w:ascii="Arial" w:eastAsia="Aptos" w:hAnsi="Arial" w:cs="Arial"/>
          <w:sz w:val="24"/>
          <w:szCs w:val="24"/>
        </w:rPr>
        <w:t>Los proyectos se fundamentan en tres elementos: suelo, organizaciones y habilitación técnica. Muchos hogares pueden entrar a este mecanismo en sectores legalizados urbanísticamente o sin legalizar, siempre que el predio no esté en riesgo. Esto significa la posibilidad de acceder porque ya tienen suelo con servicios públicos, lo que resuelve casi el 30% de la solución. Así se incorpora mucho suelo que la gente ha construido y el Estado finalmente lo reconoce</w:t>
      </w:r>
      <w:r w:rsidR="006F2F49" w:rsidRPr="00E00F13">
        <w:rPr>
          <w:rFonts w:ascii="Arial" w:eastAsia="Aptos" w:hAnsi="Arial" w:cs="Arial"/>
          <w:sz w:val="24"/>
          <w:szCs w:val="24"/>
        </w:rPr>
        <w:t xml:space="preserve"> (MVCT, 2026)</w:t>
      </w:r>
      <w:r w:rsidRPr="00E00F13">
        <w:rPr>
          <w:rFonts w:ascii="Arial" w:eastAsia="Aptos" w:hAnsi="Arial" w:cs="Arial"/>
          <w:sz w:val="24"/>
          <w:szCs w:val="24"/>
        </w:rPr>
        <w:t>.</w:t>
      </w:r>
    </w:p>
    <w:p w14:paraId="7134468E" w14:textId="77777777" w:rsidR="00AA7F4C" w:rsidRPr="00E00F13" w:rsidRDefault="00AA7F4C" w:rsidP="00AA7F4C">
      <w:pPr>
        <w:spacing w:after="0" w:line="360" w:lineRule="auto"/>
        <w:jc w:val="both"/>
        <w:rPr>
          <w:rFonts w:ascii="Arial" w:eastAsia="Aptos" w:hAnsi="Arial" w:cs="Arial"/>
          <w:sz w:val="24"/>
          <w:szCs w:val="24"/>
        </w:rPr>
      </w:pPr>
    </w:p>
    <w:p w14:paraId="7D83A85F" w14:textId="77777777" w:rsidR="00AA7F4C" w:rsidRPr="00E00F13" w:rsidRDefault="00AA7F4C" w:rsidP="00AA7F4C">
      <w:pPr>
        <w:pStyle w:val="Ttulo3"/>
        <w:rPr>
          <w:color w:val="auto"/>
        </w:rPr>
      </w:pPr>
      <w:bookmarkStart w:id="83" w:name="_Toc234242819"/>
      <w:r w:rsidRPr="00E00F13">
        <w:rPr>
          <w:color w:val="auto"/>
        </w:rPr>
        <w:t>Simplificación de trámites: licencias no requeridas con certificación profesional</w:t>
      </w:r>
      <w:bookmarkEnd w:id="83"/>
    </w:p>
    <w:p w14:paraId="3EDF4F34" w14:textId="77777777" w:rsidR="00AA7F4C" w:rsidRPr="00E00F13" w:rsidRDefault="00AA7F4C" w:rsidP="00AA7F4C">
      <w:pPr>
        <w:pStyle w:val="Prrafodelista"/>
        <w:spacing w:after="0" w:line="360" w:lineRule="auto"/>
        <w:jc w:val="both"/>
        <w:rPr>
          <w:rFonts w:ascii="Arial" w:eastAsia="Aptos" w:hAnsi="Arial" w:cs="Arial"/>
          <w:b/>
          <w:bCs/>
          <w:sz w:val="24"/>
          <w:szCs w:val="24"/>
        </w:rPr>
      </w:pPr>
    </w:p>
    <w:p w14:paraId="17EE6020" w14:textId="77777777" w:rsidR="00AA7F4C" w:rsidRDefault="00AA7F4C" w:rsidP="00AA7F4C">
      <w:pPr>
        <w:spacing w:after="0" w:line="360" w:lineRule="auto"/>
        <w:jc w:val="both"/>
        <w:rPr>
          <w:rFonts w:ascii="Arial" w:eastAsia="Aptos" w:hAnsi="Arial" w:cs="Arial"/>
          <w:sz w:val="24"/>
          <w:szCs w:val="24"/>
        </w:rPr>
      </w:pPr>
      <w:r w:rsidRPr="00E00F13">
        <w:rPr>
          <w:rFonts w:ascii="Arial" w:eastAsia="Aptos" w:hAnsi="Arial" w:cs="Arial"/>
          <w:sz w:val="24"/>
          <w:szCs w:val="24"/>
        </w:rPr>
        <w:t>Gracias a la armonización con el Decreto 1166 de 2025, no se requieren licencias de construcción cuando las organizaciones cuenten con profesionales de arquitectura o ingeniería que certifiquen el cumplimiento de las normas de construcción generales (incluyendo la Ley 400 de 1997 de sismo-resistencia, a través del supervisor técnico). Esto elimina barreras burocráticas y agiliza los procesos comunitarios.</w:t>
      </w:r>
    </w:p>
    <w:p w14:paraId="49E48014" w14:textId="2C981D02" w:rsidR="00DF4EA1" w:rsidRPr="00E00F13" w:rsidRDefault="00DF4EA1" w:rsidP="00AA7F4C">
      <w:pPr>
        <w:spacing w:after="0" w:line="360" w:lineRule="auto"/>
        <w:jc w:val="both"/>
        <w:rPr>
          <w:rFonts w:ascii="Arial" w:eastAsia="Aptos" w:hAnsi="Arial" w:cs="Arial"/>
          <w:sz w:val="24"/>
          <w:szCs w:val="24"/>
        </w:rPr>
      </w:pPr>
      <w:r w:rsidRPr="00DF4EA1">
        <w:rPr>
          <w:rFonts w:ascii="Arial" w:eastAsia="Aptos" w:hAnsi="Arial" w:cs="Arial"/>
          <w:noProof/>
          <w:sz w:val="24"/>
          <w:szCs w:val="24"/>
        </w:rPr>
        <w:lastRenderedPageBreak/>
        <w:drawing>
          <wp:inline distT="0" distB="0" distL="0" distR="0" wp14:anchorId="629D9E2E" wp14:editId="7783EC2B">
            <wp:extent cx="5612130" cy="3156585"/>
            <wp:effectExtent l="0" t="0" r="1270" b="5715"/>
            <wp:docPr id="366385144" name="Imagen 2">
              <a:extLst xmlns:a="http://schemas.openxmlformats.org/drawingml/2006/main">
                <a:ext uri="{FF2B5EF4-FFF2-40B4-BE49-F238E27FC236}">
                  <a16:creationId xmlns:a16="http://schemas.microsoft.com/office/drawing/2014/main" id="{8BA62C88-1CFE-5DB1-352D-3622901C44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8BA62C88-1CFE-5DB1-352D-3622901C44D4}"/>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612130" cy="3156585"/>
                    </a:xfrm>
                    <a:prstGeom prst="rect">
                      <a:avLst/>
                    </a:prstGeom>
                  </pic:spPr>
                </pic:pic>
              </a:graphicData>
            </a:graphic>
          </wp:inline>
        </w:drawing>
      </w:r>
    </w:p>
    <w:p w14:paraId="2EEA641F" w14:textId="77777777" w:rsidR="00AA7F4C" w:rsidRPr="00E00F13" w:rsidRDefault="00AA7F4C" w:rsidP="00AA7F4C">
      <w:pPr>
        <w:spacing w:after="0" w:line="360" w:lineRule="auto"/>
        <w:jc w:val="both"/>
        <w:rPr>
          <w:rFonts w:ascii="Arial" w:eastAsia="Aptos" w:hAnsi="Arial" w:cs="Arial"/>
          <w:sz w:val="24"/>
          <w:szCs w:val="24"/>
        </w:rPr>
      </w:pPr>
    </w:p>
    <w:p w14:paraId="06E320F7" w14:textId="0B72A108" w:rsidR="00AA7F4C" w:rsidRPr="00E00F13" w:rsidRDefault="00AA7F4C" w:rsidP="00AA7F4C">
      <w:pPr>
        <w:pStyle w:val="Ttulo3"/>
        <w:rPr>
          <w:color w:val="auto"/>
        </w:rPr>
      </w:pPr>
      <w:bookmarkStart w:id="84" w:name="_Toc234242820"/>
      <w:r w:rsidRPr="00E00F13">
        <w:rPr>
          <w:color w:val="auto"/>
        </w:rPr>
        <w:t>Operatividad transparente y al servicio de la comunidad</w:t>
      </w:r>
      <w:bookmarkEnd w:id="84"/>
    </w:p>
    <w:p w14:paraId="527464B1" w14:textId="77777777" w:rsidR="00AA7F4C" w:rsidRPr="00E00F13" w:rsidRDefault="00AA7F4C">
      <w:pPr>
        <w:numPr>
          <w:ilvl w:val="0"/>
          <w:numId w:val="59"/>
        </w:numPr>
        <w:spacing w:after="0" w:line="360" w:lineRule="auto"/>
        <w:jc w:val="both"/>
        <w:rPr>
          <w:rFonts w:ascii="Arial" w:eastAsia="Aptos" w:hAnsi="Arial" w:cs="Arial"/>
          <w:sz w:val="24"/>
          <w:szCs w:val="24"/>
        </w:rPr>
      </w:pPr>
      <w:r w:rsidRPr="00E00F13">
        <w:rPr>
          <w:rFonts w:ascii="Arial" w:eastAsia="Aptos" w:hAnsi="Arial" w:cs="Arial"/>
          <w:sz w:val="24"/>
          <w:szCs w:val="24"/>
        </w:rPr>
        <w:t>Desembolsos parciales por hitos verificables: el subsidio se entrega progresivamente según avances reales de obra, supervisados por interventoría y asistencia técnica.</w:t>
      </w:r>
    </w:p>
    <w:p w14:paraId="5647C6A5" w14:textId="77777777" w:rsidR="00AA7F4C" w:rsidRPr="00E00F13" w:rsidRDefault="00AA7F4C">
      <w:pPr>
        <w:numPr>
          <w:ilvl w:val="0"/>
          <w:numId w:val="59"/>
        </w:numPr>
        <w:spacing w:after="0" w:line="360" w:lineRule="auto"/>
        <w:jc w:val="both"/>
        <w:rPr>
          <w:rFonts w:ascii="Arial" w:eastAsia="Aptos" w:hAnsi="Arial" w:cs="Arial"/>
          <w:sz w:val="24"/>
          <w:szCs w:val="24"/>
        </w:rPr>
      </w:pPr>
      <w:r w:rsidRPr="00E00F13">
        <w:rPr>
          <w:rFonts w:ascii="Arial" w:eastAsia="Aptos" w:hAnsi="Arial" w:cs="Arial"/>
          <w:sz w:val="24"/>
          <w:szCs w:val="24"/>
        </w:rPr>
        <w:t>Crédito popular con el Fondo Nacional del Ahorro (FNA): el FNA otorga créditos a organizaciones de la economía popular con garantías flexibles (hipotecas, avales, garantías personales o mobiliarias), previo análisis de riesgo.</w:t>
      </w:r>
    </w:p>
    <w:p w14:paraId="1A9C9ACF" w14:textId="77777777" w:rsidR="00AA7F4C" w:rsidRPr="00E00F13" w:rsidRDefault="00AA7F4C">
      <w:pPr>
        <w:numPr>
          <w:ilvl w:val="0"/>
          <w:numId w:val="59"/>
        </w:numPr>
        <w:spacing w:after="0" w:line="360" w:lineRule="auto"/>
        <w:jc w:val="both"/>
        <w:rPr>
          <w:rFonts w:ascii="Arial" w:eastAsia="Aptos" w:hAnsi="Arial" w:cs="Arial"/>
          <w:sz w:val="24"/>
          <w:szCs w:val="24"/>
        </w:rPr>
      </w:pPr>
      <w:r w:rsidRPr="00E00F13">
        <w:rPr>
          <w:rFonts w:ascii="Arial" w:eastAsia="Aptos" w:hAnsi="Arial" w:cs="Arial"/>
          <w:sz w:val="24"/>
          <w:szCs w:val="24"/>
        </w:rPr>
        <w:t>Formación y capacitación: el SENA, la ESAP y otras entidades forman a las comunidades, especialmente en zonas de difícil acceso o dispersión, transfiriendo conocimiento y autonomía.</w:t>
      </w:r>
    </w:p>
    <w:p w14:paraId="04EBBC23" w14:textId="77777777" w:rsidR="00AA7F4C" w:rsidRPr="00E00F13" w:rsidRDefault="00AA7F4C" w:rsidP="00AA7F4C">
      <w:pPr>
        <w:spacing w:after="0" w:line="360" w:lineRule="auto"/>
        <w:jc w:val="both"/>
        <w:rPr>
          <w:rFonts w:ascii="Arial" w:eastAsia="Aptos" w:hAnsi="Arial" w:cs="Arial"/>
          <w:sz w:val="24"/>
          <w:szCs w:val="24"/>
        </w:rPr>
      </w:pPr>
    </w:p>
    <w:p w14:paraId="629D4263" w14:textId="3E430017" w:rsidR="00AA7F4C" w:rsidRPr="00E00F13" w:rsidRDefault="00AA7F4C" w:rsidP="00AA7F4C">
      <w:pPr>
        <w:pStyle w:val="Ttulo3"/>
        <w:rPr>
          <w:color w:val="auto"/>
        </w:rPr>
      </w:pPr>
      <w:bookmarkStart w:id="85" w:name="_Toc234242821"/>
      <w:r w:rsidRPr="00E00F13">
        <w:rPr>
          <w:color w:val="auto"/>
        </w:rPr>
        <w:t>Recuperar la autogestión como ejercicio práctico y soberano</w:t>
      </w:r>
      <w:bookmarkEnd w:id="85"/>
    </w:p>
    <w:p w14:paraId="36CC0B2D" w14:textId="4A0EAC38" w:rsidR="00041ECB" w:rsidRPr="00E00F13" w:rsidRDefault="00AA7F4C" w:rsidP="00AA7F4C">
      <w:pPr>
        <w:spacing w:after="0" w:line="360" w:lineRule="auto"/>
        <w:jc w:val="both"/>
        <w:rPr>
          <w:rFonts w:ascii="Arial" w:eastAsia="Aptos" w:hAnsi="Arial" w:cs="Arial"/>
          <w:sz w:val="24"/>
          <w:szCs w:val="24"/>
        </w:rPr>
      </w:pPr>
      <w:r w:rsidRPr="00E00F13">
        <w:rPr>
          <w:rFonts w:ascii="Arial" w:eastAsia="Aptos" w:hAnsi="Arial" w:cs="Arial"/>
          <w:sz w:val="24"/>
          <w:szCs w:val="24"/>
        </w:rPr>
        <w:t>La autogestión era un ejercicio práctico en Colombia que este gobierno del cambio retoma con mecanismos operativos funcionales. Así, sin depender de estructuras inmobiliarias y financieras de las grandes ciudades, las comunidades acceden a la vivienda de manera organizada, solidaria y sostenible</w:t>
      </w:r>
      <w:r w:rsidR="006F2F49" w:rsidRPr="00E00F13">
        <w:rPr>
          <w:rFonts w:ascii="Arial" w:eastAsia="Aptos" w:hAnsi="Arial" w:cs="Arial"/>
          <w:sz w:val="24"/>
          <w:szCs w:val="24"/>
        </w:rPr>
        <w:t xml:space="preserve"> (MVCT, 2026)</w:t>
      </w:r>
      <w:r w:rsidRPr="00E00F13">
        <w:rPr>
          <w:rFonts w:ascii="Arial" w:eastAsia="Aptos" w:hAnsi="Arial" w:cs="Arial"/>
          <w:sz w:val="24"/>
          <w:szCs w:val="24"/>
        </w:rPr>
        <w:t>.</w:t>
      </w:r>
    </w:p>
    <w:p w14:paraId="355B890C" w14:textId="77777777" w:rsidR="00041ECB" w:rsidRPr="00E00F13" w:rsidRDefault="00041ECB" w:rsidP="00AA7F4C">
      <w:pPr>
        <w:spacing w:after="0" w:line="360" w:lineRule="auto"/>
        <w:jc w:val="both"/>
        <w:rPr>
          <w:rFonts w:ascii="Arial" w:eastAsia="Aptos" w:hAnsi="Arial" w:cs="Arial"/>
          <w:sz w:val="24"/>
          <w:szCs w:val="24"/>
        </w:rPr>
      </w:pPr>
    </w:p>
    <w:p w14:paraId="3A1E697B" w14:textId="59F9F7C9" w:rsidR="00AA7F4C" w:rsidRPr="00E00F13" w:rsidRDefault="00AA7F4C" w:rsidP="000761DB">
      <w:pPr>
        <w:spacing w:after="0" w:line="360" w:lineRule="auto"/>
        <w:jc w:val="both"/>
        <w:rPr>
          <w:rFonts w:ascii="Arial" w:eastAsia="Aptos" w:hAnsi="Arial" w:cs="Arial"/>
          <w:sz w:val="24"/>
          <w:szCs w:val="24"/>
        </w:rPr>
      </w:pPr>
      <w:r w:rsidRPr="00E00F13">
        <w:rPr>
          <w:rFonts w:ascii="Arial" w:eastAsia="Aptos" w:hAnsi="Arial" w:cs="Arial"/>
          <w:sz w:val="24"/>
          <w:szCs w:val="24"/>
        </w:rPr>
        <w:lastRenderedPageBreak/>
        <w:t xml:space="preserve">El Decreto 0585 de 2025 es una herramienta de justicia territorial, de reconocimiento del esfuerzo popular, de fortalecimiento del tejido social y de construcción de paz desde el hábitat. La vivienda es el medio. El fin es una sociedad más organizada, </w:t>
      </w:r>
      <w:proofErr w:type="gramStart"/>
      <w:r w:rsidRPr="00E00F13">
        <w:rPr>
          <w:rFonts w:ascii="Arial" w:eastAsia="Aptos" w:hAnsi="Arial" w:cs="Arial"/>
          <w:sz w:val="24"/>
          <w:szCs w:val="24"/>
        </w:rPr>
        <w:t>más resiliente y más apropiada</w:t>
      </w:r>
      <w:proofErr w:type="gramEnd"/>
      <w:r w:rsidRPr="00E00F13">
        <w:rPr>
          <w:rFonts w:ascii="Arial" w:eastAsia="Aptos" w:hAnsi="Arial" w:cs="Arial"/>
          <w:sz w:val="24"/>
          <w:szCs w:val="24"/>
        </w:rPr>
        <w:t xml:space="preserve"> de su territorio. Ese es el verdadero cambio</w:t>
      </w:r>
      <w:r w:rsidR="006F2F49" w:rsidRPr="00E00F13">
        <w:rPr>
          <w:rFonts w:ascii="Arial" w:eastAsia="Aptos" w:hAnsi="Arial" w:cs="Arial"/>
          <w:sz w:val="24"/>
          <w:szCs w:val="24"/>
        </w:rPr>
        <w:t xml:space="preserve"> (MVCT, 2026)</w:t>
      </w:r>
      <w:r w:rsidRPr="00E00F13">
        <w:rPr>
          <w:rFonts w:ascii="Arial" w:eastAsia="Aptos" w:hAnsi="Arial" w:cs="Arial"/>
          <w:sz w:val="24"/>
          <w:szCs w:val="24"/>
        </w:rPr>
        <w:t>.</w:t>
      </w:r>
    </w:p>
    <w:p w14:paraId="2D921BB7" w14:textId="3A9E8D4C" w:rsidR="00E372F2" w:rsidRPr="00E00F13" w:rsidRDefault="00FD44FA" w:rsidP="00FD44FA">
      <w:pPr>
        <w:pStyle w:val="Ttulo3"/>
        <w:rPr>
          <w:color w:val="auto"/>
        </w:rPr>
      </w:pPr>
      <w:bookmarkStart w:id="86" w:name="_Toc213341851"/>
      <w:bookmarkStart w:id="87" w:name="_Hlk212631933"/>
      <w:bookmarkStart w:id="88" w:name="_Toc234242822"/>
      <w:r w:rsidRPr="00E00F13">
        <w:rPr>
          <w:color w:val="auto"/>
        </w:rPr>
        <w:t>2</w:t>
      </w:r>
      <w:r w:rsidR="00E372F2" w:rsidRPr="00E00F13">
        <w:rPr>
          <w:color w:val="auto"/>
        </w:rPr>
        <w:t>.</w:t>
      </w:r>
      <w:r w:rsidRPr="00E00F13">
        <w:rPr>
          <w:color w:val="auto"/>
        </w:rPr>
        <w:t>4</w:t>
      </w:r>
      <w:r w:rsidR="00E372F2" w:rsidRPr="00E00F13">
        <w:rPr>
          <w:color w:val="auto"/>
        </w:rPr>
        <w:t>.2. Vivienda usada</w:t>
      </w:r>
      <w:bookmarkEnd w:id="86"/>
      <w:bookmarkEnd w:id="88"/>
      <w:r w:rsidRPr="00E00F13">
        <w:rPr>
          <w:color w:val="auto"/>
        </w:rPr>
        <w:t xml:space="preserve"> </w:t>
      </w:r>
    </w:p>
    <w:p w14:paraId="79BD790D" w14:textId="06ECFFC2" w:rsidR="0018386B" w:rsidRPr="00E00F13" w:rsidRDefault="0018386B" w:rsidP="0018386B">
      <w:pPr>
        <w:spacing w:line="360" w:lineRule="auto"/>
        <w:jc w:val="both"/>
        <w:rPr>
          <w:rFonts w:ascii="Arial" w:hAnsi="Arial" w:cs="Arial"/>
          <w:sz w:val="24"/>
          <w:szCs w:val="24"/>
          <w:lang w:val="es-ES"/>
        </w:rPr>
      </w:pPr>
      <w:r w:rsidRPr="00E00F13">
        <w:rPr>
          <w:rFonts w:ascii="Arial" w:hAnsi="Arial" w:cs="Arial"/>
          <w:sz w:val="24"/>
          <w:szCs w:val="24"/>
          <w:lang w:val="es-ES"/>
        </w:rPr>
        <w:t xml:space="preserve">El Decreto 775 del 7 de julio de 2025, expedido por el MVCT, constituye un hito en la política habitacional colombiana al habilitar, por primera vez en la historia del país, la aplicación del Subsidio Familiar de Vivienda (SFV) en la modalidad de adquisición de vivienda usada a través de Fonvivienda y las Cajas de Compensación Familiar. </w:t>
      </w:r>
    </w:p>
    <w:p w14:paraId="7F67CACB" w14:textId="77777777" w:rsidR="0018386B" w:rsidRPr="00E00F13" w:rsidRDefault="0018386B" w:rsidP="0018386B">
      <w:pPr>
        <w:spacing w:line="360" w:lineRule="auto"/>
        <w:jc w:val="both"/>
        <w:rPr>
          <w:rFonts w:ascii="Arial" w:hAnsi="Arial" w:cs="Arial"/>
          <w:sz w:val="24"/>
          <w:szCs w:val="24"/>
          <w:lang w:val="es-ES"/>
        </w:rPr>
      </w:pPr>
      <w:r w:rsidRPr="00E00F13">
        <w:rPr>
          <w:rFonts w:ascii="Arial" w:hAnsi="Arial" w:cs="Arial"/>
          <w:sz w:val="24"/>
          <w:szCs w:val="24"/>
          <w:lang w:val="es-ES"/>
        </w:rPr>
        <w:t xml:space="preserve">La medida está dirigida a hogares con uno o más miembros víctimas del conflicto armado, población en proceso de reincorporación, madres comunitarias o recicladores de oficio, y aplica además en aquellas zonas donde no ha llegado la oferta de VIS nueva, en departamentos apartados o en zonas fronterizas de difícil acceso, o donde tampoco sea suficiente para cubrir la demanda. </w:t>
      </w:r>
    </w:p>
    <w:p w14:paraId="44B34D21" w14:textId="1D2E2F7E" w:rsidR="0018386B" w:rsidRPr="00E00F13" w:rsidRDefault="0018386B" w:rsidP="0018386B">
      <w:pPr>
        <w:spacing w:line="360" w:lineRule="auto"/>
        <w:jc w:val="both"/>
        <w:rPr>
          <w:rFonts w:ascii="Arial" w:hAnsi="Arial" w:cs="Arial"/>
          <w:sz w:val="24"/>
          <w:szCs w:val="24"/>
          <w:lang w:val="es-ES"/>
        </w:rPr>
      </w:pPr>
      <w:r w:rsidRPr="00E00F13">
        <w:rPr>
          <w:rFonts w:ascii="Arial" w:hAnsi="Arial" w:cs="Arial"/>
          <w:sz w:val="24"/>
          <w:szCs w:val="24"/>
          <w:lang w:val="es-ES"/>
        </w:rPr>
        <w:t xml:space="preserve">El </w:t>
      </w:r>
      <w:proofErr w:type="gramStart"/>
      <w:r w:rsidRPr="00E00F13">
        <w:rPr>
          <w:rFonts w:ascii="Arial" w:hAnsi="Arial" w:cs="Arial"/>
          <w:sz w:val="24"/>
          <w:szCs w:val="24"/>
          <w:lang w:val="es-ES"/>
        </w:rPr>
        <w:t>decreto habilita</w:t>
      </w:r>
      <w:proofErr w:type="gramEnd"/>
      <w:r w:rsidRPr="00E00F13">
        <w:rPr>
          <w:rFonts w:ascii="Arial" w:hAnsi="Arial" w:cs="Arial"/>
          <w:sz w:val="24"/>
          <w:szCs w:val="24"/>
          <w:lang w:val="es-ES"/>
        </w:rPr>
        <w:t xml:space="preserve"> y reglamenta el uso del SFV para la adquisición de vivienda usada en Colombia, priorizando a población vulnerable, incluyendo víctimas del conflicto, reincorporados, madres comunitarias y recicladores de oficio y ampliando las oportunidades para acceder al derecho fundamental a una vivienda digna. </w:t>
      </w:r>
    </w:p>
    <w:p w14:paraId="7BEDF349" w14:textId="77777777" w:rsidR="000750DB" w:rsidRPr="00E00F13" w:rsidRDefault="0018386B" w:rsidP="0018386B">
      <w:pPr>
        <w:spacing w:line="360" w:lineRule="auto"/>
        <w:jc w:val="both"/>
        <w:rPr>
          <w:rFonts w:ascii="Arial" w:hAnsi="Arial" w:cs="Arial"/>
          <w:sz w:val="24"/>
          <w:szCs w:val="24"/>
          <w:lang w:val="es-ES"/>
        </w:rPr>
      </w:pPr>
      <w:r w:rsidRPr="00E00F13">
        <w:rPr>
          <w:rFonts w:ascii="Arial" w:hAnsi="Arial" w:cs="Arial"/>
          <w:sz w:val="24"/>
          <w:szCs w:val="24"/>
          <w:lang w:val="es-ES"/>
        </w:rPr>
        <w:t xml:space="preserve">Lo verdaderamente transformador de este decreto no es solo técnico, es político y de visión de ciudad. El modelo tradicional de política de vivienda en Colombia operó durante décadas bajo el supuesto de que el déficit habitacional se resuelve exclusivamente produciendo unidades nuevas en las periferias urbanas, relegando el inmenso patrimonio construido de las ciudades a un mercado secundario sin respaldo estatal. El Decreto 775 de 2025 reconoce que comprar vivienda usada puede ser más económico y viable para muchas familias, especialmente en ciudades con infraestructura consolidada, y que aprovechar el tejido urbano ya existente permite avanzar en los Objetivos de Desarrollo Sostenible, al reutilizar zonas habitadas con servicios públicos, vías y equipamientos ya disponibles. </w:t>
      </w:r>
    </w:p>
    <w:p w14:paraId="179D2E84" w14:textId="77777777" w:rsidR="000750DB" w:rsidRPr="00E00F13" w:rsidRDefault="0018386B" w:rsidP="0018386B">
      <w:pPr>
        <w:spacing w:line="360" w:lineRule="auto"/>
        <w:jc w:val="both"/>
        <w:rPr>
          <w:rFonts w:ascii="Arial" w:hAnsi="Arial" w:cs="Arial"/>
          <w:sz w:val="24"/>
          <w:szCs w:val="24"/>
          <w:lang w:val="es-ES"/>
        </w:rPr>
      </w:pPr>
      <w:r w:rsidRPr="00E00F13">
        <w:rPr>
          <w:rFonts w:ascii="Arial" w:hAnsi="Arial" w:cs="Arial"/>
          <w:sz w:val="24"/>
          <w:szCs w:val="24"/>
          <w:lang w:val="es-ES"/>
        </w:rPr>
        <w:lastRenderedPageBreak/>
        <w:t>Este giro implica que el Estado colombiano</w:t>
      </w:r>
      <w:r w:rsidR="000750DB" w:rsidRPr="00E00F13">
        <w:rPr>
          <w:rFonts w:ascii="Arial" w:hAnsi="Arial" w:cs="Arial"/>
          <w:sz w:val="24"/>
          <w:szCs w:val="24"/>
          <w:lang w:val="es-ES"/>
        </w:rPr>
        <w:t xml:space="preserve">, desde la política determinada por un gobierno de corte progresista, </w:t>
      </w:r>
      <w:r w:rsidRPr="00E00F13">
        <w:rPr>
          <w:rFonts w:ascii="Arial" w:hAnsi="Arial" w:cs="Arial"/>
          <w:sz w:val="24"/>
          <w:szCs w:val="24"/>
          <w:lang w:val="es-ES"/>
        </w:rPr>
        <w:t xml:space="preserve">empieza a concebir la ciudad como un territorio vivo, donde la reutilización habitacional existente es también una forma legítima y más sostenible de garantizar el derecho a la vivienda digna. </w:t>
      </w:r>
    </w:p>
    <w:p w14:paraId="30EC92B5" w14:textId="2A447CEB" w:rsidR="00FD44FA" w:rsidRPr="00E00F13" w:rsidRDefault="0018386B" w:rsidP="0018386B">
      <w:pPr>
        <w:spacing w:line="360" w:lineRule="auto"/>
        <w:jc w:val="both"/>
        <w:rPr>
          <w:rFonts w:ascii="Arial" w:hAnsi="Arial" w:cs="Arial"/>
          <w:sz w:val="24"/>
          <w:szCs w:val="24"/>
          <w:lang w:val="es-ES"/>
        </w:rPr>
      </w:pPr>
      <w:r w:rsidRPr="00E00F13">
        <w:rPr>
          <w:rFonts w:ascii="Arial" w:hAnsi="Arial" w:cs="Arial"/>
          <w:sz w:val="24"/>
          <w:szCs w:val="24"/>
          <w:lang w:val="es-ES"/>
        </w:rPr>
        <w:t>Al formalizar y subsidiar ese mercado, el Decreto 775 cierra una brecha histórica de equidad</w:t>
      </w:r>
      <w:r w:rsidR="000750DB" w:rsidRPr="00E00F13">
        <w:rPr>
          <w:rFonts w:ascii="Arial" w:hAnsi="Arial" w:cs="Arial"/>
          <w:sz w:val="24"/>
          <w:szCs w:val="24"/>
          <w:lang w:val="es-ES"/>
        </w:rPr>
        <w:t xml:space="preserve">, pues, </w:t>
      </w:r>
      <w:r w:rsidRPr="00E00F13">
        <w:rPr>
          <w:rFonts w:ascii="Arial" w:hAnsi="Arial" w:cs="Arial"/>
          <w:sz w:val="24"/>
          <w:szCs w:val="24"/>
          <w:lang w:val="es-ES"/>
        </w:rPr>
        <w:t>hasta su expedición, solo quienes podían esperar años por un proyecto nuevo o quienes tenían acceso al crédito hipotecario convencional podían aspirar a vivienda propia con apoyo del Estado. Ahora, las víctimas del conflicto armado, las madres comunitarias, los recicladores de oficio y las comunidades de territorios apartados tienen, por mandato normativo, una puerta de entrada al patrimonio urbano consolidado de la nación.</w:t>
      </w:r>
    </w:p>
    <w:p w14:paraId="7306CA7F" w14:textId="77777777" w:rsidR="0018386B" w:rsidRPr="00E00F13" w:rsidRDefault="0018386B" w:rsidP="00FD44FA"/>
    <w:p w14:paraId="593DF71F" w14:textId="0E072014" w:rsidR="00E372F2" w:rsidRPr="00E00F13" w:rsidRDefault="00FD44FA" w:rsidP="00FD44FA">
      <w:pPr>
        <w:pStyle w:val="Ttulo3"/>
        <w:rPr>
          <w:color w:val="auto"/>
        </w:rPr>
      </w:pPr>
      <w:bookmarkStart w:id="89" w:name="_Toc213341852"/>
      <w:bookmarkStart w:id="90" w:name="_Toc234242823"/>
      <w:r w:rsidRPr="00E00F13">
        <w:rPr>
          <w:color w:val="auto"/>
        </w:rPr>
        <w:t>2</w:t>
      </w:r>
      <w:r w:rsidR="00E372F2" w:rsidRPr="00E00F13">
        <w:rPr>
          <w:color w:val="auto"/>
        </w:rPr>
        <w:t>.</w:t>
      </w:r>
      <w:r w:rsidRPr="00E00F13">
        <w:rPr>
          <w:color w:val="auto"/>
        </w:rPr>
        <w:t>4</w:t>
      </w:r>
      <w:r w:rsidR="00E372F2" w:rsidRPr="00E00F13">
        <w:rPr>
          <w:color w:val="auto"/>
        </w:rPr>
        <w:t xml:space="preserve">.3. </w:t>
      </w:r>
      <w:r w:rsidR="00FF19A2" w:rsidRPr="00E00F13">
        <w:rPr>
          <w:color w:val="auto"/>
        </w:rPr>
        <w:t>El m</w:t>
      </w:r>
      <w:r w:rsidR="00E372F2" w:rsidRPr="00E00F13">
        <w:rPr>
          <w:color w:val="auto"/>
        </w:rPr>
        <w:t>ejoramiento de vivienda</w:t>
      </w:r>
      <w:bookmarkEnd w:id="89"/>
      <w:r w:rsidR="00D82AC2" w:rsidRPr="00E00F13">
        <w:rPr>
          <w:color w:val="auto"/>
        </w:rPr>
        <w:t>, el énfasis en lo rural</w:t>
      </w:r>
      <w:r w:rsidR="00FF19A2" w:rsidRPr="00E00F13">
        <w:rPr>
          <w:color w:val="auto"/>
        </w:rPr>
        <w:t xml:space="preserve"> y los datos que sustentan</w:t>
      </w:r>
      <w:r w:rsidR="00D82AC2" w:rsidRPr="00E00F13">
        <w:rPr>
          <w:color w:val="auto"/>
        </w:rPr>
        <w:t xml:space="preserve"> el cambio de paradigma</w:t>
      </w:r>
      <w:bookmarkEnd w:id="90"/>
    </w:p>
    <w:p w14:paraId="5F12AE02" w14:textId="6FD16133" w:rsidR="00990D1A" w:rsidRDefault="00990D1A" w:rsidP="00990D1A">
      <w:pPr>
        <w:spacing w:line="360" w:lineRule="auto"/>
        <w:jc w:val="both"/>
        <w:rPr>
          <w:rFonts w:ascii="Arial" w:hAnsi="Arial" w:cs="Arial"/>
          <w:sz w:val="24"/>
          <w:szCs w:val="24"/>
          <w:lang w:val="es-ES"/>
        </w:rPr>
      </w:pPr>
      <w:r w:rsidRPr="00E00F13">
        <w:rPr>
          <w:rFonts w:ascii="Arial" w:hAnsi="Arial" w:cs="Arial"/>
          <w:sz w:val="24"/>
          <w:szCs w:val="24"/>
          <w:lang w:val="es-ES"/>
        </w:rPr>
        <w:t>El Decreto 413 del 3 de abril de 2025, expedido bajo la firma de la ministra Helga María Rivas Ardila, es otro de los decretos expedidos por el MVCT durante la gestión del gobierno progresista que transforma de manera estructural la vivienda en Colombia.</w:t>
      </w:r>
    </w:p>
    <w:p w14:paraId="696AA5B1" w14:textId="5196C212" w:rsidR="00F9438B" w:rsidRPr="00E00F13" w:rsidRDefault="00F9438B" w:rsidP="00990D1A">
      <w:pPr>
        <w:spacing w:line="360" w:lineRule="auto"/>
        <w:jc w:val="both"/>
        <w:rPr>
          <w:rFonts w:ascii="Arial" w:hAnsi="Arial" w:cs="Arial"/>
          <w:sz w:val="24"/>
          <w:szCs w:val="24"/>
          <w:lang w:val="es-ES"/>
        </w:rPr>
      </w:pPr>
      <w:r w:rsidRPr="00F9438B">
        <w:rPr>
          <w:rFonts w:ascii="Arial" w:hAnsi="Arial" w:cs="Arial"/>
          <w:noProof/>
          <w:sz w:val="24"/>
          <w:szCs w:val="24"/>
        </w:rPr>
        <w:drawing>
          <wp:inline distT="0" distB="0" distL="0" distR="0" wp14:anchorId="1FA00E06" wp14:editId="06A0B92B">
            <wp:extent cx="5612130" cy="3156585"/>
            <wp:effectExtent l="0" t="0" r="1270" b="5715"/>
            <wp:docPr id="4" name="Imagen 3">
              <a:extLst xmlns:a="http://schemas.openxmlformats.org/drawingml/2006/main">
                <a:ext uri="{FF2B5EF4-FFF2-40B4-BE49-F238E27FC236}">
                  <a16:creationId xmlns:a16="http://schemas.microsoft.com/office/drawing/2014/main" id="{E75379C6-9CB6-EC4D-4EEF-24F2406649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a:extLst>
                        <a:ext uri="{FF2B5EF4-FFF2-40B4-BE49-F238E27FC236}">
                          <a16:creationId xmlns:a16="http://schemas.microsoft.com/office/drawing/2014/main" id="{E75379C6-9CB6-EC4D-4EEF-24F24066495D}"/>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612130" cy="3156585"/>
                    </a:xfrm>
                    <a:prstGeom prst="rect">
                      <a:avLst/>
                    </a:prstGeom>
                  </pic:spPr>
                </pic:pic>
              </a:graphicData>
            </a:graphic>
          </wp:inline>
        </w:drawing>
      </w:r>
    </w:p>
    <w:p w14:paraId="36CEF224" w14:textId="466298F0" w:rsidR="00990D1A" w:rsidRPr="00E00F13" w:rsidRDefault="00990D1A" w:rsidP="00990D1A">
      <w:pPr>
        <w:spacing w:line="360" w:lineRule="auto"/>
        <w:jc w:val="both"/>
        <w:rPr>
          <w:rFonts w:ascii="Arial" w:hAnsi="Arial" w:cs="Arial"/>
          <w:sz w:val="24"/>
          <w:szCs w:val="24"/>
          <w:lang w:val="es-ES"/>
        </w:rPr>
      </w:pPr>
      <w:r w:rsidRPr="00E00F13">
        <w:rPr>
          <w:rFonts w:ascii="Arial" w:hAnsi="Arial" w:cs="Arial"/>
          <w:sz w:val="24"/>
          <w:szCs w:val="24"/>
          <w:lang w:val="es-ES"/>
        </w:rPr>
        <w:lastRenderedPageBreak/>
        <w:t xml:space="preserve">Con el decreto, el actual programa de mejoramiento de vivienda en Colombia </w:t>
      </w:r>
      <w:r w:rsidR="00FF19A2" w:rsidRPr="00E00F13">
        <w:rPr>
          <w:rFonts w:ascii="Arial" w:hAnsi="Arial" w:cs="Arial"/>
          <w:sz w:val="24"/>
          <w:szCs w:val="24"/>
          <w:lang w:val="es-ES"/>
        </w:rPr>
        <w:t xml:space="preserve">permite </w:t>
      </w:r>
      <w:r w:rsidRPr="00E00F13">
        <w:rPr>
          <w:rFonts w:ascii="Arial" w:hAnsi="Arial" w:cs="Arial"/>
          <w:sz w:val="24"/>
          <w:szCs w:val="24"/>
          <w:lang w:val="es-ES"/>
        </w:rPr>
        <w:t xml:space="preserve">superar las limitaciones de programas anteriores concebidos solo para el ámbito urbano y extiende su alcance de manera integral al suelo rural. Por lo que reconoce la profundidad del déficit cualitativo como el rostro más invisibilizado del problema habitacional en el país. </w:t>
      </w:r>
    </w:p>
    <w:p w14:paraId="2290AC56" w14:textId="77777777" w:rsidR="00BE41DB" w:rsidRPr="00E00F13" w:rsidRDefault="00990D1A" w:rsidP="00990D1A">
      <w:pPr>
        <w:spacing w:line="360" w:lineRule="auto"/>
        <w:jc w:val="both"/>
        <w:rPr>
          <w:rFonts w:ascii="Arial" w:hAnsi="Arial" w:cs="Arial"/>
          <w:sz w:val="24"/>
          <w:szCs w:val="24"/>
          <w:lang w:val="es-ES"/>
        </w:rPr>
      </w:pPr>
      <w:r w:rsidRPr="00E00F13">
        <w:rPr>
          <w:rFonts w:ascii="Arial" w:hAnsi="Arial" w:cs="Arial"/>
          <w:sz w:val="24"/>
          <w:szCs w:val="24"/>
          <w:lang w:val="es-ES"/>
        </w:rPr>
        <w:t xml:space="preserve">El decreto establece que el programa debe transitar hacia la incorporación de un enfoque integral en el desarrollo de la política pública de mejoramiento tanto a nivel urbano como rural, actualizando los valores máximos de los subsidios en función del tipo de mejoramiento, definiendo intervenciones asociadas a la adaptación al cambio climático e impulsando la resiliencia climática en las viviendas. </w:t>
      </w:r>
      <w:r w:rsidR="00BE41DB" w:rsidRPr="00E00F13">
        <w:rPr>
          <w:rFonts w:ascii="Arial" w:hAnsi="Arial" w:cs="Arial"/>
          <w:sz w:val="24"/>
          <w:szCs w:val="24"/>
          <w:lang w:val="es-ES"/>
        </w:rPr>
        <w:t>Con lo cual reconoce</w:t>
      </w:r>
      <w:r w:rsidRPr="00E00F13">
        <w:rPr>
          <w:rFonts w:ascii="Arial" w:hAnsi="Arial" w:cs="Arial"/>
          <w:sz w:val="24"/>
          <w:szCs w:val="24"/>
          <w:lang w:val="es-ES"/>
        </w:rPr>
        <w:t xml:space="preserve"> que mejorar una vivienda no es un acto único ni homogéneo, sino un proceso progresivo y diferencial que depende de las condiciones reales de cada territorio y cada hogar. </w:t>
      </w:r>
    </w:p>
    <w:p w14:paraId="195A857F" w14:textId="77777777" w:rsidR="00BE41DB" w:rsidRPr="00E00F13" w:rsidRDefault="00BE41DB" w:rsidP="00990D1A">
      <w:pPr>
        <w:spacing w:line="360" w:lineRule="auto"/>
        <w:jc w:val="both"/>
        <w:rPr>
          <w:rFonts w:ascii="Arial" w:hAnsi="Arial" w:cs="Arial"/>
          <w:sz w:val="24"/>
          <w:szCs w:val="24"/>
          <w:lang w:val="es-ES"/>
        </w:rPr>
      </w:pPr>
      <w:r w:rsidRPr="00E00F13">
        <w:rPr>
          <w:rFonts w:ascii="Arial" w:hAnsi="Arial" w:cs="Arial"/>
          <w:sz w:val="24"/>
          <w:szCs w:val="24"/>
          <w:lang w:val="es-ES"/>
        </w:rPr>
        <w:t>Además de ampliar la cobertura y actualizar los montos, establece un cambio estructural</w:t>
      </w:r>
      <w:r w:rsidR="00990D1A" w:rsidRPr="00E00F13">
        <w:rPr>
          <w:rFonts w:ascii="Arial" w:hAnsi="Arial" w:cs="Arial"/>
          <w:sz w:val="24"/>
          <w:szCs w:val="24"/>
          <w:lang w:val="es-ES"/>
        </w:rPr>
        <w:t xml:space="preserve"> en</w:t>
      </w:r>
      <w:r w:rsidRPr="00E00F13">
        <w:rPr>
          <w:rFonts w:ascii="Arial" w:hAnsi="Arial" w:cs="Arial"/>
          <w:sz w:val="24"/>
          <w:szCs w:val="24"/>
          <w:lang w:val="es-ES"/>
        </w:rPr>
        <w:t xml:space="preserve"> </w:t>
      </w:r>
      <w:r w:rsidR="00990D1A" w:rsidRPr="00E00F13">
        <w:rPr>
          <w:rFonts w:ascii="Arial" w:hAnsi="Arial" w:cs="Arial"/>
          <w:sz w:val="24"/>
          <w:szCs w:val="24"/>
          <w:lang w:val="es-ES"/>
        </w:rPr>
        <w:t>el modelo de ejecución</w:t>
      </w:r>
      <w:r w:rsidRPr="00E00F13">
        <w:rPr>
          <w:rFonts w:ascii="Arial" w:hAnsi="Arial" w:cs="Arial"/>
          <w:sz w:val="24"/>
          <w:szCs w:val="24"/>
          <w:lang w:val="es-ES"/>
        </w:rPr>
        <w:t xml:space="preserve">, porque, </w:t>
      </w:r>
      <w:r w:rsidR="00990D1A" w:rsidRPr="00E00F13">
        <w:rPr>
          <w:rFonts w:ascii="Arial" w:hAnsi="Arial" w:cs="Arial"/>
          <w:sz w:val="24"/>
          <w:szCs w:val="24"/>
          <w:lang w:val="es-ES"/>
        </w:rPr>
        <w:t xml:space="preserve">por primera vez, el Estado colombiano abre el programa de mejoramiento a la economía popular como actor ejecutor y no solo como destinatario. </w:t>
      </w:r>
    </w:p>
    <w:p w14:paraId="21ED3D81" w14:textId="77777777" w:rsidR="00BE41DB" w:rsidRPr="00E00F13" w:rsidRDefault="00990D1A" w:rsidP="00990D1A">
      <w:pPr>
        <w:spacing w:line="360" w:lineRule="auto"/>
        <w:jc w:val="both"/>
        <w:rPr>
          <w:rFonts w:ascii="Arial" w:hAnsi="Arial" w:cs="Arial"/>
          <w:sz w:val="24"/>
          <w:szCs w:val="24"/>
          <w:lang w:val="es-ES"/>
        </w:rPr>
      </w:pPr>
      <w:r w:rsidRPr="00E00F13">
        <w:rPr>
          <w:rFonts w:ascii="Arial" w:hAnsi="Arial" w:cs="Arial"/>
          <w:sz w:val="24"/>
          <w:szCs w:val="24"/>
          <w:lang w:val="es-ES"/>
        </w:rPr>
        <w:t xml:space="preserve">El nuevo marco normativo integra a las organizaciones sociales —maestros de obra, ferreteros y toda la cadena de producción e insumos de la construcción— como parte de las estrategias de reactivación económica, reconociendo el esfuerzo de millones de hogares rurales y urbanos que estuvieron invisibilizados y marginados del acceso a los programas del Estado. </w:t>
      </w:r>
    </w:p>
    <w:p w14:paraId="04E9D4E2" w14:textId="117C3610" w:rsidR="00BE41DB" w:rsidRPr="00E00F13" w:rsidRDefault="00990D1A" w:rsidP="00990D1A">
      <w:pPr>
        <w:spacing w:line="360" w:lineRule="auto"/>
        <w:jc w:val="both"/>
        <w:rPr>
          <w:rFonts w:ascii="Arial" w:hAnsi="Arial" w:cs="Arial"/>
          <w:sz w:val="24"/>
          <w:szCs w:val="24"/>
          <w:lang w:val="es-ES"/>
        </w:rPr>
      </w:pPr>
      <w:r w:rsidRPr="00E00F13">
        <w:rPr>
          <w:rFonts w:ascii="Arial" w:hAnsi="Arial" w:cs="Arial"/>
          <w:sz w:val="24"/>
          <w:szCs w:val="24"/>
          <w:lang w:val="es-ES"/>
        </w:rPr>
        <w:t>El decreto introduce cuatro modalidades de ejecución</w:t>
      </w:r>
      <w:r w:rsidR="00BE41DB" w:rsidRPr="00E00F13">
        <w:rPr>
          <w:rFonts w:ascii="Arial" w:hAnsi="Arial" w:cs="Arial"/>
          <w:sz w:val="24"/>
          <w:szCs w:val="24"/>
          <w:lang w:val="es-ES"/>
        </w:rPr>
        <w:t>. L</w:t>
      </w:r>
      <w:r w:rsidRPr="00E00F13">
        <w:rPr>
          <w:rFonts w:ascii="Arial" w:hAnsi="Arial" w:cs="Arial"/>
          <w:sz w:val="24"/>
          <w:szCs w:val="24"/>
          <w:lang w:val="es-ES"/>
        </w:rPr>
        <w:t xml:space="preserve">a Modalidad I de Gestión Social, donde ejecutan organizaciones comunitarias, juntas de acción comunal y maestros de obra, </w:t>
      </w:r>
      <w:r w:rsidR="00BE41DB" w:rsidRPr="00E00F13">
        <w:rPr>
          <w:rFonts w:ascii="Arial" w:hAnsi="Arial" w:cs="Arial"/>
          <w:sz w:val="24"/>
          <w:szCs w:val="24"/>
          <w:lang w:val="es-ES"/>
        </w:rPr>
        <w:t>quiebra</w:t>
      </w:r>
      <w:r w:rsidRPr="00E00F13">
        <w:rPr>
          <w:rFonts w:ascii="Arial" w:hAnsi="Arial" w:cs="Arial"/>
          <w:sz w:val="24"/>
          <w:szCs w:val="24"/>
          <w:lang w:val="es-ES"/>
        </w:rPr>
        <w:t xml:space="preserve"> el monopolio que históricamente tuvieron las grandes firmas constructoras e interventoras sobre los recursos públicos del mejoramiento. </w:t>
      </w:r>
    </w:p>
    <w:p w14:paraId="4CD2AD0C" w14:textId="77777777" w:rsidR="00BE41DB" w:rsidRPr="00E00F13" w:rsidRDefault="00990D1A" w:rsidP="00990D1A">
      <w:pPr>
        <w:spacing w:line="360" w:lineRule="auto"/>
        <w:jc w:val="both"/>
        <w:rPr>
          <w:rFonts w:ascii="Arial" w:hAnsi="Arial" w:cs="Arial"/>
          <w:sz w:val="24"/>
          <w:szCs w:val="24"/>
          <w:lang w:val="es-ES"/>
        </w:rPr>
      </w:pPr>
      <w:r w:rsidRPr="00E00F13">
        <w:rPr>
          <w:rFonts w:ascii="Arial" w:hAnsi="Arial" w:cs="Arial"/>
          <w:sz w:val="24"/>
          <w:szCs w:val="24"/>
          <w:lang w:val="es-ES"/>
        </w:rPr>
        <w:t>Dentro de la priorización de beneficiarios se incluyen</w:t>
      </w:r>
      <w:r w:rsidR="00BE41DB" w:rsidRPr="00E00F13">
        <w:rPr>
          <w:rFonts w:ascii="Arial" w:hAnsi="Arial" w:cs="Arial"/>
          <w:sz w:val="24"/>
          <w:szCs w:val="24"/>
          <w:lang w:val="es-ES"/>
        </w:rPr>
        <w:t xml:space="preserve"> </w:t>
      </w:r>
      <w:r w:rsidRPr="00E00F13">
        <w:rPr>
          <w:rFonts w:ascii="Arial" w:hAnsi="Arial" w:cs="Arial"/>
          <w:sz w:val="24"/>
          <w:szCs w:val="24"/>
          <w:lang w:val="es-ES"/>
        </w:rPr>
        <w:t xml:space="preserve">a las mujeres cabeza de familia de los estratos más pobres de la población, a las trabajadoras del sector informal y a las madres comunitarias, a las personas víctimas del conflicto armado interno, el </w:t>
      </w:r>
      <w:r w:rsidRPr="00E00F13">
        <w:rPr>
          <w:rFonts w:ascii="Arial" w:hAnsi="Arial" w:cs="Arial"/>
          <w:sz w:val="24"/>
          <w:szCs w:val="24"/>
          <w:lang w:val="es-ES"/>
        </w:rPr>
        <w:lastRenderedPageBreak/>
        <w:t xml:space="preserve">enfoque diferencial étnico, personas en condición de discapacidad, el grupo etario y el enfoque de género, convirtiendo la interseccionalidad en un principio operativo del programa y no en un enunciado declarativo. </w:t>
      </w:r>
    </w:p>
    <w:p w14:paraId="2EB43330" w14:textId="2CBEF4A5" w:rsidR="00CB2571" w:rsidRPr="00E00F13" w:rsidRDefault="00990D1A" w:rsidP="00CB2571">
      <w:pPr>
        <w:spacing w:line="360" w:lineRule="auto"/>
        <w:jc w:val="both"/>
        <w:rPr>
          <w:rFonts w:ascii="Arial" w:hAnsi="Arial" w:cs="Arial"/>
          <w:sz w:val="24"/>
          <w:szCs w:val="24"/>
          <w:lang w:val="es-ES"/>
        </w:rPr>
      </w:pPr>
      <w:r w:rsidRPr="00E00F13">
        <w:rPr>
          <w:rFonts w:ascii="Arial" w:hAnsi="Arial" w:cs="Arial"/>
          <w:sz w:val="24"/>
          <w:szCs w:val="24"/>
          <w:lang w:val="es-ES"/>
        </w:rPr>
        <w:t>Leído en su conjunto, el Decreto 413 plantea que mejorar la vivienda popular no es una obra de caridad ni una intervención técnica neutra</w:t>
      </w:r>
      <w:r w:rsidR="00BE41DB" w:rsidRPr="00E00F13">
        <w:rPr>
          <w:rFonts w:ascii="Arial" w:hAnsi="Arial" w:cs="Arial"/>
          <w:sz w:val="24"/>
          <w:szCs w:val="24"/>
          <w:lang w:val="es-ES"/>
        </w:rPr>
        <w:t>, sino</w:t>
      </w:r>
      <w:r w:rsidRPr="00E00F13">
        <w:rPr>
          <w:rFonts w:ascii="Arial" w:hAnsi="Arial" w:cs="Arial"/>
          <w:sz w:val="24"/>
          <w:szCs w:val="24"/>
          <w:lang w:val="es-ES"/>
        </w:rPr>
        <w:t xml:space="preserve"> un acto de justicia territorial, de reconocimiento de saberes constructivos populares y de apuesta por una economía circular del hábitat que pone en el centro a las comunidades que, durante décadas, construyeron sus hogares sin que el Estado l</w:t>
      </w:r>
      <w:r w:rsidR="00BE41DB" w:rsidRPr="00E00F13">
        <w:rPr>
          <w:rFonts w:ascii="Arial" w:hAnsi="Arial" w:cs="Arial"/>
          <w:sz w:val="24"/>
          <w:szCs w:val="24"/>
          <w:lang w:val="es-ES"/>
        </w:rPr>
        <w:t>a</w:t>
      </w:r>
      <w:r w:rsidRPr="00E00F13">
        <w:rPr>
          <w:rFonts w:ascii="Arial" w:hAnsi="Arial" w:cs="Arial"/>
          <w:sz w:val="24"/>
          <w:szCs w:val="24"/>
          <w:lang w:val="es-ES"/>
        </w:rPr>
        <w:t>s viera.</w:t>
      </w:r>
    </w:p>
    <w:p w14:paraId="3D225698" w14:textId="5BE98AC5" w:rsidR="00BF7B52" w:rsidRPr="00E00F13" w:rsidRDefault="00BF7B52" w:rsidP="00BF7B52">
      <w:pPr>
        <w:pStyle w:val="Ttulo3"/>
        <w:rPr>
          <w:color w:val="auto"/>
        </w:rPr>
      </w:pPr>
      <w:bookmarkStart w:id="91" w:name="_Toc234242824"/>
      <w:r w:rsidRPr="00E00F13">
        <w:rPr>
          <w:color w:val="auto"/>
        </w:rPr>
        <w:t>El énfasis en lo rural y los datos que sustentan el cambio de paradigma</w:t>
      </w:r>
      <w:bookmarkEnd w:id="91"/>
    </w:p>
    <w:p w14:paraId="2351CD81" w14:textId="07E1CEFC" w:rsidR="00FF19A2" w:rsidRPr="00E00F13" w:rsidRDefault="00D82AC2" w:rsidP="00D82AC2">
      <w:pPr>
        <w:spacing w:line="360" w:lineRule="auto"/>
        <w:jc w:val="both"/>
        <w:rPr>
          <w:rFonts w:ascii="Arial" w:hAnsi="Arial" w:cs="Arial"/>
          <w:sz w:val="24"/>
          <w:szCs w:val="24"/>
          <w:lang w:val="es-ES"/>
        </w:rPr>
      </w:pPr>
      <w:r w:rsidRPr="00E00F13">
        <w:rPr>
          <w:rFonts w:ascii="Arial" w:hAnsi="Arial" w:cs="Arial"/>
          <w:sz w:val="24"/>
          <w:szCs w:val="24"/>
          <w:lang w:val="es-ES"/>
        </w:rPr>
        <w:t>La vivienda rural y campesina ha tenido un crecimiento nunca visto en el país</w:t>
      </w:r>
      <w:r w:rsidR="00BF7B52" w:rsidRPr="00E00F13">
        <w:rPr>
          <w:rFonts w:ascii="Arial" w:hAnsi="Arial" w:cs="Arial"/>
          <w:sz w:val="24"/>
          <w:szCs w:val="24"/>
          <w:lang w:val="es-ES"/>
        </w:rPr>
        <w:t>.</w:t>
      </w:r>
    </w:p>
    <w:p w14:paraId="4EA2F7A2" w14:textId="2B19407E" w:rsidR="00D82AC2" w:rsidRPr="00E00F13" w:rsidRDefault="00D82AC2" w:rsidP="00D82AC2">
      <w:pPr>
        <w:spacing w:line="360" w:lineRule="auto"/>
        <w:jc w:val="both"/>
        <w:rPr>
          <w:rFonts w:ascii="Arial" w:hAnsi="Arial" w:cs="Arial"/>
          <w:sz w:val="24"/>
          <w:szCs w:val="24"/>
        </w:rPr>
      </w:pPr>
      <w:r w:rsidRPr="00E00F13">
        <w:rPr>
          <w:rFonts w:ascii="Arial" w:hAnsi="Arial" w:cs="Arial"/>
          <w:sz w:val="24"/>
          <w:szCs w:val="24"/>
        </w:rPr>
        <w:t>Más de 827 mil hogares, es decir alrededor de 2.4 millones de colombianas y colombianos que habitan en más de 800 municipios, se han visto beneficiados con las diferentes modalidades de soluciones habitacionales lideradas por el Ministerio de Vivienda, Ciudad y Territorio en los primeros tres años del gobierno, con inversiones por $8.9 billones</w:t>
      </w:r>
      <w:r w:rsidR="00C32322" w:rsidRPr="00E00F13">
        <w:rPr>
          <w:rFonts w:ascii="Arial" w:hAnsi="Arial" w:cs="Arial"/>
          <w:sz w:val="24"/>
          <w:szCs w:val="24"/>
        </w:rPr>
        <w:t xml:space="preserve"> (MVCT, agosto 2025).</w:t>
      </w:r>
    </w:p>
    <w:p w14:paraId="5034982C" w14:textId="29CBE065" w:rsidR="00D82AC2" w:rsidRPr="00E00F13" w:rsidRDefault="00D82AC2" w:rsidP="00D82AC2">
      <w:pPr>
        <w:spacing w:line="360" w:lineRule="auto"/>
        <w:jc w:val="both"/>
        <w:rPr>
          <w:rFonts w:ascii="Arial" w:hAnsi="Arial" w:cs="Arial"/>
          <w:sz w:val="24"/>
          <w:szCs w:val="24"/>
        </w:rPr>
      </w:pPr>
      <w:r w:rsidRPr="00E00F13">
        <w:rPr>
          <w:rFonts w:ascii="Arial" w:hAnsi="Arial" w:cs="Arial"/>
          <w:sz w:val="24"/>
          <w:szCs w:val="24"/>
        </w:rPr>
        <w:t>Estas modalidades incluyen, entre otras, los mejoramientos de vivienda, la vivienda rural, la titulación predial, y la asignación de subsidios para adquisición de vivienda rural o urbana. El impulso de nuevas alternativas es una respuesta del Gobierno nacional para garantizar el derecho a la vivienda digna.</w:t>
      </w:r>
    </w:p>
    <w:p w14:paraId="0CBEB464" w14:textId="24E38637" w:rsidR="00D82AC2" w:rsidRPr="00E00F13" w:rsidRDefault="00D82AC2" w:rsidP="00D82AC2">
      <w:pPr>
        <w:spacing w:line="360" w:lineRule="auto"/>
        <w:jc w:val="both"/>
        <w:rPr>
          <w:rFonts w:ascii="Arial" w:hAnsi="Arial" w:cs="Arial"/>
          <w:sz w:val="24"/>
          <w:szCs w:val="24"/>
        </w:rPr>
      </w:pPr>
      <w:r w:rsidRPr="00E00F13">
        <w:rPr>
          <w:rFonts w:ascii="Arial" w:hAnsi="Arial" w:cs="Arial"/>
          <w:sz w:val="24"/>
          <w:szCs w:val="24"/>
        </w:rPr>
        <w:t>En ese sentido, la vivienda rural y campesina ha dado un salto del 6.700 % en la entrega de este tipo de soluciones con respecto al gobierno anterior</w:t>
      </w:r>
      <w:r w:rsidR="00BF7B52" w:rsidRPr="00E00F13">
        <w:rPr>
          <w:rFonts w:ascii="Arial" w:hAnsi="Arial" w:cs="Arial"/>
          <w:sz w:val="24"/>
          <w:szCs w:val="24"/>
        </w:rPr>
        <w:t xml:space="preserve">. A 2025 </w:t>
      </w:r>
      <w:r w:rsidRPr="00E00F13">
        <w:rPr>
          <w:rFonts w:ascii="Arial" w:hAnsi="Arial" w:cs="Arial"/>
          <w:sz w:val="24"/>
          <w:szCs w:val="24"/>
        </w:rPr>
        <w:t xml:space="preserve">se alcanzan 4.639 unidades terminadas en 317 municipios de 29 departamentos. En este programa </w:t>
      </w:r>
      <w:r w:rsidR="00BF7B52" w:rsidRPr="00E00F13">
        <w:rPr>
          <w:rFonts w:ascii="Arial" w:hAnsi="Arial" w:cs="Arial"/>
          <w:sz w:val="24"/>
          <w:szCs w:val="24"/>
        </w:rPr>
        <w:t>se</w:t>
      </w:r>
      <w:r w:rsidRPr="00E00F13">
        <w:rPr>
          <w:rFonts w:ascii="Arial" w:hAnsi="Arial" w:cs="Arial"/>
          <w:sz w:val="24"/>
          <w:szCs w:val="24"/>
        </w:rPr>
        <w:t xml:space="preserve"> ha invertido más de $660 mil millones, beneficiando a más de 18 mil personas, entre ellas víctimas, campesinos, indígenas, firmantes del Acuerdo</w:t>
      </w:r>
      <w:r w:rsidR="00BF7B52" w:rsidRPr="00E00F13">
        <w:rPr>
          <w:rFonts w:ascii="Arial" w:hAnsi="Arial" w:cs="Arial"/>
          <w:sz w:val="24"/>
          <w:szCs w:val="24"/>
        </w:rPr>
        <w:t xml:space="preserve"> de Paz</w:t>
      </w:r>
      <w:r w:rsidRPr="00E00F13">
        <w:rPr>
          <w:rFonts w:ascii="Arial" w:hAnsi="Arial" w:cs="Arial"/>
          <w:sz w:val="24"/>
          <w:szCs w:val="24"/>
        </w:rPr>
        <w:t xml:space="preserve"> y sujetos de reforma agraria</w:t>
      </w:r>
      <w:r w:rsidR="00C32322" w:rsidRPr="00E00F13">
        <w:rPr>
          <w:rFonts w:ascii="Arial" w:hAnsi="Arial" w:cs="Arial"/>
          <w:sz w:val="24"/>
          <w:szCs w:val="24"/>
        </w:rPr>
        <w:t xml:space="preserve"> (MVCT, agosto 2025).</w:t>
      </w:r>
    </w:p>
    <w:p w14:paraId="2B1DFD20" w14:textId="1BE98EC6" w:rsidR="00D82AC2" w:rsidRPr="00E00F13" w:rsidRDefault="00BF7B52" w:rsidP="00D82AC2">
      <w:pPr>
        <w:spacing w:line="360" w:lineRule="auto"/>
        <w:jc w:val="both"/>
        <w:rPr>
          <w:rFonts w:ascii="Arial" w:hAnsi="Arial" w:cs="Arial"/>
          <w:sz w:val="24"/>
          <w:szCs w:val="24"/>
        </w:rPr>
      </w:pPr>
      <w:r w:rsidRPr="00E00F13">
        <w:rPr>
          <w:rFonts w:ascii="Arial" w:hAnsi="Arial" w:cs="Arial"/>
          <w:sz w:val="24"/>
          <w:szCs w:val="24"/>
        </w:rPr>
        <w:t>El</w:t>
      </w:r>
      <w:r w:rsidR="00D82AC2" w:rsidRPr="00E00F13">
        <w:rPr>
          <w:rFonts w:ascii="Arial" w:hAnsi="Arial" w:cs="Arial"/>
          <w:sz w:val="24"/>
          <w:szCs w:val="24"/>
        </w:rPr>
        <w:t xml:space="preserve"> </w:t>
      </w:r>
      <w:r w:rsidRPr="00E00F13">
        <w:rPr>
          <w:rFonts w:ascii="Arial" w:hAnsi="Arial" w:cs="Arial"/>
          <w:sz w:val="24"/>
          <w:szCs w:val="24"/>
        </w:rPr>
        <w:t xml:space="preserve">mejoramiento de vivienda </w:t>
      </w:r>
      <w:r w:rsidR="00D82AC2" w:rsidRPr="00E00F13">
        <w:rPr>
          <w:rFonts w:ascii="Arial" w:hAnsi="Arial" w:cs="Arial"/>
          <w:sz w:val="24"/>
          <w:szCs w:val="24"/>
        </w:rPr>
        <w:t xml:space="preserve">ha recibido </w:t>
      </w:r>
      <w:r w:rsidRPr="00E00F13">
        <w:rPr>
          <w:rFonts w:ascii="Arial" w:hAnsi="Arial" w:cs="Arial"/>
          <w:sz w:val="24"/>
          <w:szCs w:val="24"/>
        </w:rPr>
        <w:t>el</w:t>
      </w:r>
      <w:r w:rsidR="00D82AC2" w:rsidRPr="00E00F13">
        <w:rPr>
          <w:rFonts w:ascii="Arial" w:hAnsi="Arial" w:cs="Arial"/>
          <w:sz w:val="24"/>
          <w:szCs w:val="24"/>
        </w:rPr>
        <w:t xml:space="preserve"> impulso del Ministerio, al tratarse de una modalidad que apunta a mejorar las carencias habitacionales que afectan a más de 3.7 millones de hogares en todo el país. En ese sentido, han sido asignados 50.914 mejoramientos, </w:t>
      </w:r>
      <w:r w:rsidRPr="00E00F13">
        <w:rPr>
          <w:rFonts w:ascii="Arial" w:hAnsi="Arial" w:cs="Arial"/>
          <w:sz w:val="24"/>
          <w:szCs w:val="24"/>
        </w:rPr>
        <w:t>y</w:t>
      </w:r>
      <w:r w:rsidR="00D82AC2" w:rsidRPr="00E00F13">
        <w:rPr>
          <w:rFonts w:ascii="Arial" w:hAnsi="Arial" w:cs="Arial"/>
          <w:sz w:val="24"/>
          <w:szCs w:val="24"/>
        </w:rPr>
        <w:t xml:space="preserve"> hay más de 80 mil en ejecución. Este programa ha beneficiado a </w:t>
      </w:r>
      <w:r w:rsidR="00D82AC2" w:rsidRPr="00E00F13">
        <w:rPr>
          <w:rFonts w:ascii="Arial" w:hAnsi="Arial" w:cs="Arial"/>
          <w:sz w:val="24"/>
          <w:szCs w:val="24"/>
        </w:rPr>
        <w:lastRenderedPageBreak/>
        <w:t>más de 412 mil colombianas y colombianos en 484 municipios de 32 departamentos y el Distrito Capital, con una inversión total que ronda los $1.9 billones. Además, ha sido uno de los dinamizadores de la economía popular por el espacio que han tenido las Juntas de Acción Comunal y las Organizaciones Populares de Vivienda en la realización de estos proyectos</w:t>
      </w:r>
      <w:r w:rsidR="00C32322" w:rsidRPr="00E00F13">
        <w:rPr>
          <w:rFonts w:ascii="Arial" w:hAnsi="Arial" w:cs="Arial"/>
          <w:sz w:val="24"/>
          <w:szCs w:val="24"/>
        </w:rPr>
        <w:t xml:space="preserve"> (MVCT, agosto 2025).</w:t>
      </w:r>
    </w:p>
    <w:p w14:paraId="50C777FD" w14:textId="1FCDCCC0" w:rsidR="00D82AC2" w:rsidRPr="00E00F13" w:rsidRDefault="00BF7B52" w:rsidP="00D82AC2">
      <w:pPr>
        <w:spacing w:line="360" w:lineRule="auto"/>
        <w:jc w:val="both"/>
        <w:rPr>
          <w:rFonts w:ascii="Arial" w:hAnsi="Arial" w:cs="Arial"/>
          <w:sz w:val="24"/>
          <w:szCs w:val="24"/>
        </w:rPr>
      </w:pPr>
      <w:r w:rsidRPr="00E00F13">
        <w:rPr>
          <w:rFonts w:ascii="Arial" w:hAnsi="Arial" w:cs="Arial"/>
          <w:sz w:val="24"/>
          <w:szCs w:val="24"/>
        </w:rPr>
        <w:t>Asimismo, s</w:t>
      </w:r>
      <w:r w:rsidR="00D82AC2" w:rsidRPr="00E00F13">
        <w:rPr>
          <w:rFonts w:ascii="Arial" w:hAnsi="Arial" w:cs="Arial"/>
          <w:sz w:val="24"/>
          <w:szCs w:val="24"/>
        </w:rPr>
        <w:t>e ha alcanzado un logro histórico en la formalización de la propiedad en Colombia: la entrega de 226.722 títulos que hoy dan seguridad jurídica a 906.888 personas en 634 municipios de todos los departamentos del país. Este avance no solo transforma la vida de miles de familias al convertirlas en propietarias plenas de sus hogares y tierras, sino que también abre la puerta para que accedan a otros programas del Estado, potenciando la inversión pública, la inclusión social y el desarrollo territorial</w:t>
      </w:r>
      <w:r w:rsidR="00C32322" w:rsidRPr="00E00F13">
        <w:rPr>
          <w:rFonts w:ascii="Arial" w:hAnsi="Arial" w:cs="Arial"/>
          <w:sz w:val="24"/>
          <w:szCs w:val="24"/>
        </w:rPr>
        <w:t xml:space="preserve"> (MVCT, agosto 2025)</w:t>
      </w:r>
      <w:r w:rsidR="00D82AC2" w:rsidRPr="00E00F13">
        <w:rPr>
          <w:rFonts w:ascii="Arial" w:hAnsi="Arial" w:cs="Arial"/>
          <w:sz w:val="24"/>
          <w:szCs w:val="24"/>
        </w:rPr>
        <w:t>.</w:t>
      </w:r>
    </w:p>
    <w:p w14:paraId="7D79E3A0" w14:textId="47ECFE85" w:rsidR="00D82AC2" w:rsidRPr="00E00F13" w:rsidRDefault="00BF7B52" w:rsidP="00D82AC2">
      <w:pPr>
        <w:spacing w:line="360" w:lineRule="auto"/>
        <w:jc w:val="both"/>
        <w:rPr>
          <w:rFonts w:ascii="Arial" w:hAnsi="Arial" w:cs="Arial"/>
          <w:sz w:val="24"/>
          <w:szCs w:val="24"/>
        </w:rPr>
      </w:pPr>
      <w:r w:rsidRPr="00E00F13">
        <w:rPr>
          <w:rFonts w:ascii="Arial" w:hAnsi="Arial" w:cs="Arial"/>
          <w:sz w:val="24"/>
          <w:szCs w:val="24"/>
        </w:rPr>
        <w:t xml:space="preserve">Por su parte, el MVCT </w:t>
      </w:r>
      <w:r w:rsidR="00D82AC2" w:rsidRPr="00E00F13">
        <w:rPr>
          <w:rFonts w:ascii="Arial" w:hAnsi="Arial" w:cs="Arial"/>
          <w:sz w:val="24"/>
          <w:szCs w:val="24"/>
        </w:rPr>
        <w:t>cumplió la meta con la asignación de subsidios en más del 104% con 232.789 subsidios de adquisición de vivienda urbana y rural, beneficiando a más de 900 mil personas en 369 municipios de 30 departamentos. El Gobierno nacional destinó más de 4.3 billones de pesos en el cumplimiento de esta meta</w:t>
      </w:r>
      <w:r w:rsidR="00C32322" w:rsidRPr="00E00F13">
        <w:rPr>
          <w:rFonts w:ascii="Arial" w:hAnsi="Arial" w:cs="Arial"/>
          <w:sz w:val="24"/>
          <w:szCs w:val="24"/>
        </w:rPr>
        <w:t xml:space="preserve"> (MVCT, agosto 2025)</w:t>
      </w:r>
      <w:r w:rsidR="00D82AC2" w:rsidRPr="00E00F13">
        <w:rPr>
          <w:rFonts w:ascii="Arial" w:hAnsi="Arial" w:cs="Arial"/>
          <w:sz w:val="24"/>
          <w:szCs w:val="24"/>
        </w:rPr>
        <w:t>.</w:t>
      </w:r>
    </w:p>
    <w:p w14:paraId="0170079C" w14:textId="274A623B" w:rsidR="00D82AC2" w:rsidRPr="00E00F13" w:rsidRDefault="00D82AC2" w:rsidP="00D82AC2">
      <w:pPr>
        <w:spacing w:line="360" w:lineRule="auto"/>
        <w:jc w:val="both"/>
        <w:rPr>
          <w:rFonts w:ascii="Arial" w:hAnsi="Arial" w:cs="Arial"/>
          <w:sz w:val="24"/>
          <w:szCs w:val="24"/>
        </w:rPr>
      </w:pPr>
      <w:r w:rsidRPr="00E00F13">
        <w:rPr>
          <w:rFonts w:ascii="Arial" w:hAnsi="Arial" w:cs="Arial"/>
          <w:sz w:val="24"/>
          <w:szCs w:val="24"/>
        </w:rPr>
        <w:t>Como complemento de las soluciones habitacionales, el Ministerio asignó coberturas a la tasa de interés para aliviar el valor de las cuotas de los créditos de vivienda. En ese sentido, se han beneficiado 345.998 hogares por un valor de 2,15 billones</w:t>
      </w:r>
      <w:r w:rsidR="00C32322" w:rsidRPr="00E00F13">
        <w:rPr>
          <w:rFonts w:ascii="Arial" w:hAnsi="Arial" w:cs="Arial"/>
          <w:sz w:val="24"/>
          <w:szCs w:val="24"/>
        </w:rPr>
        <w:t xml:space="preserve"> (MVCT, agosto 2025).</w:t>
      </w:r>
    </w:p>
    <w:p w14:paraId="2316CE4C" w14:textId="7E296C29" w:rsidR="00CB2571" w:rsidRPr="00E00F13" w:rsidRDefault="00D82AC2" w:rsidP="00D82AC2">
      <w:pPr>
        <w:spacing w:line="360" w:lineRule="auto"/>
        <w:jc w:val="both"/>
        <w:rPr>
          <w:rFonts w:ascii="Arial" w:hAnsi="Arial" w:cs="Arial"/>
          <w:sz w:val="24"/>
          <w:szCs w:val="24"/>
        </w:rPr>
      </w:pPr>
      <w:r w:rsidRPr="00E00F13">
        <w:rPr>
          <w:rFonts w:ascii="Arial" w:hAnsi="Arial" w:cs="Arial"/>
          <w:sz w:val="24"/>
          <w:szCs w:val="24"/>
        </w:rPr>
        <w:t xml:space="preserve">Con la política integral Nuestro Hábitat Biodiverso, el </w:t>
      </w:r>
      <w:r w:rsidR="00BF7B52" w:rsidRPr="00E00F13">
        <w:rPr>
          <w:rFonts w:ascii="Arial" w:hAnsi="Arial" w:cs="Arial"/>
          <w:sz w:val="24"/>
          <w:szCs w:val="24"/>
        </w:rPr>
        <w:t>MVCT contribuye al</w:t>
      </w:r>
      <w:r w:rsidRPr="00E00F13">
        <w:rPr>
          <w:rFonts w:ascii="Arial" w:hAnsi="Arial" w:cs="Arial"/>
          <w:sz w:val="24"/>
          <w:szCs w:val="24"/>
        </w:rPr>
        <w:t xml:space="preserve"> cierre de brechas entre las ciudades y los campos, así como consolidar la transformación del territorio y la paz en el país con las distintas modalidades de soluciones habitacionales</w:t>
      </w:r>
      <w:r w:rsidR="00C32322" w:rsidRPr="00E00F13">
        <w:rPr>
          <w:rFonts w:ascii="Arial" w:hAnsi="Arial" w:cs="Arial"/>
          <w:sz w:val="24"/>
          <w:szCs w:val="24"/>
        </w:rPr>
        <w:t>.</w:t>
      </w:r>
    </w:p>
    <w:p w14:paraId="5322BFE2" w14:textId="56D126C5" w:rsidR="00CB2571" w:rsidRPr="00E00F13" w:rsidRDefault="00CB2571" w:rsidP="00CB2571">
      <w:pPr>
        <w:pStyle w:val="Ttulo3"/>
        <w:rPr>
          <w:color w:val="auto"/>
        </w:rPr>
      </w:pPr>
      <w:bookmarkStart w:id="92" w:name="_Toc234242825"/>
      <w:r w:rsidRPr="00E00F13">
        <w:rPr>
          <w:color w:val="auto"/>
        </w:rPr>
        <w:t>2.4.4. El Decreto 413 de 2025: mejoramiento de vivienda en Colombia</w:t>
      </w:r>
      <w:bookmarkEnd w:id="92"/>
      <w:r w:rsidRPr="00E00F13">
        <w:rPr>
          <w:color w:val="auto"/>
        </w:rPr>
        <w:t xml:space="preserve"> </w:t>
      </w:r>
    </w:p>
    <w:p w14:paraId="77282308" w14:textId="77777777" w:rsidR="00CB2571" w:rsidRPr="00E00F13" w:rsidRDefault="00CB2571" w:rsidP="00CB2571">
      <w:pPr>
        <w:spacing w:after="0" w:line="276" w:lineRule="auto"/>
        <w:jc w:val="both"/>
        <w:rPr>
          <w:rFonts w:ascii="Aptos" w:eastAsia="Aptos" w:hAnsi="Aptos" w:cs="Aptos"/>
        </w:rPr>
      </w:pPr>
    </w:p>
    <w:p w14:paraId="47F885F4" w14:textId="77777777" w:rsidR="00FB0C69" w:rsidRPr="00E00F13" w:rsidRDefault="00CB2571" w:rsidP="00FB0C69">
      <w:pPr>
        <w:pStyle w:val="Ttulo4"/>
        <w:rPr>
          <w:color w:val="auto"/>
        </w:rPr>
      </w:pPr>
      <w:r w:rsidRPr="00E00F13">
        <w:rPr>
          <w:color w:val="auto"/>
        </w:rPr>
        <w:lastRenderedPageBreak/>
        <w:t>Una nueva visión en la política de la vivienda en Colombia</w:t>
      </w:r>
    </w:p>
    <w:p w14:paraId="59D4D341" w14:textId="16F1E72A" w:rsidR="00CB2571" w:rsidRPr="00E00F13" w:rsidRDefault="00FB0C69" w:rsidP="00613288">
      <w:pPr>
        <w:spacing w:after="0" w:line="360" w:lineRule="auto"/>
        <w:jc w:val="both"/>
        <w:rPr>
          <w:rFonts w:ascii="Arial" w:eastAsia="Aptos" w:hAnsi="Arial" w:cs="Arial"/>
          <w:sz w:val="24"/>
          <w:szCs w:val="24"/>
        </w:rPr>
      </w:pPr>
      <w:r w:rsidRPr="00E00F13">
        <w:rPr>
          <w:rFonts w:ascii="Arial" w:eastAsia="Aptos" w:hAnsi="Arial" w:cs="Arial"/>
          <w:sz w:val="24"/>
          <w:szCs w:val="24"/>
        </w:rPr>
        <w:t>El decreto se expide con la finalidad de reconocer y fortalecer a las organizaciones comunitarias</w:t>
      </w:r>
      <w:r w:rsidR="00CB2571" w:rsidRPr="00E00F13">
        <w:rPr>
          <w:rFonts w:ascii="Arial" w:eastAsia="Aptos" w:hAnsi="Arial" w:cs="Arial"/>
          <w:sz w:val="24"/>
          <w:szCs w:val="24"/>
        </w:rPr>
        <w:t xml:space="preserve"> </w:t>
      </w:r>
      <w:r w:rsidRPr="00E00F13">
        <w:rPr>
          <w:rFonts w:ascii="Arial" w:eastAsia="Aptos" w:hAnsi="Arial" w:cs="Arial"/>
          <w:sz w:val="24"/>
          <w:szCs w:val="24"/>
        </w:rPr>
        <w:t>y</w:t>
      </w:r>
      <w:r w:rsidR="00CB2571" w:rsidRPr="00E00F13">
        <w:rPr>
          <w:rFonts w:ascii="Arial" w:eastAsia="Aptos" w:hAnsi="Arial" w:cs="Arial"/>
          <w:sz w:val="24"/>
          <w:szCs w:val="24"/>
        </w:rPr>
        <w:t xml:space="preserve"> </w:t>
      </w:r>
      <w:r w:rsidRPr="00E00F13">
        <w:rPr>
          <w:rFonts w:ascii="Arial" w:eastAsia="Aptos" w:hAnsi="Arial" w:cs="Arial"/>
          <w:sz w:val="24"/>
          <w:szCs w:val="24"/>
        </w:rPr>
        <w:t xml:space="preserve">de </w:t>
      </w:r>
      <w:r w:rsidR="00CB2571" w:rsidRPr="00E00F13">
        <w:rPr>
          <w:rFonts w:ascii="Arial" w:eastAsia="Aptos" w:hAnsi="Arial" w:cs="Arial"/>
          <w:sz w:val="24"/>
          <w:szCs w:val="24"/>
        </w:rPr>
        <w:t>darle prelación a la atención del déficit cualitativo sobre el cuantitativo.</w:t>
      </w:r>
    </w:p>
    <w:p w14:paraId="54B94D4A" w14:textId="7DC58721" w:rsidR="00CB2571" w:rsidRPr="00E00F13" w:rsidRDefault="00CB2571" w:rsidP="00613288">
      <w:pPr>
        <w:spacing w:after="0" w:line="360" w:lineRule="auto"/>
        <w:jc w:val="both"/>
        <w:rPr>
          <w:rFonts w:ascii="Arial" w:eastAsia="Aptos" w:hAnsi="Arial" w:cs="Arial"/>
          <w:sz w:val="24"/>
          <w:szCs w:val="24"/>
        </w:rPr>
      </w:pPr>
      <w:r w:rsidRPr="00E00F13">
        <w:rPr>
          <w:rFonts w:ascii="Arial" w:hAnsi="Arial" w:cs="Arial"/>
          <w:sz w:val="24"/>
          <w:szCs w:val="24"/>
        </w:rPr>
        <w:br/>
      </w:r>
      <w:r w:rsidRPr="00E00F13">
        <w:rPr>
          <w:rFonts w:ascii="Arial" w:eastAsia="Aptos" w:hAnsi="Arial" w:cs="Arial"/>
          <w:sz w:val="24"/>
          <w:szCs w:val="24"/>
        </w:rPr>
        <w:t xml:space="preserve">Durante décadas, desde la expedición de la Ley 3ª de 1991, el esfuerzo del Estado colombiano se concentró casi exclusivamente en una política asociada a la construcción de unidades nuevas, basada en una lógica de oferta y demanda. Esa estrategia, lejos de cerrar las brechas, generó una desigualdad e inequidad, porque sacó a </w:t>
      </w:r>
      <w:r w:rsidR="00FB0C69" w:rsidRPr="00E00F13">
        <w:rPr>
          <w:rFonts w:ascii="Arial" w:eastAsia="Aptos" w:hAnsi="Arial" w:cs="Arial"/>
          <w:sz w:val="24"/>
          <w:szCs w:val="24"/>
        </w:rPr>
        <w:t xml:space="preserve">gran parte de la </w:t>
      </w:r>
      <w:r w:rsidRPr="00E00F13">
        <w:rPr>
          <w:rFonts w:ascii="Arial" w:eastAsia="Aptos" w:hAnsi="Arial" w:cs="Arial"/>
          <w:sz w:val="24"/>
          <w:szCs w:val="24"/>
        </w:rPr>
        <w:t>población de la posibilidad de ser atendida, especialmente a los hogares más vulnerables y a los territorios apartados.</w:t>
      </w:r>
    </w:p>
    <w:p w14:paraId="6CDE3461" w14:textId="77777777" w:rsidR="00FB0C69" w:rsidRPr="00E00F13" w:rsidRDefault="00CB2571" w:rsidP="00613288">
      <w:pPr>
        <w:spacing w:before="240" w:after="240" w:line="360" w:lineRule="auto"/>
        <w:jc w:val="both"/>
        <w:rPr>
          <w:rFonts w:ascii="Arial" w:eastAsia="Aptos" w:hAnsi="Arial" w:cs="Arial"/>
          <w:sz w:val="24"/>
          <w:szCs w:val="24"/>
        </w:rPr>
      </w:pPr>
      <w:r w:rsidRPr="00E00F13">
        <w:rPr>
          <w:rFonts w:ascii="Arial" w:eastAsia="Aptos" w:hAnsi="Arial" w:cs="Arial"/>
          <w:sz w:val="24"/>
          <w:szCs w:val="24"/>
        </w:rPr>
        <w:t xml:space="preserve">El gobierno del cambio (2022-2026) introduce una transformación estructural en esa política. </w:t>
      </w:r>
    </w:p>
    <w:p w14:paraId="63D6E034" w14:textId="423411A4" w:rsidR="00CB2571" w:rsidRPr="00E00F13" w:rsidRDefault="00CB2571" w:rsidP="00613288">
      <w:pPr>
        <w:spacing w:before="240" w:after="240" w:line="360" w:lineRule="auto"/>
        <w:jc w:val="both"/>
        <w:rPr>
          <w:rFonts w:ascii="Arial" w:eastAsia="Aptos" w:hAnsi="Arial" w:cs="Arial"/>
          <w:sz w:val="24"/>
          <w:szCs w:val="24"/>
        </w:rPr>
      </w:pPr>
      <w:r w:rsidRPr="00E00F13">
        <w:rPr>
          <w:rFonts w:ascii="Arial" w:eastAsia="Aptos" w:hAnsi="Arial" w:cs="Arial"/>
          <w:sz w:val="24"/>
          <w:szCs w:val="24"/>
        </w:rPr>
        <w:t>Sin desconocer que la necesidad de vivienda nueva debe seguir siendo atendida, este gobierno pone en el centro el mejoramiento de vivienda, es decir, mejorar las condiciones habitacionales de lo ya construido por la población. El enfoque se basa en reconocer la realidad del país: más de 5,2 millones de hogares presentan déficit habitacional y</w:t>
      </w:r>
      <w:r w:rsidR="00FB0C69" w:rsidRPr="00E00F13">
        <w:rPr>
          <w:rFonts w:ascii="Arial" w:eastAsia="Aptos" w:hAnsi="Arial" w:cs="Arial"/>
          <w:sz w:val="24"/>
          <w:szCs w:val="24"/>
        </w:rPr>
        <w:t>,</w:t>
      </w:r>
      <w:r w:rsidRPr="00E00F13">
        <w:rPr>
          <w:rFonts w:ascii="Arial" w:eastAsia="Aptos" w:hAnsi="Arial" w:cs="Arial"/>
          <w:sz w:val="24"/>
          <w:szCs w:val="24"/>
        </w:rPr>
        <w:t xml:space="preserve"> de ellos, el 22,1% corresponde a déficit cualitativo (carencias en pisos, paredes, servicios públicos, estructura, etc.). La política de vivienda deja de ser una máquina de construir para convertirse en una herramienta de transformación social y territorial.</w:t>
      </w:r>
    </w:p>
    <w:p w14:paraId="2F2150D6" w14:textId="74713C94" w:rsidR="00FB0C69" w:rsidRPr="00E00F13" w:rsidRDefault="00FB0C69" w:rsidP="00613288">
      <w:pPr>
        <w:spacing w:before="240" w:after="240" w:line="360" w:lineRule="auto"/>
        <w:jc w:val="both"/>
        <w:rPr>
          <w:rFonts w:ascii="Arial" w:eastAsia="Aptos" w:hAnsi="Arial" w:cs="Arial"/>
          <w:sz w:val="24"/>
          <w:szCs w:val="24"/>
        </w:rPr>
      </w:pPr>
      <w:r w:rsidRPr="00E00F13">
        <w:rPr>
          <w:rFonts w:ascii="Arial" w:eastAsia="Aptos" w:hAnsi="Arial" w:cs="Arial"/>
          <w:sz w:val="24"/>
          <w:szCs w:val="24"/>
        </w:rPr>
        <w:t>La siguiente tabla indica que 470 mil hogares salieron del déficit habitacional durante este gobierno que va de 2022 a 2026.</w:t>
      </w:r>
    </w:p>
    <w:p w14:paraId="60861ED1" w14:textId="26F34D1B" w:rsidR="00FB0C69" w:rsidRPr="00E00F13" w:rsidRDefault="00FB0C69" w:rsidP="00613288">
      <w:pPr>
        <w:spacing w:before="240" w:after="240" w:line="360" w:lineRule="auto"/>
        <w:jc w:val="both"/>
        <w:rPr>
          <w:rFonts w:ascii="Arial" w:hAnsi="Arial" w:cs="Arial"/>
          <w:b/>
          <w:bCs/>
          <w:sz w:val="24"/>
          <w:szCs w:val="24"/>
        </w:rPr>
      </w:pPr>
      <w:r w:rsidRPr="00E00F13">
        <w:rPr>
          <w:rFonts w:ascii="Arial" w:eastAsia="Aptos" w:hAnsi="Arial" w:cs="Arial"/>
          <w:b/>
          <w:bCs/>
          <w:sz w:val="24"/>
          <w:szCs w:val="24"/>
        </w:rPr>
        <w:t>Gráfica. Hogares que salieron del déficit habitacional durante este gobierno</w:t>
      </w:r>
    </w:p>
    <w:p w14:paraId="4564204E" w14:textId="77777777" w:rsidR="00CB2571" w:rsidRPr="00E00F13" w:rsidRDefault="00CB2571" w:rsidP="00CB2571">
      <w:pPr>
        <w:spacing w:before="240" w:after="240" w:line="276" w:lineRule="auto"/>
        <w:jc w:val="both"/>
      </w:pPr>
      <w:r w:rsidRPr="00E00F13">
        <w:rPr>
          <w:noProof/>
        </w:rPr>
        <w:lastRenderedPageBreak/>
        <w:drawing>
          <wp:inline distT="0" distB="0" distL="0" distR="0" wp14:anchorId="5AA5FF76" wp14:editId="622C9BF1">
            <wp:extent cx="3561292" cy="2001809"/>
            <wp:effectExtent l="0" t="0" r="0" b="5080"/>
            <wp:docPr id="153864604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646045" name="Picture 1538646045"/>
                    <pic:cNvPicPr/>
                  </pic:nvPicPr>
                  <pic:blipFill>
                    <a:blip r:embed="rId16">
                      <a:extLst>
                        <a:ext uri="{28A0092B-C50C-407E-A947-70E740481C1C}">
                          <a14:useLocalDpi xmlns:a14="http://schemas.microsoft.com/office/drawing/2010/main"/>
                        </a:ext>
                      </a:extLst>
                    </a:blip>
                    <a:stretch>
                      <a:fillRect/>
                    </a:stretch>
                  </pic:blipFill>
                  <pic:spPr>
                    <a:xfrm>
                      <a:off x="0" y="0"/>
                      <a:ext cx="3619121" cy="2034315"/>
                    </a:xfrm>
                    <a:prstGeom prst="rect">
                      <a:avLst/>
                    </a:prstGeom>
                  </pic:spPr>
                </pic:pic>
              </a:graphicData>
            </a:graphic>
          </wp:inline>
        </w:drawing>
      </w:r>
    </w:p>
    <w:p w14:paraId="743139EF" w14:textId="5D8E601A" w:rsidR="00DD775C" w:rsidRPr="00E00F13" w:rsidRDefault="00613288" w:rsidP="00CB2571">
      <w:pPr>
        <w:spacing w:before="240" w:after="240" w:line="276" w:lineRule="auto"/>
        <w:jc w:val="both"/>
      </w:pPr>
      <w:r w:rsidRPr="00E00F13">
        <w:t xml:space="preserve">Fuente: </w:t>
      </w:r>
      <w:r w:rsidR="00DD775C" w:rsidRPr="00E00F13">
        <w:t>MVCT. 2026.</w:t>
      </w:r>
    </w:p>
    <w:p w14:paraId="12493184" w14:textId="035A26A9" w:rsidR="00DD775C" w:rsidRPr="00E00F13" w:rsidRDefault="00CB2571" w:rsidP="00CC4698">
      <w:pPr>
        <w:pStyle w:val="Ttulo4"/>
        <w:rPr>
          <w:color w:val="auto"/>
        </w:rPr>
      </w:pPr>
      <w:r w:rsidRPr="00E00F13">
        <w:rPr>
          <w:color w:val="auto"/>
        </w:rPr>
        <w:t>Tres principios del cambio: organización popular, fortalecimiento territorial y resiliencia climática</w:t>
      </w:r>
    </w:p>
    <w:p w14:paraId="4606D012" w14:textId="77777777" w:rsidR="00DD775C" w:rsidRPr="00E00F13" w:rsidRDefault="00DD775C" w:rsidP="00DD775C">
      <w:pPr>
        <w:spacing w:after="0" w:line="276" w:lineRule="auto"/>
        <w:jc w:val="both"/>
        <w:rPr>
          <w:rFonts w:ascii="Aptos" w:eastAsia="Aptos" w:hAnsi="Aptos" w:cs="Aptos"/>
        </w:rPr>
      </w:pPr>
    </w:p>
    <w:p w14:paraId="2D381C04" w14:textId="378A0C4E" w:rsidR="00CB2571" w:rsidRPr="00E00F13" w:rsidRDefault="00CB2571" w:rsidP="00613288">
      <w:pPr>
        <w:spacing w:after="0" w:line="360" w:lineRule="auto"/>
        <w:jc w:val="both"/>
        <w:rPr>
          <w:rFonts w:ascii="Arial" w:eastAsia="Aptos" w:hAnsi="Arial" w:cs="Arial"/>
          <w:sz w:val="24"/>
          <w:szCs w:val="24"/>
        </w:rPr>
      </w:pPr>
      <w:r w:rsidRPr="00E00F13">
        <w:rPr>
          <w:rFonts w:ascii="Arial" w:eastAsia="Aptos" w:hAnsi="Arial" w:cs="Arial"/>
          <w:sz w:val="24"/>
          <w:szCs w:val="24"/>
        </w:rPr>
        <w:t>Este gobierno cambia la estrategia y genera una forma diferente de hacer mejoramiento de vivienda basada fundamentalmente en tres principios:</w:t>
      </w:r>
    </w:p>
    <w:p w14:paraId="5C978A76" w14:textId="5E34E7EF" w:rsidR="00CB2571" w:rsidRPr="00E00F13" w:rsidRDefault="00CB2571" w:rsidP="00613288">
      <w:pPr>
        <w:spacing w:before="240" w:after="240" w:line="360" w:lineRule="auto"/>
        <w:jc w:val="both"/>
        <w:rPr>
          <w:rFonts w:ascii="Arial" w:hAnsi="Arial" w:cs="Arial"/>
          <w:sz w:val="24"/>
          <w:szCs w:val="24"/>
        </w:rPr>
      </w:pPr>
      <w:r w:rsidRPr="00E00F13">
        <w:rPr>
          <w:rFonts w:ascii="Arial" w:eastAsia="Aptos" w:hAnsi="Arial" w:cs="Arial"/>
          <w:i/>
          <w:iCs/>
          <w:sz w:val="24"/>
          <w:szCs w:val="24"/>
        </w:rPr>
        <w:t>Primer principio</w:t>
      </w:r>
      <w:r w:rsidRPr="00E00F13">
        <w:rPr>
          <w:rFonts w:ascii="Arial" w:eastAsia="Aptos" w:hAnsi="Arial" w:cs="Arial"/>
          <w:sz w:val="24"/>
          <w:szCs w:val="24"/>
        </w:rPr>
        <w:t>: fortalecer</w:t>
      </w:r>
      <w:r w:rsidR="00613288" w:rsidRPr="00E00F13">
        <w:rPr>
          <w:rFonts w:ascii="Arial" w:eastAsia="Aptos" w:hAnsi="Arial" w:cs="Arial"/>
          <w:sz w:val="24"/>
          <w:szCs w:val="24"/>
        </w:rPr>
        <w:t xml:space="preserve"> a</w:t>
      </w:r>
      <w:r w:rsidRPr="00E00F13">
        <w:rPr>
          <w:rFonts w:ascii="Arial" w:eastAsia="Aptos" w:hAnsi="Arial" w:cs="Arial"/>
          <w:sz w:val="24"/>
          <w:szCs w:val="24"/>
        </w:rPr>
        <w:t xml:space="preserve"> las organizaciones sociales y comunitarias a través de alianzas público</w:t>
      </w:r>
      <w:r w:rsidRPr="00E00F13">
        <w:rPr>
          <w:rFonts w:ascii="Arial" w:hAnsi="Arial" w:cs="Arial"/>
          <w:sz w:val="24"/>
          <w:szCs w:val="24"/>
        </w:rPr>
        <w:noBreakHyphen/>
      </w:r>
      <w:r w:rsidRPr="00E00F13">
        <w:rPr>
          <w:rFonts w:ascii="Arial" w:eastAsia="Aptos" w:hAnsi="Arial" w:cs="Arial"/>
          <w:sz w:val="24"/>
          <w:szCs w:val="24"/>
        </w:rPr>
        <w:t>populares. El fundamento normativo del Decreto 0413 de 2025 está orientado a que las propias comunidades, las organizaciones populares de vivienda, los maestros de obra y las redes de economía popular sean partícipes activos de los procesos de mejoramiento, y no solo operarios o contratistas de grandes empresas que las desplazan. Se trata de reconocer el saber local, la gestión comunitaria y la economía popular como ejes centrales de la política.</w:t>
      </w:r>
    </w:p>
    <w:p w14:paraId="3CA7B5DF" w14:textId="74B139EB" w:rsidR="00CB2571" w:rsidRPr="00E00F13" w:rsidRDefault="00CB2571" w:rsidP="00613288">
      <w:pPr>
        <w:spacing w:before="240" w:after="240" w:line="360" w:lineRule="auto"/>
        <w:jc w:val="both"/>
      </w:pPr>
      <w:r w:rsidRPr="00E00F13">
        <w:rPr>
          <w:rFonts w:ascii="Arial" w:eastAsia="Aptos" w:hAnsi="Arial" w:cs="Arial"/>
          <w:i/>
          <w:iCs/>
          <w:sz w:val="24"/>
          <w:szCs w:val="24"/>
        </w:rPr>
        <w:t>Segundo principio</w:t>
      </w:r>
      <w:r w:rsidRPr="00E00F13">
        <w:rPr>
          <w:rFonts w:ascii="Arial" w:eastAsia="Aptos" w:hAnsi="Arial" w:cs="Arial"/>
          <w:sz w:val="24"/>
          <w:szCs w:val="24"/>
        </w:rPr>
        <w:t>: generar una estrategia de fortalecimiento administrativo y territorial. El objetivo es que el recurso del subsidio familiar de vivienda llegue especialmente a los municipios más apartados de Colombia, en donde no hay oferta de constructores ni de servicios financieros. Para ello se crean mecanismos de asociatividad y se descentraliza la operación, permitiendo que las entidades territoriales y las organizaciones comunitarias, a través de las múltiples modalidades de gestión social asociada</w:t>
      </w:r>
      <w:r w:rsidR="00613288" w:rsidRPr="00E00F13">
        <w:rPr>
          <w:rFonts w:ascii="Arial" w:eastAsia="Aptos" w:hAnsi="Arial" w:cs="Arial"/>
          <w:sz w:val="24"/>
          <w:szCs w:val="24"/>
        </w:rPr>
        <w:t>,</w:t>
      </w:r>
      <w:r w:rsidRPr="00E00F13">
        <w:rPr>
          <w:rFonts w:ascii="Arial" w:eastAsia="Aptos" w:hAnsi="Arial" w:cs="Arial"/>
          <w:sz w:val="24"/>
          <w:szCs w:val="24"/>
        </w:rPr>
        <w:t xml:space="preserve"> ejecuten los proyectos</w:t>
      </w:r>
      <w:r w:rsidRPr="00E00F13">
        <w:rPr>
          <w:rFonts w:ascii="Aptos" w:eastAsia="Aptos" w:hAnsi="Aptos" w:cs="Aptos"/>
        </w:rPr>
        <w:t>.</w:t>
      </w:r>
    </w:p>
    <w:p w14:paraId="08F90029" w14:textId="77777777" w:rsidR="00CB2571" w:rsidRPr="00E00F13" w:rsidRDefault="00CB2571" w:rsidP="00CB2571">
      <w:pPr>
        <w:spacing w:before="240" w:after="240" w:line="276" w:lineRule="auto"/>
        <w:jc w:val="both"/>
      </w:pPr>
      <w:r w:rsidRPr="00E00F13">
        <w:rPr>
          <w:noProof/>
        </w:rPr>
        <w:lastRenderedPageBreak/>
        <w:drawing>
          <wp:inline distT="0" distB="0" distL="0" distR="0" wp14:anchorId="785823CE" wp14:editId="54F9B061">
            <wp:extent cx="3750617" cy="2114201"/>
            <wp:effectExtent l="0" t="0" r="0" b="0"/>
            <wp:docPr id="140462559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717227" name="Picture 516717227"/>
                    <pic:cNvPicPr/>
                  </pic:nvPicPr>
                  <pic:blipFill>
                    <a:blip r:embed="rId17">
                      <a:extLst>
                        <a:ext uri="{28A0092B-C50C-407E-A947-70E740481C1C}">
                          <a14:useLocalDpi xmlns:a14="http://schemas.microsoft.com/office/drawing/2010/main"/>
                        </a:ext>
                      </a:extLst>
                    </a:blip>
                    <a:stretch>
                      <a:fillRect/>
                    </a:stretch>
                  </pic:blipFill>
                  <pic:spPr>
                    <a:xfrm>
                      <a:off x="0" y="0"/>
                      <a:ext cx="3807150" cy="2146068"/>
                    </a:xfrm>
                    <a:prstGeom prst="rect">
                      <a:avLst/>
                    </a:prstGeom>
                  </pic:spPr>
                </pic:pic>
              </a:graphicData>
            </a:graphic>
          </wp:inline>
        </w:drawing>
      </w:r>
    </w:p>
    <w:p w14:paraId="5387D7B2" w14:textId="77777777" w:rsidR="00CB2571" w:rsidRPr="00E00F13" w:rsidRDefault="00CB2571" w:rsidP="00613288">
      <w:pPr>
        <w:spacing w:before="240" w:after="240" w:line="360" w:lineRule="auto"/>
        <w:jc w:val="both"/>
        <w:rPr>
          <w:rFonts w:ascii="Arial" w:hAnsi="Arial" w:cs="Arial"/>
          <w:sz w:val="24"/>
          <w:szCs w:val="24"/>
        </w:rPr>
      </w:pPr>
      <w:r w:rsidRPr="00E00F13">
        <w:rPr>
          <w:rFonts w:ascii="Arial" w:eastAsia="Aptos" w:hAnsi="Arial" w:cs="Arial"/>
          <w:i/>
          <w:iCs/>
          <w:sz w:val="24"/>
          <w:szCs w:val="24"/>
        </w:rPr>
        <w:t>Tercer principio</w:t>
      </w:r>
      <w:r w:rsidRPr="00E00F13">
        <w:rPr>
          <w:rFonts w:ascii="Arial" w:eastAsia="Aptos" w:hAnsi="Arial" w:cs="Arial"/>
          <w:sz w:val="24"/>
          <w:szCs w:val="24"/>
        </w:rPr>
        <w:t>: generar procesos de organización social para ser más resilientes frente al cambio climático. En las poblaciones urbanas y rurales más vulnerables, las necesidades de adaptación climática son crecientes. Las olas invernales en el norte del país, los deslizamientos, las inundaciones y la variabilidad climática golpean con mayor fuerza a las comunidades que habitan en viviendas deficientes. Fortalecer la base comunitaria es una política de contención y resiliencia climática para evitar grandes desplazamientos de población que incrementarían los problemas urbanos. El gobierno colombiano entiende que, si no se trabaja de esta manera, el problema se va a incrementar de manera descomunal.</w:t>
      </w:r>
    </w:p>
    <w:p w14:paraId="607BFECB" w14:textId="77777777" w:rsidR="00613288" w:rsidRPr="00E00F13" w:rsidRDefault="00CB2571" w:rsidP="00613288">
      <w:pPr>
        <w:pStyle w:val="Ttulo4"/>
        <w:rPr>
          <w:color w:val="auto"/>
        </w:rPr>
      </w:pPr>
      <w:r w:rsidRPr="00E00F13">
        <w:rPr>
          <w:color w:val="auto"/>
        </w:rPr>
        <w:t xml:space="preserve">Estrategias de gestión: cuatro modalidades de participación comunitaria </w:t>
      </w:r>
    </w:p>
    <w:p w14:paraId="6D8C34EB" w14:textId="77777777" w:rsidR="00613288" w:rsidRPr="00E00F13" w:rsidRDefault="00613288" w:rsidP="00613288">
      <w:pPr>
        <w:spacing w:after="0" w:line="276" w:lineRule="auto"/>
        <w:jc w:val="both"/>
        <w:rPr>
          <w:rFonts w:ascii="Aptos" w:eastAsia="Aptos" w:hAnsi="Aptos" w:cs="Aptos"/>
        </w:rPr>
      </w:pPr>
    </w:p>
    <w:p w14:paraId="1D6AA75A" w14:textId="3FB7582D" w:rsidR="00CB2571" w:rsidRPr="00E00F13" w:rsidRDefault="00CB2571" w:rsidP="00613288">
      <w:pPr>
        <w:spacing w:after="0" w:line="360" w:lineRule="auto"/>
        <w:jc w:val="both"/>
        <w:rPr>
          <w:rFonts w:ascii="Arial" w:eastAsia="Aptos" w:hAnsi="Arial" w:cs="Arial"/>
          <w:sz w:val="24"/>
          <w:szCs w:val="24"/>
        </w:rPr>
      </w:pPr>
      <w:r w:rsidRPr="00E00F13">
        <w:rPr>
          <w:rFonts w:ascii="Arial" w:eastAsia="Aptos" w:hAnsi="Arial" w:cs="Arial"/>
          <w:sz w:val="24"/>
          <w:szCs w:val="24"/>
        </w:rPr>
        <w:t>Para atender estas necesidades, el Decreto 0413 de 2025 plantea cuatro estrategias denominadas mecanismos o modalidades de gestión, en donde se explica con claridad cuáles son las formas de participación de las organizaciones sociales, los actores comunitarios y la economía popular</w:t>
      </w:r>
      <w:r w:rsidR="00613288" w:rsidRPr="00E00F13">
        <w:rPr>
          <w:rFonts w:ascii="Arial" w:eastAsia="Aptos" w:hAnsi="Arial" w:cs="Arial"/>
          <w:sz w:val="24"/>
          <w:szCs w:val="24"/>
        </w:rPr>
        <w:t>.</w:t>
      </w:r>
    </w:p>
    <w:p w14:paraId="68A7EF67" w14:textId="2E482EF0" w:rsidR="00613288" w:rsidRPr="00E00F13" w:rsidRDefault="00613288" w:rsidP="00613288">
      <w:pPr>
        <w:spacing w:after="0" w:line="360" w:lineRule="auto"/>
        <w:jc w:val="both"/>
        <w:rPr>
          <w:rFonts w:ascii="Arial" w:hAnsi="Arial" w:cs="Arial"/>
          <w:sz w:val="24"/>
          <w:szCs w:val="24"/>
        </w:rPr>
      </w:pPr>
    </w:p>
    <w:p w14:paraId="49D3BE58" w14:textId="77777777" w:rsidR="00A928DC" w:rsidRDefault="00A928DC" w:rsidP="00613288">
      <w:pPr>
        <w:spacing w:after="0" w:line="360" w:lineRule="auto"/>
        <w:jc w:val="both"/>
        <w:rPr>
          <w:rFonts w:ascii="Arial" w:hAnsi="Arial" w:cs="Arial"/>
          <w:b/>
          <w:bCs/>
          <w:sz w:val="24"/>
          <w:szCs w:val="24"/>
        </w:rPr>
      </w:pPr>
    </w:p>
    <w:p w14:paraId="605D28C3" w14:textId="77777777" w:rsidR="00A928DC" w:rsidRDefault="00A928DC" w:rsidP="00613288">
      <w:pPr>
        <w:spacing w:after="0" w:line="360" w:lineRule="auto"/>
        <w:jc w:val="both"/>
        <w:rPr>
          <w:rFonts w:ascii="Arial" w:hAnsi="Arial" w:cs="Arial"/>
          <w:b/>
          <w:bCs/>
          <w:sz w:val="24"/>
          <w:szCs w:val="24"/>
        </w:rPr>
      </w:pPr>
    </w:p>
    <w:p w14:paraId="0296768E" w14:textId="77777777" w:rsidR="00A928DC" w:rsidRDefault="00A928DC" w:rsidP="00613288">
      <w:pPr>
        <w:spacing w:after="0" w:line="360" w:lineRule="auto"/>
        <w:jc w:val="both"/>
        <w:rPr>
          <w:rFonts w:ascii="Arial" w:hAnsi="Arial" w:cs="Arial"/>
          <w:b/>
          <w:bCs/>
          <w:sz w:val="24"/>
          <w:szCs w:val="24"/>
        </w:rPr>
      </w:pPr>
    </w:p>
    <w:p w14:paraId="29AD83B2" w14:textId="77777777" w:rsidR="00A928DC" w:rsidRDefault="00A928DC" w:rsidP="00613288">
      <w:pPr>
        <w:spacing w:after="0" w:line="360" w:lineRule="auto"/>
        <w:jc w:val="both"/>
        <w:rPr>
          <w:rFonts w:ascii="Arial" w:hAnsi="Arial" w:cs="Arial"/>
          <w:b/>
          <w:bCs/>
          <w:sz w:val="24"/>
          <w:szCs w:val="24"/>
        </w:rPr>
      </w:pPr>
    </w:p>
    <w:p w14:paraId="6233BEFF" w14:textId="77777777" w:rsidR="00A928DC" w:rsidRDefault="00A928DC" w:rsidP="00613288">
      <w:pPr>
        <w:spacing w:after="0" w:line="360" w:lineRule="auto"/>
        <w:jc w:val="both"/>
        <w:rPr>
          <w:rFonts w:ascii="Arial" w:hAnsi="Arial" w:cs="Arial"/>
          <w:b/>
          <w:bCs/>
          <w:sz w:val="24"/>
          <w:szCs w:val="24"/>
        </w:rPr>
      </w:pPr>
    </w:p>
    <w:p w14:paraId="2350A82C" w14:textId="77777777" w:rsidR="00A928DC" w:rsidRDefault="00A928DC" w:rsidP="00613288">
      <w:pPr>
        <w:spacing w:after="0" w:line="360" w:lineRule="auto"/>
        <w:jc w:val="both"/>
        <w:rPr>
          <w:rFonts w:ascii="Arial" w:hAnsi="Arial" w:cs="Arial"/>
          <w:b/>
          <w:bCs/>
          <w:sz w:val="24"/>
          <w:szCs w:val="24"/>
        </w:rPr>
      </w:pPr>
    </w:p>
    <w:p w14:paraId="6D456009" w14:textId="77777777" w:rsidR="00A928DC" w:rsidRDefault="00A928DC" w:rsidP="00613288">
      <w:pPr>
        <w:spacing w:after="0" w:line="360" w:lineRule="auto"/>
        <w:jc w:val="both"/>
        <w:rPr>
          <w:rFonts w:ascii="Arial" w:hAnsi="Arial" w:cs="Arial"/>
          <w:b/>
          <w:bCs/>
          <w:sz w:val="24"/>
          <w:szCs w:val="24"/>
        </w:rPr>
      </w:pPr>
    </w:p>
    <w:p w14:paraId="3E4115B9" w14:textId="685057CE" w:rsidR="00613288" w:rsidRPr="00E00F13" w:rsidRDefault="00613288" w:rsidP="00613288">
      <w:pPr>
        <w:spacing w:after="0" w:line="360" w:lineRule="auto"/>
        <w:jc w:val="both"/>
        <w:rPr>
          <w:rFonts w:ascii="Arial" w:hAnsi="Arial" w:cs="Arial"/>
          <w:b/>
          <w:bCs/>
          <w:sz w:val="24"/>
          <w:szCs w:val="24"/>
        </w:rPr>
      </w:pPr>
      <w:r w:rsidRPr="00E00F13">
        <w:rPr>
          <w:rFonts w:ascii="Arial" w:hAnsi="Arial" w:cs="Arial"/>
          <w:b/>
          <w:bCs/>
          <w:sz w:val="24"/>
          <w:szCs w:val="24"/>
        </w:rPr>
        <w:lastRenderedPageBreak/>
        <w:t>Gráfica. El mejoramiento de la vivienda</w:t>
      </w:r>
    </w:p>
    <w:p w14:paraId="457CDBA1" w14:textId="77777777" w:rsidR="00CB2571" w:rsidRPr="00E00F13" w:rsidRDefault="00CB2571" w:rsidP="00CB2571">
      <w:pPr>
        <w:spacing w:after="0" w:line="276" w:lineRule="auto"/>
        <w:jc w:val="both"/>
      </w:pPr>
      <w:r w:rsidRPr="00E00F13">
        <w:rPr>
          <w:noProof/>
        </w:rPr>
        <w:drawing>
          <wp:inline distT="0" distB="0" distL="0" distR="0" wp14:anchorId="27AA4040" wp14:editId="178C3565">
            <wp:extent cx="4247290" cy="2387410"/>
            <wp:effectExtent l="0" t="0" r="0" b="635"/>
            <wp:docPr id="92078192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294173" name="Picture 726294173"/>
                    <pic:cNvPicPr/>
                  </pic:nvPicPr>
                  <pic:blipFill>
                    <a:blip r:embed="rId18">
                      <a:extLst>
                        <a:ext uri="{28A0092B-C50C-407E-A947-70E740481C1C}">
                          <a14:useLocalDpi xmlns:a14="http://schemas.microsoft.com/office/drawing/2010/main"/>
                        </a:ext>
                      </a:extLst>
                    </a:blip>
                    <a:stretch>
                      <a:fillRect/>
                    </a:stretch>
                  </pic:blipFill>
                  <pic:spPr>
                    <a:xfrm>
                      <a:off x="0" y="0"/>
                      <a:ext cx="4283710" cy="2407882"/>
                    </a:xfrm>
                    <a:prstGeom prst="rect">
                      <a:avLst/>
                    </a:prstGeom>
                  </pic:spPr>
                </pic:pic>
              </a:graphicData>
            </a:graphic>
          </wp:inline>
        </w:drawing>
      </w:r>
    </w:p>
    <w:p w14:paraId="14548139" w14:textId="71E03EF5" w:rsidR="00613288" w:rsidRPr="00E00F13" w:rsidRDefault="00613288" w:rsidP="00613288">
      <w:pPr>
        <w:spacing w:after="0" w:line="360" w:lineRule="auto"/>
        <w:jc w:val="both"/>
        <w:rPr>
          <w:rFonts w:ascii="Arial" w:hAnsi="Arial" w:cs="Arial"/>
          <w:sz w:val="24"/>
          <w:szCs w:val="24"/>
        </w:rPr>
      </w:pPr>
      <w:r w:rsidRPr="00E00F13">
        <w:rPr>
          <w:rFonts w:ascii="Arial" w:hAnsi="Arial" w:cs="Arial"/>
          <w:sz w:val="24"/>
          <w:szCs w:val="24"/>
        </w:rPr>
        <w:t>Fuente: MVCT, 2026.</w:t>
      </w:r>
    </w:p>
    <w:p w14:paraId="327F38BE" w14:textId="77777777" w:rsidR="00A928DC" w:rsidRDefault="00A928DC" w:rsidP="00613288">
      <w:pPr>
        <w:spacing w:before="240" w:after="240" w:line="360" w:lineRule="auto"/>
        <w:jc w:val="both"/>
        <w:rPr>
          <w:rFonts w:ascii="Arial" w:eastAsia="Aptos" w:hAnsi="Arial" w:cs="Arial"/>
          <w:b/>
          <w:bCs/>
          <w:sz w:val="24"/>
          <w:szCs w:val="24"/>
        </w:rPr>
      </w:pPr>
    </w:p>
    <w:p w14:paraId="62029AEF" w14:textId="1982302F" w:rsidR="00CB2571" w:rsidRPr="00E00F13" w:rsidRDefault="00CB2571" w:rsidP="00613288">
      <w:pPr>
        <w:spacing w:before="240" w:after="240" w:line="360" w:lineRule="auto"/>
        <w:jc w:val="both"/>
        <w:rPr>
          <w:rFonts w:ascii="Arial" w:hAnsi="Arial" w:cs="Arial"/>
          <w:sz w:val="24"/>
          <w:szCs w:val="24"/>
        </w:rPr>
      </w:pPr>
      <w:r w:rsidRPr="00E00F13">
        <w:rPr>
          <w:rFonts w:ascii="Arial" w:eastAsia="Aptos" w:hAnsi="Arial" w:cs="Arial"/>
          <w:b/>
          <w:bCs/>
          <w:sz w:val="24"/>
          <w:szCs w:val="24"/>
        </w:rPr>
        <w:t xml:space="preserve">Modalidad I </w:t>
      </w:r>
      <w:r w:rsidRPr="00E00F13">
        <w:rPr>
          <w:rFonts w:ascii="Arial" w:eastAsia="Aptos" w:hAnsi="Arial" w:cs="Arial"/>
          <w:sz w:val="24"/>
          <w:szCs w:val="24"/>
        </w:rPr>
        <w:t>– Gestión social</w:t>
      </w:r>
      <w:r w:rsidR="00613288" w:rsidRPr="00E00F13">
        <w:rPr>
          <w:rFonts w:ascii="Arial" w:eastAsia="Aptos" w:hAnsi="Arial" w:cs="Arial"/>
          <w:sz w:val="24"/>
          <w:szCs w:val="24"/>
        </w:rPr>
        <w:t>.</w:t>
      </w:r>
      <w:r w:rsidRPr="00E00F13">
        <w:rPr>
          <w:rFonts w:ascii="Arial" w:eastAsia="Aptos" w:hAnsi="Arial" w:cs="Arial"/>
          <w:sz w:val="24"/>
          <w:szCs w:val="24"/>
        </w:rPr>
        <w:t xml:space="preserve"> Proyectos ejecutados directamente por una persona natural, organización social o comunitaria, o por maestros de obra, mediante acciones colectivas. El Estado acompaña con asistencia técnica</w:t>
      </w:r>
      <w:r w:rsidR="00613288" w:rsidRPr="00E00F13">
        <w:rPr>
          <w:rFonts w:ascii="Arial" w:eastAsia="Aptos" w:hAnsi="Arial" w:cs="Arial"/>
          <w:sz w:val="24"/>
          <w:szCs w:val="24"/>
        </w:rPr>
        <w:t xml:space="preserve"> integral</w:t>
      </w:r>
      <w:r w:rsidRPr="00E00F13">
        <w:rPr>
          <w:rFonts w:ascii="Arial" w:eastAsia="Aptos" w:hAnsi="Arial" w:cs="Arial"/>
          <w:sz w:val="24"/>
          <w:szCs w:val="24"/>
        </w:rPr>
        <w:t>, estructuración, ejecución y supervisión.</w:t>
      </w:r>
    </w:p>
    <w:p w14:paraId="18FEAECC" w14:textId="226130BE" w:rsidR="00CB2571" w:rsidRPr="00E00F13" w:rsidRDefault="00CB2571" w:rsidP="00613288">
      <w:pPr>
        <w:spacing w:before="240" w:after="240" w:line="360" w:lineRule="auto"/>
        <w:jc w:val="both"/>
        <w:rPr>
          <w:rFonts w:ascii="Arial" w:hAnsi="Arial" w:cs="Arial"/>
          <w:sz w:val="24"/>
          <w:szCs w:val="24"/>
        </w:rPr>
      </w:pPr>
      <w:r w:rsidRPr="00E00F13">
        <w:rPr>
          <w:rFonts w:ascii="Arial" w:eastAsia="Aptos" w:hAnsi="Arial" w:cs="Arial"/>
          <w:b/>
          <w:bCs/>
          <w:sz w:val="24"/>
          <w:szCs w:val="24"/>
        </w:rPr>
        <w:t>Modalidad II –</w:t>
      </w:r>
      <w:r w:rsidRPr="00E00F13">
        <w:rPr>
          <w:rFonts w:ascii="Arial" w:eastAsia="Aptos" w:hAnsi="Arial" w:cs="Arial"/>
          <w:sz w:val="24"/>
          <w:szCs w:val="24"/>
        </w:rPr>
        <w:t xml:space="preserve"> Gestión particular con alianza comunitaria</w:t>
      </w:r>
      <w:r w:rsidR="00613288" w:rsidRPr="00E00F13">
        <w:rPr>
          <w:rFonts w:ascii="Arial" w:eastAsia="Aptos" w:hAnsi="Arial" w:cs="Arial"/>
          <w:sz w:val="24"/>
          <w:szCs w:val="24"/>
        </w:rPr>
        <w:t>.</w:t>
      </w:r>
      <w:r w:rsidRPr="00E00F13">
        <w:rPr>
          <w:rFonts w:ascii="Arial" w:eastAsia="Aptos" w:hAnsi="Arial" w:cs="Arial"/>
          <w:sz w:val="24"/>
          <w:szCs w:val="24"/>
        </w:rPr>
        <w:t xml:space="preserve"> Una persona natural o jurídica idónea (empresa constructora) se asocia prioritariamente con organizaciones sociales, actores comunitarios o maestros de obra como gestores aliados. Se incluyen acciones de responsabilidad social empresarial.</w:t>
      </w:r>
    </w:p>
    <w:p w14:paraId="7D849821" w14:textId="04623933" w:rsidR="00CB2571" w:rsidRPr="00E00F13" w:rsidRDefault="00CB2571" w:rsidP="00613288">
      <w:pPr>
        <w:spacing w:before="240" w:after="240" w:line="360" w:lineRule="auto"/>
        <w:jc w:val="both"/>
        <w:rPr>
          <w:rFonts w:ascii="Arial" w:hAnsi="Arial" w:cs="Arial"/>
          <w:sz w:val="24"/>
          <w:szCs w:val="24"/>
        </w:rPr>
      </w:pPr>
      <w:r w:rsidRPr="00E00F13">
        <w:rPr>
          <w:rFonts w:ascii="Arial" w:eastAsia="Aptos" w:hAnsi="Arial" w:cs="Arial"/>
          <w:b/>
          <w:bCs/>
          <w:sz w:val="24"/>
          <w:szCs w:val="24"/>
        </w:rPr>
        <w:t>Modalidad III</w:t>
      </w:r>
      <w:r w:rsidRPr="00E00F13">
        <w:rPr>
          <w:rFonts w:ascii="Arial" w:eastAsia="Aptos" w:hAnsi="Arial" w:cs="Arial"/>
          <w:sz w:val="24"/>
          <w:szCs w:val="24"/>
        </w:rPr>
        <w:t xml:space="preserve"> – Gestión asociada</w:t>
      </w:r>
      <w:r w:rsidR="00613288" w:rsidRPr="00E00F13">
        <w:rPr>
          <w:rFonts w:ascii="Arial" w:eastAsia="Aptos" w:hAnsi="Arial" w:cs="Arial"/>
          <w:sz w:val="24"/>
          <w:szCs w:val="24"/>
        </w:rPr>
        <w:t>.</w:t>
      </w:r>
      <w:r w:rsidRPr="00E00F13">
        <w:rPr>
          <w:rFonts w:ascii="Arial" w:eastAsia="Aptos" w:hAnsi="Arial" w:cs="Arial"/>
          <w:sz w:val="24"/>
          <w:szCs w:val="24"/>
        </w:rPr>
        <w:t xml:space="preserve"> Proyectos liderados por un proceso social o comunitario, que contrata a un ejecutor idóneo. El Estado brinda acompañamiento, asistencia técnica</w:t>
      </w:r>
      <w:r w:rsidR="00613288" w:rsidRPr="00E00F13">
        <w:rPr>
          <w:rFonts w:ascii="Arial" w:eastAsia="Aptos" w:hAnsi="Arial" w:cs="Arial"/>
          <w:sz w:val="24"/>
          <w:szCs w:val="24"/>
        </w:rPr>
        <w:t xml:space="preserve"> integral</w:t>
      </w:r>
      <w:r w:rsidRPr="00E00F13">
        <w:rPr>
          <w:rFonts w:ascii="Arial" w:eastAsia="Aptos" w:hAnsi="Arial" w:cs="Arial"/>
          <w:sz w:val="24"/>
          <w:szCs w:val="24"/>
        </w:rPr>
        <w:t xml:space="preserve"> y supervisión.</w:t>
      </w:r>
    </w:p>
    <w:p w14:paraId="62CD29E4" w14:textId="1AE6C415" w:rsidR="00CB2571" w:rsidRPr="00E00F13" w:rsidRDefault="00CB2571" w:rsidP="00613288">
      <w:pPr>
        <w:spacing w:before="240" w:after="240" w:line="360" w:lineRule="auto"/>
        <w:jc w:val="both"/>
        <w:rPr>
          <w:rFonts w:ascii="Arial" w:hAnsi="Arial" w:cs="Arial"/>
          <w:sz w:val="24"/>
          <w:szCs w:val="24"/>
        </w:rPr>
      </w:pPr>
      <w:r w:rsidRPr="00E00F13">
        <w:rPr>
          <w:rFonts w:ascii="Arial" w:eastAsia="Aptos" w:hAnsi="Arial" w:cs="Arial"/>
          <w:b/>
          <w:bCs/>
          <w:sz w:val="24"/>
          <w:szCs w:val="24"/>
        </w:rPr>
        <w:t>Modalidad IV</w:t>
      </w:r>
      <w:r w:rsidRPr="00E00F13">
        <w:rPr>
          <w:rFonts w:ascii="Arial" w:eastAsia="Aptos" w:hAnsi="Arial" w:cs="Arial"/>
          <w:sz w:val="24"/>
          <w:szCs w:val="24"/>
        </w:rPr>
        <w:t xml:space="preserve"> – Gestión asociada pública</w:t>
      </w:r>
      <w:r w:rsidR="00613288" w:rsidRPr="00E00F13">
        <w:rPr>
          <w:rFonts w:ascii="Arial" w:eastAsia="Aptos" w:hAnsi="Arial" w:cs="Arial"/>
          <w:sz w:val="24"/>
          <w:szCs w:val="24"/>
        </w:rPr>
        <w:t>.</w:t>
      </w:r>
      <w:r w:rsidRPr="00E00F13">
        <w:rPr>
          <w:rFonts w:ascii="Arial" w:eastAsia="Aptos" w:hAnsi="Arial" w:cs="Arial"/>
          <w:sz w:val="24"/>
          <w:szCs w:val="24"/>
        </w:rPr>
        <w:t xml:space="preserve"> Proyectos cofinanciados en alianza con entidades territoriales u otras entidades públicas, respetando las capacidades de cada territorio.</w:t>
      </w:r>
    </w:p>
    <w:p w14:paraId="73CCEC10" w14:textId="77777777" w:rsidR="00CB2571" w:rsidRPr="00E00F13" w:rsidRDefault="00CB2571" w:rsidP="00613288">
      <w:pPr>
        <w:spacing w:before="240" w:after="240" w:line="360" w:lineRule="auto"/>
        <w:jc w:val="both"/>
        <w:rPr>
          <w:rFonts w:ascii="Arial" w:hAnsi="Arial" w:cs="Arial"/>
          <w:sz w:val="24"/>
          <w:szCs w:val="24"/>
        </w:rPr>
      </w:pPr>
      <w:r w:rsidRPr="00E00F13">
        <w:rPr>
          <w:rFonts w:ascii="Arial" w:eastAsia="Aptos" w:hAnsi="Arial" w:cs="Arial"/>
          <w:sz w:val="24"/>
          <w:szCs w:val="24"/>
        </w:rPr>
        <w:t xml:space="preserve">Todas estas modalidades están diseñadas para que las organizaciones de base, las juntas de acción comunal, las organizaciones populares de vivienda y los </w:t>
      </w:r>
      <w:r w:rsidRPr="00E00F13">
        <w:rPr>
          <w:rFonts w:ascii="Arial" w:eastAsia="Aptos" w:hAnsi="Arial" w:cs="Arial"/>
          <w:sz w:val="24"/>
          <w:szCs w:val="24"/>
        </w:rPr>
        <w:lastRenderedPageBreak/>
        <w:t>maestros de obra tengan un rol protagónico, y no sean desplazadas por grandes contratistas.</w:t>
      </w:r>
    </w:p>
    <w:p w14:paraId="78FB6681" w14:textId="77777777" w:rsidR="00613288" w:rsidRPr="00E00F13" w:rsidRDefault="00CB2571" w:rsidP="00613288">
      <w:pPr>
        <w:pStyle w:val="Ttulo4"/>
        <w:rPr>
          <w:color w:val="auto"/>
        </w:rPr>
      </w:pPr>
      <w:r w:rsidRPr="00E00F13">
        <w:rPr>
          <w:color w:val="auto"/>
        </w:rPr>
        <w:t xml:space="preserve">Tipologías de intervención: cinco tipologías para mejorar desde lo más simple hasta lo estructural </w:t>
      </w:r>
    </w:p>
    <w:p w14:paraId="60DF98C4" w14:textId="77777777" w:rsidR="00613288" w:rsidRPr="00E00F13" w:rsidRDefault="00613288" w:rsidP="00613288">
      <w:pPr>
        <w:spacing w:after="0" w:line="360" w:lineRule="auto"/>
        <w:jc w:val="both"/>
        <w:rPr>
          <w:rFonts w:ascii="Arial" w:eastAsia="Aptos" w:hAnsi="Arial" w:cs="Arial"/>
          <w:sz w:val="24"/>
          <w:szCs w:val="24"/>
        </w:rPr>
      </w:pPr>
    </w:p>
    <w:p w14:paraId="178912A8" w14:textId="06CF7C48" w:rsidR="00CB2571" w:rsidRPr="00E00F13" w:rsidRDefault="00CB2571" w:rsidP="00613288">
      <w:pPr>
        <w:spacing w:after="0" w:line="360" w:lineRule="auto"/>
        <w:jc w:val="both"/>
        <w:rPr>
          <w:rFonts w:ascii="Arial" w:eastAsia="Aptos" w:hAnsi="Arial" w:cs="Arial"/>
          <w:sz w:val="24"/>
          <w:szCs w:val="24"/>
        </w:rPr>
      </w:pPr>
      <w:r w:rsidRPr="00E00F13">
        <w:rPr>
          <w:rFonts w:ascii="Arial" w:eastAsia="Aptos" w:hAnsi="Arial" w:cs="Arial"/>
          <w:sz w:val="24"/>
          <w:szCs w:val="24"/>
        </w:rPr>
        <w:t>Frente a los temas técnicos, el decreto plantea cinco modalidades o tipologías de intervención, que tienen condiciones específicas establecidas en el manual operativo y en el mismo Decreto 0413 de 2025. Cada una tiene un valor máximo del subsidio expresado en salarios mínimos, diferenciando entre zona urbana y zona rural:</w:t>
      </w:r>
    </w:p>
    <w:p w14:paraId="009D7FA4" w14:textId="77777777" w:rsidR="00CB2571" w:rsidRPr="00E00F13" w:rsidRDefault="00CB2571" w:rsidP="00CB2571">
      <w:pPr>
        <w:spacing w:before="240" w:after="240" w:line="276" w:lineRule="auto"/>
        <w:jc w:val="both"/>
      </w:pPr>
      <w:r w:rsidRPr="00E00F13">
        <w:rPr>
          <w:noProof/>
        </w:rPr>
        <w:drawing>
          <wp:inline distT="0" distB="0" distL="0" distR="0" wp14:anchorId="5782EF3B" wp14:editId="63BAA94A">
            <wp:extent cx="4359377" cy="2422647"/>
            <wp:effectExtent l="0" t="0" r="0" b="3175"/>
            <wp:docPr id="2798554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568634" name="Picture 1261568634"/>
                    <pic:cNvPicPr/>
                  </pic:nvPicPr>
                  <pic:blipFill>
                    <a:blip r:embed="rId19">
                      <a:extLst>
                        <a:ext uri="{28A0092B-C50C-407E-A947-70E740481C1C}">
                          <a14:useLocalDpi xmlns:a14="http://schemas.microsoft.com/office/drawing/2010/main"/>
                        </a:ext>
                      </a:extLst>
                    </a:blip>
                    <a:stretch>
                      <a:fillRect/>
                    </a:stretch>
                  </pic:blipFill>
                  <pic:spPr>
                    <a:xfrm>
                      <a:off x="0" y="0"/>
                      <a:ext cx="4378644" cy="2433355"/>
                    </a:xfrm>
                    <a:prstGeom prst="rect">
                      <a:avLst/>
                    </a:prstGeom>
                  </pic:spPr>
                </pic:pic>
              </a:graphicData>
            </a:graphic>
          </wp:inline>
        </w:drawing>
      </w:r>
    </w:p>
    <w:p w14:paraId="007167A8" w14:textId="2CCD50EA" w:rsidR="00613288" w:rsidRPr="00E00F13" w:rsidRDefault="00613288" w:rsidP="00CB2571">
      <w:pPr>
        <w:spacing w:before="240" w:after="240" w:line="276" w:lineRule="auto"/>
        <w:jc w:val="both"/>
      </w:pPr>
      <w:r w:rsidRPr="00E00F13">
        <w:t>Fuente: MVCT, 2026.</w:t>
      </w:r>
    </w:p>
    <w:p w14:paraId="72A973B5" w14:textId="77777777" w:rsidR="00A928DC" w:rsidRDefault="00A928DC" w:rsidP="00613288">
      <w:pPr>
        <w:spacing w:before="240" w:after="240" w:line="360" w:lineRule="auto"/>
        <w:jc w:val="both"/>
        <w:rPr>
          <w:rFonts w:ascii="Arial" w:eastAsia="Aptos" w:hAnsi="Arial" w:cs="Arial"/>
          <w:i/>
          <w:iCs/>
          <w:sz w:val="24"/>
          <w:szCs w:val="24"/>
        </w:rPr>
      </w:pPr>
    </w:p>
    <w:p w14:paraId="35366A6E" w14:textId="55B0974E" w:rsidR="00CB2571" w:rsidRPr="00E00F13" w:rsidRDefault="00CB2571" w:rsidP="00613288">
      <w:pPr>
        <w:spacing w:before="240" w:after="240" w:line="360" w:lineRule="auto"/>
        <w:jc w:val="both"/>
        <w:rPr>
          <w:rFonts w:ascii="Arial" w:hAnsi="Arial" w:cs="Arial"/>
          <w:sz w:val="24"/>
          <w:szCs w:val="24"/>
        </w:rPr>
      </w:pPr>
      <w:r w:rsidRPr="00E00F13">
        <w:rPr>
          <w:rFonts w:ascii="Arial" w:eastAsia="Aptos" w:hAnsi="Arial" w:cs="Arial"/>
          <w:i/>
          <w:iCs/>
          <w:sz w:val="24"/>
          <w:szCs w:val="24"/>
        </w:rPr>
        <w:t>Categoría A</w:t>
      </w:r>
      <w:r w:rsidRPr="00E00F13">
        <w:rPr>
          <w:rFonts w:ascii="Arial" w:eastAsia="Aptos" w:hAnsi="Arial" w:cs="Arial"/>
          <w:sz w:val="24"/>
          <w:szCs w:val="24"/>
        </w:rPr>
        <w:t xml:space="preserve"> – Locativo</w:t>
      </w:r>
      <w:r w:rsidR="00613288" w:rsidRPr="00E00F13">
        <w:rPr>
          <w:rFonts w:ascii="Arial" w:eastAsia="Aptos" w:hAnsi="Arial" w:cs="Arial"/>
          <w:sz w:val="24"/>
          <w:szCs w:val="24"/>
        </w:rPr>
        <w:t>.</w:t>
      </w:r>
      <w:r w:rsidRPr="00E00F13">
        <w:rPr>
          <w:rFonts w:ascii="Arial" w:eastAsia="Aptos" w:hAnsi="Arial" w:cs="Arial"/>
          <w:sz w:val="24"/>
          <w:szCs w:val="24"/>
        </w:rPr>
        <w:t xml:space="preserve"> Mejoras en pisos, paredes, acabados, cerramientos, mobiliario (cocina, sanitarios), redes eléctricas, gas e hidrosanitarias. Sin afectar estructura portante. Incluye adecuaciones para personas con discapacidad (Urbano: 18 SMMLV; Rural: 22 SMMLV)</w:t>
      </w:r>
      <w:r w:rsidR="00613288" w:rsidRPr="00E00F13">
        <w:rPr>
          <w:rFonts w:ascii="Arial" w:eastAsia="Aptos" w:hAnsi="Arial" w:cs="Arial"/>
          <w:sz w:val="24"/>
          <w:szCs w:val="24"/>
        </w:rPr>
        <w:t>.</w:t>
      </w:r>
    </w:p>
    <w:p w14:paraId="039DCC1E" w14:textId="6ECDD006" w:rsidR="00CB2571" w:rsidRPr="00E00F13" w:rsidRDefault="00CB2571" w:rsidP="00613288">
      <w:pPr>
        <w:spacing w:before="240" w:after="240" w:line="360" w:lineRule="auto"/>
        <w:jc w:val="both"/>
        <w:rPr>
          <w:rFonts w:ascii="Arial" w:hAnsi="Arial" w:cs="Arial"/>
          <w:sz w:val="24"/>
          <w:szCs w:val="24"/>
        </w:rPr>
      </w:pPr>
      <w:r w:rsidRPr="00E00F13">
        <w:rPr>
          <w:rFonts w:ascii="Arial" w:eastAsia="Aptos" w:hAnsi="Arial" w:cs="Arial"/>
          <w:i/>
          <w:iCs/>
          <w:sz w:val="24"/>
          <w:szCs w:val="24"/>
        </w:rPr>
        <w:t>Categoría B –</w:t>
      </w:r>
      <w:r w:rsidRPr="00E00F13">
        <w:rPr>
          <w:rFonts w:ascii="Arial" w:eastAsia="Aptos" w:hAnsi="Arial" w:cs="Arial"/>
          <w:sz w:val="24"/>
          <w:szCs w:val="24"/>
        </w:rPr>
        <w:t xml:space="preserve"> Servicios públicos</w:t>
      </w:r>
      <w:r w:rsidR="00613288" w:rsidRPr="00E00F13">
        <w:rPr>
          <w:rFonts w:ascii="Arial" w:eastAsia="Aptos" w:hAnsi="Arial" w:cs="Arial"/>
          <w:sz w:val="24"/>
          <w:szCs w:val="24"/>
        </w:rPr>
        <w:t>.</w:t>
      </w:r>
      <w:r w:rsidRPr="00E00F13">
        <w:rPr>
          <w:rFonts w:ascii="Arial" w:eastAsia="Aptos" w:hAnsi="Arial" w:cs="Arial"/>
          <w:sz w:val="24"/>
          <w:szCs w:val="24"/>
        </w:rPr>
        <w:t xml:space="preserve"> Provisión o mejora del acceso a agua potable y saneamiento básico: redes intradomiciliarias, almacenamiento de aguas lluvias, disposición de aguas servidas, sustitución de aparatos sanitarios. Incluye eficiencia energética (Urbano: 10 SMMLV; Rural: 22 SMMLV)</w:t>
      </w:r>
      <w:r w:rsidR="00613288" w:rsidRPr="00E00F13">
        <w:rPr>
          <w:rFonts w:ascii="Arial" w:eastAsia="Aptos" w:hAnsi="Arial" w:cs="Arial"/>
          <w:sz w:val="24"/>
          <w:szCs w:val="24"/>
        </w:rPr>
        <w:t>.</w:t>
      </w:r>
    </w:p>
    <w:p w14:paraId="57AC44D2" w14:textId="0BA08535" w:rsidR="00CB2571" w:rsidRPr="00E00F13" w:rsidRDefault="00CB2571" w:rsidP="00613288">
      <w:pPr>
        <w:spacing w:before="240" w:after="240" w:line="360" w:lineRule="auto"/>
        <w:jc w:val="both"/>
        <w:rPr>
          <w:rFonts w:ascii="Arial" w:hAnsi="Arial" w:cs="Arial"/>
          <w:sz w:val="24"/>
          <w:szCs w:val="24"/>
        </w:rPr>
      </w:pPr>
      <w:r w:rsidRPr="00E00F13">
        <w:rPr>
          <w:rFonts w:ascii="Arial" w:eastAsia="Aptos" w:hAnsi="Arial" w:cs="Arial"/>
          <w:i/>
          <w:iCs/>
          <w:sz w:val="24"/>
          <w:szCs w:val="24"/>
        </w:rPr>
        <w:lastRenderedPageBreak/>
        <w:t>Categoría C –</w:t>
      </w:r>
      <w:r w:rsidRPr="00E00F13">
        <w:rPr>
          <w:rFonts w:ascii="Arial" w:eastAsia="Aptos" w:hAnsi="Arial" w:cs="Arial"/>
          <w:sz w:val="24"/>
          <w:szCs w:val="24"/>
        </w:rPr>
        <w:t xml:space="preserve"> Reducción de vulnerabilidad</w:t>
      </w:r>
      <w:r w:rsidR="00613288" w:rsidRPr="00E00F13">
        <w:rPr>
          <w:rFonts w:ascii="Arial" w:eastAsia="Aptos" w:hAnsi="Arial" w:cs="Arial"/>
          <w:sz w:val="24"/>
          <w:szCs w:val="24"/>
        </w:rPr>
        <w:t>.</w:t>
      </w:r>
      <w:r w:rsidRPr="00E00F13">
        <w:rPr>
          <w:rFonts w:ascii="Arial" w:eastAsia="Aptos" w:hAnsi="Arial" w:cs="Arial"/>
          <w:sz w:val="24"/>
          <w:szCs w:val="24"/>
        </w:rPr>
        <w:t xml:space="preserve"> Intervenciones para disminuir la vulnerabilidad física ante emergencias, mediante refuerzo de elementos estructurales y no estructurales (Urbano: 24 SMMLV; Rural: 30 SMMLV)</w:t>
      </w:r>
      <w:r w:rsidR="00613288" w:rsidRPr="00E00F13">
        <w:rPr>
          <w:rFonts w:ascii="Arial" w:eastAsia="Aptos" w:hAnsi="Arial" w:cs="Arial"/>
          <w:sz w:val="24"/>
          <w:szCs w:val="24"/>
        </w:rPr>
        <w:t>.</w:t>
      </w:r>
    </w:p>
    <w:p w14:paraId="06D90B0A" w14:textId="39596078" w:rsidR="00CB2571" w:rsidRPr="00E00F13" w:rsidRDefault="00CB2571" w:rsidP="00613288">
      <w:pPr>
        <w:spacing w:before="240" w:after="240" w:line="360" w:lineRule="auto"/>
        <w:jc w:val="both"/>
        <w:rPr>
          <w:rFonts w:ascii="Arial" w:hAnsi="Arial" w:cs="Arial"/>
          <w:sz w:val="24"/>
          <w:szCs w:val="24"/>
        </w:rPr>
      </w:pPr>
      <w:r w:rsidRPr="00E00F13">
        <w:rPr>
          <w:rFonts w:ascii="Arial" w:eastAsia="Aptos" w:hAnsi="Arial" w:cs="Arial"/>
          <w:i/>
          <w:iCs/>
          <w:sz w:val="24"/>
          <w:szCs w:val="24"/>
        </w:rPr>
        <w:t>Categoría D</w:t>
      </w:r>
      <w:r w:rsidRPr="00E00F13">
        <w:rPr>
          <w:rFonts w:ascii="Arial" w:eastAsia="Aptos" w:hAnsi="Arial" w:cs="Arial"/>
          <w:sz w:val="24"/>
          <w:szCs w:val="24"/>
        </w:rPr>
        <w:t xml:space="preserve"> – Estructural</w:t>
      </w:r>
      <w:r w:rsidR="00613288" w:rsidRPr="00E00F13">
        <w:rPr>
          <w:rFonts w:ascii="Arial" w:eastAsia="Aptos" w:hAnsi="Arial" w:cs="Arial"/>
          <w:sz w:val="24"/>
          <w:szCs w:val="24"/>
        </w:rPr>
        <w:t>.</w:t>
      </w:r>
      <w:r w:rsidRPr="00E00F13">
        <w:rPr>
          <w:rFonts w:ascii="Arial" w:eastAsia="Aptos" w:hAnsi="Arial" w:cs="Arial"/>
          <w:sz w:val="24"/>
          <w:szCs w:val="24"/>
        </w:rPr>
        <w:t xml:space="preserve"> Mejora de la calidad estructural con refuerzos (incluyendo cubierta) y adaptación a la variabilidad climática. No requiere licencia de construcción (Urbano y Rural: 36 SMMLV)</w:t>
      </w:r>
      <w:r w:rsidR="0098137B" w:rsidRPr="00E00F13">
        <w:rPr>
          <w:rFonts w:ascii="Arial" w:eastAsia="Aptos" w:hAnsi="Arial" w:cs="Arial"/>
          <w:sz w:val="24"/>
          <w:szCs w:val="24"/>
        </w:rPr>
        <w:t>.</w:t>
      </w:r>
    </w:p>
    <w:p w14:paraId="4F89393A" w14:textId="5ECD1A76" w:rsidR="00CB2571" w:rsidRPr="00E00F13" w:rsidRDefault="00CB2571" w:rsidP="00613288">
      <w:pPr>
        <w:spacing w:before="240" w:after="240" w:line="360" w:lineRule="auto"/>
        <w:jc w:val="both"/>
        <w:rPr>
          <w:rFonts w:ascii="Arial" w:hAnsi="Arial" w:cs="Arial"/>
          <w:sz w:val="24"/>
          <w:szCs w:val="24"/>
        </w:rPr>
      </w:pPr>
      <w:r w:rsidRPr="00E00F13">
        <w:rPr>
          <w:rFonts w:ascii="Arial" w:eastAsia="Aptos" w:hAnsi="Arial" w:cs="Arial"/>
          <w:i/>
          <w:iCs/>
          <w:sz w:val="24"/>
          <w:szCs w:val="24"/>
        </w:rPr>
        <w:t>Categoría E</w:t>
      </w:r>
      <w:r w:rsidRPr="00E00F13">
        <w:rPr>
          <w:rFonts w:ascii="Arial" w:eastAsia="Aptos" w:hAnsi="Arial" w:cs="Arial"/>
          <w:sz w:val="24"/>
          <w:szCs w:val="24"/>
        </w:rPr>
        <w:t xml:space="preserve"> – Modular: Ampliación o conformación de espacios habitacionales o de servicios mediante módulos o construcción progresiva (Urbano y Rural: 22 SMMLV)</w:t>
      </w:r>
      <w:r w:rsidR="0098137B" w:rsidRPr="00E00F13">
        <w:rPr>
          <w:rFonts w:ascii="Arial" w:eastAsia="Aptos" w:hAnsi="Arial" w:cs="Arial"/>
          <w:sz w:val="24"/>
          <w:szCs w:val="24"/>
        </w:rPr>
        <w:t>.</w:t>
      </w:r>
    </w:p>
    <w:p w14:paraId="09B32798" w14:textId="77777777" w:rsidR="0098137B" w:rsidRPr="00E00F13" w:rsidRDefault="00CB2571" w:rsidP="0098137B">
      <w:pPr>
        <w:pStyle w:val="Ttulo4"/>
        <w:rPr>
          <w:color w:val="auto"/>
        </w:rPr>
      </w:pPr>
      <w:r w:rsidRPr="00E00F13">
        <w:rPr>
          <w:color w:val="auto"/>
        </w:rPr>
        <w:t xml:space="preserve">Aclaraciones técnicas y políticas importantes </w:t>
      </w:r>
    </w:p>
    <w:p w14:paraId="5E65418E" w14:textId="4869461A" w:rsidR="00CB2571" w:rsidRPr="00E00F13" w:rsidRDefault="00CB2571" w:rsidP="0098137B">
      <w:pPr>
        <w:spacing w:after="0" w:line="360" w:lineRule="auto"/>
        <w:jc w:val="both"/>
        <w:rPr>
          <w:rFonts w:ascii="Arial" w:eastAsia="Aptos" w:hAnsi="Arial" w:cs="Arial"/>
          <w:sz w:val="24"/>
          <w:szCs w:val="24"/>
        </w:rPr>
      </w:pPr>
      <w:r w:rsidRPr="00E00F13">
        <w:rPr>
          <w:rFonts w:ascii="Arial" w:eastAsia="Aptos" w:hAnsi="Arial" w:cs="Arial"/>
          <w:sz w:val="24"/>
          <w:szCs w:val="24"/>
        </w:rPr>
        <w:t>El decreto incluye varias aclaraciones que refuerzan el enfoque político de facilitar el acceso y eliminar barreras burocráticas:</w:t>
      </w:r>
    </w:p>
    <w:p w14:paraId="6D90DC78" w14:textId="77777777" w:rsidR="00CB2571" w:rsidRPr="00E00F13" w:rsidRDefault="00CB2571">
      <w:pPr>
        <w:pStyle w:val="Prrafodelista"/>
        <w:numPr>
          <w:ilvl w:val="0"/>
          <w:numId w:val="49"/>
        </w:numPr>
        <w:spacing w:before="240" w:after="240" w:line="360" w:lineRule="auto"/>
        <w:jc w:val="both"/>
        <w:rPr>
          <w:rFonts w:ascii="Arial" w:hAnsi="Arial" w:cs="Arial"/>
          <w:sz w:val="24"/>
          <w:szCs w:val="24"/>
        </w:rPr>
      </w:pPr>
      <w:r w:rsidRPr="00E00F13">
        <w:rPr>
          <w:rFonts w:ascii="Arial" w:eastAsia="Aptos" w:hAnsi="Arial" w:cs="Arial"/>
          <w:sz w:val="24"/>
          <w:szCs w:val="24"/>
        </w:rPr>
        <w:t>No se requiere licencia de construcción para las intervenciones de mejoramiento en el marco del subsidio (categorías A, B, D y E, y por naturaleza también C), de acuerdo con el parágrafo 6° del artículo 6° de la Ley 3 de 1991.</w:t>
      </w:r>
    </w:p>
    <w:p w14:paraId="6966D968" w14:textId="77777777" w:rsidR="00CB2571" w:rsidRPr="00E00F13" w:rsidRDefault="00CB2571">
      <w:pPr>
        <w:pStyle w:val="Prrafodelista"/>
        <w:numPr>
          <w:ilvl w:val="0"/>
          <w:numId w:val="49"/>
        </w:numPr>
        <w:spacing w:before="240" w:after="240" w:line="360" w:lineRule="auto"/>
        <w:jc w:val="both"/>
        <w:rPr>
          <w:rFonts w:ascii="Arial" w:hAnsi="Arial" w:cs="Arial"/>
          <w:sz w:val="24"/>
          <w:szCs w:val="24"/>
        </w:rPr>
      </w:pPr>
      <w:r w:rsidRPr="00E00F13">
        <w:rPr>
          <w:rFonts w:ascii="Arial" w:eastAsia="Aptos" w:hAnsi="Arial" w:cs="Arial"/>
          <w:sz w:val="24"/>
          <w:szCs w:val="24"/>
        </w:rPr>
        <w:t>En zona rural, tampoco se requiere permiso de vertimientos ni licencia (Decreto 890 de 2017).</w:t>
      </w:r>
    </w:p>
    <w:p w14:paraId="29AF67B0" w14:textId="77777777" w:rsidR="00CB2571" w:rsidRPr="00E00F13" w:rsidRDefault="00CB2571">
      <w:pPr>
        <w:pStyle w:val="Prrafodelista"/>
        <w:numPr>
          <w:ilvl w:val="0"/>
          <w:numId w:val="49"/>
        </w:numPr>
        <w:spacing w:before="240" w:after="240" w:line="360" w:lineRule="auto"/>
        <w:jc w:val="both"/>
        <w:rPr>
          <w:rFonts w:ascii="Arial" w:hAnsi="Arial" w:cs="Arial"/>
          <w:sz w:val="24"/>
          <w:szCs w:val="24"/>
        </w:rPr>
      </w:pPr>
      <w:r w:rsidRPr="00E00F13">
        <w:rPr>
          <w:rFonts w:ascii="Arial" w:eastAsia="Aptos" w:hAnsi="Arial" w:cs="Arial"/>
          <w:sz w:val="24"/>
          <w:szCs w:val="24"/>
        </w:rPr>
        <w:t>El subsidio puede ser concurrente con subsidios de Cajas de Compensación, entidades territoriales y otras fuentes. También puede ser complementario con créditos (incluso sin garantía hipotecaria del Fondo Nacional del Ahorro), aportes de cooperación internacional, trabajo comunitario, etc.</w:t>
      </w:r>
    </w:p>
    <w:p w14:paraId="49299CE9" w14:textId="77777777" w:rsidR="00CB2571" w:rsidRPr="00E00F13" w:rsidRDefault="00CB2571">
      <w:pPr>
        <w:pStyle w:val="Prrafodelista"/>
        <w:numPr>
          <w:ilvl w:val="0"/>
          <w:numId w:val="49"/>
        </w:numPr>
        <w:spacing w:before="240" w:after="240" w:line="360" w:lineRule="auto"/>
        <w:jc w:val="both"/>
        <w:rPr>
          <w:rFonts w:ascii="Arial" w:hAnsi="Arial" w:cs="Arial"/>
          <w:sz w:val="24"/>
          <w:szCs w:val="24"/>
        </w:rPr>
      </w:pPr>
      <w:r w:rsidRPr="00E00F13">
        <w:rPr>
          <w:rFonts w:ascii="Arial" w:eastAsia="Aptos" w:hAnsi="Arial" w:cs="Arial"/>
          <w:sz w:val="24"/>
          <w:szCs w:val="24"/>
        </w:rPr>
        <w:t>Incremento por transporte en zonas de difícil acceso (rural): se puede adicionar entre 1 y 8 SMMLV para cubrir costos logísticos.</w:t>
      </w:r>
    </w:p>
    <w:p w14:paraId="5C75658B" w14:textId="77777777" w:rsidR="00CB2571" w:rsidRPr="00E00F13" w:rsidRDefault="00CB2571">
      <w:pPr>
        <w:pStyle w:val="Prrafodelista"/>
        <w:numPr>
          <w:ilvl w:val="0"/>
          <w:numId w:val="49"/>
        </w:numPr>
        <w:spacing w:before="240" w:after="240" w:line="360" w:lineRule="auto"/>
        <w:jc w:val="both"/>
        <w:rPr>
          <w:rFonts w:ascii="Arial" w:hAnsi="Arial" w:cs="Arial"/>
          <w:sz w:val="24"/>
          <w:szCs w:val="24"/>
        </w:rPr>
      </w:pPr>
      <w:r w:rsidRPr="00E00F13">
        <w:rPr>
          <w:rFonts w:ascii="Arial" w:eastAsia="Aptos" w:hAnsi="Arial" w:cs="Arial"/>
          <w:sz w:val="24"/>
          <w:szCs w:val="24"/>
        </w:rPr>
        <w:t>Incremento por discapacidad (movilidad): hasta 2 SMMLV adicionales para garantizar accesibilidad al interior de la vivienda.</w:t>
      </w:r>
    </w:p>
    <w:p w14:paraId="1EC5699A" w14:textId="77777777" w:rsidR="00CB2571" w:rsidRPr="00E00F13" w:rsidRDefault="00CB2571">
      <w:pPr>
        <w:pStyle w:val="Prrafodelista"/>
        <w:numPr>
          <w:ilvl w:val="0"/>
          <w:numId w:val="49"/>
        </w:numPr>
        <w:spacing w:before="240" w:after="240" w:line="360" w:lineRule="auto"/>
        <w:jc w:val="both"/>
        <w:rPr>
          <w:rFonts w:ascii="Arial" w:hAnsi="Arial" w:cs="Arial"/>
          <w:sz w:val="24"/>
          <w:szCs w:val="24"/>
        </w:rPr>
      </w:pPr>
      <w:r w:rsidRPr="00E00F13">
        <w:rPr>
          <w:rFonts w:ascii="Arial" w:eastAsia="Aptos" w:hAnsi="Arial" w:cs="Arial"/>
          <w:sz w:val="24"/>
          <w:szCs w:val="24"/>
        </w:rPr>
        <w:t>Límite de precio de la vivienda no debe superar el tope de vivienda de interés social (VIS), certificado por la entidad territorial.</w:t>
      </w:r>
    </w:p>
    <w:p w14:paraId="61D2E898" w14:textId="77777777" w:rsidR="0098137B" w:rsidRPr="00E00F13" w:rsidRDefault="0098137B" w:rsidP="0098137B">
      <w:pPr>
        <w:spacing w:after="0" w:line="360" w:lineRule="auto"/>
        <w:ind w:left="360"/>
        <w:jc w:val="both"/>
        <w:rPr>
          <w:rFonts w:ascii="Arial" w:eastAsia="Aptos" w:hAnsi="Arial" w:cs="Arial"/>
          <w:sz w:val="24"/>
          <w:szCs w:val="24"/>
        </w:rPr>
      </w:pPr>
      <w:r w:rsidRPr="00E00F13">
        <w:rPr>
          <w:rStyle w:val="Ttulo4Car"/>
          <w:color w:val="auto"/>
        </w:rPr>
        <w:t>U</w:t>
      </w:r>
      <w:r w:rsidR="00CB2571" w:rsidRPr="00E00F13">
        <w:rPr>
          <w:rStyle w:val="Ttulo4Car"/>
          <w:color w:val="auto"/>
        </w:rPr>
        <w:t>na política de contención, resiliencia climática y fortalecimiento del tejido social</w:t>
      </w:r>
      <w:r w:rsidR="00CB2571" w:rsidRPr="00E00F13">
        <w:rPr>
          <w:rFonts w:ascii="Arial" w:eastAsia="Aptos" w:hAnsi="Arial" w:cs="Arial"/>
          <w:sz w:val="24"/>
          <w:szCs w:val="24"/>
        </w:rPr>
        <w:t xml:space="preserve"> </w:t>
      </w:r>
    </w:p>
    <w:p w14:paraId="16710633" w14:textId="6678E3DD" w:rsidR="00CB2571" w:rsidRPr="00E00F13" w:rsidRDefault="00CB2571" w:rsidP="0098137B">
      <w:pPr>
        <w:spacing w:after="0" w:line="360" w:lineRule="auto"/>
        <w:jc w:val="both"/>
        <w:rPr>
          <w:rFonts w:ascii="Arial" w:eastAsia="Aptos" w:hAnsi="Arial" w:cs="Arial"/>
          <w:sz w:val="24"/>
          <w:szCs w:val="24"/>
        </w:rPr>
      </w:pPr>
      <w:r w:rsidRPr="00E00F13">
        <w:rPr>
          <w:rFonts w:ascii="Arial" w:eastAsia="Aptos" w:hAnsi="Arial" w:cs="Arial"/>
          <w:sz w:val="24"/>
          <w:szCs w:val="24"/>
        </w:rPr>
        <w:lastRenderedPageBreak/>
        <w:t xml:space="preserve">El Decreto 0413 de 2025, en el marco del gobierno del cambio, no es un simple ajuste técnico. Es la expresión normativa de una nueva política de vivienda que prioriza el mejoramiento de lo existente sobre la construcción de lo nuevo, que </w:t>
      </w:r>
      <w:r w:rsidR="0098137B" w:rsidRPr="00E00F13">
        <w:rPr>
          <w:rFonts w:ascii="Arial" w:eastAsia="Aptos" w:hAnsi="Arial" w:cs="Arial"/>
          <w:sz w:val="24"/>
          <w:szCs w:val="24"/>
        </w:rPr>
        <w:t>ubica</w:t>
      </w:r>
      <w:r w:rsidRPr="00E00F13">
        <w:rPr>
          <w:rFonts w:ascii="Arial" w:eastAsia="Aptos" w:hAnsi="Arial" w:cs="Arial"/>
          <w:sz w:val="24"/>
          <w:szCs w:val="24"/>
        </w:rPr>
        <w:t xml:space="preserve"> a las organizaciones sociales y comunitarias como protagonistas, que fortalece los territorios y sus economías populares, y que enfrenta el cambio climático desde la base comunitaria.</w:t>
      </w:r>
    </w:p>
    <w:p w14:paraId="0907906C" w14:textId="77777777" w:rsidR="00CB2571" w:rsidRPr="00E00F13" w:rsidRDefault="00CB2571" w:rsidP="00613288">
      <w:pPr>
        <w:spacing w:before="240" w:after="240" w:line="360" w:lineRule="auto"/>
        <w:jc w:val="both"/>
        <w:rPr>
          <w:rFonts w:ascii="Arial" w:hAnsi="Arial" w:cs="Arial"/>
          <w:sz w:val="24"/>
          <w:szCs w:val="24"/>
        </w:rPr>
      </w:pPr>
      <w:r w:rsidRPr="00E00F13">
        <w:rPr>
          <w:rFonts w:ascii="Arial" w:eastAsia="Aptos" w:hAnsi="Arial" w:cs="Arial"/>
          <w:sz w:val="24"/>
          <w:szCs w:val="24"/>
        </w:rPr>
        <w:t>Esta política es, en esencia, una política de contención y resiliencia climática: busca evitar que las poblaciones más vulnerables sean forzadas a desplazarse por la pérdida de sus viviendas, evitando así que los problemas urbanos se incrementen de manera descomunal. Al atender el déficit cualitativo con enfoque diferencial, territorial y comunitario, el gobierno colombiano sienta las bases para una vivienda digna, sostenible y construida desde abajo.</w:t>
      </w:r>
    </w:p>
    <w:p w14:paraId="023C3410" w14:textId="77777777" w:rsidR="00CB2571" w:rsidRPr="00E00F13" w:rsidRDefault="00CB2571" w:rsidP="00CB2571">
      <w:pPr>
        <w:spacing w:after="0" w:line="276" w:lineRule="auto"/>
        <w:jc w:val="both"/>
      </w:pPr>
      <w:r w:rsidRPr="00E00F13">
        <w:rPr>
          <w:noProof/>
        </w:rPr>
        <w:drawing>
          <wp:inline distT="0" distB="0" distL="0" distR="0" wp14:anchorId="5F47F784" wp14:editId="1F249736">
            <wp:extent cx="4465566" cy="2510103"/>
            <wp:effectExtent l="0" t="0" r="5080" b="5080"/>
            <wp:docPr id="82878173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781730" name="Picture 828781730"/>
                    <pic:cNvPicPr/>
                  </pic:nvPicPr>
                  <pic:blipFill>
                    <a:blip r:embed="rId20">
                      <a:extLst>
                        <a:ext uri="{28A0092B-C50C-407E-A947-70E740481C1C}">
                          <a14:useLocalDpi xmlns:a14="http://schemas.microsoft.com/office/drawing/2010/main"/>
                        </a:ext>
                      </a:extLst>
                    </a:blip>
                    <a:stretch>
                      <a:fillRect/>
                    </a:stretch>
                  </pic:blipFill>
                  <pic:spPr>
                    <a:xfrm>
                      <a:off x="0" y="0"/>
                      <a:ext cx="4487398" cy="2522375"/>
                    </a:xfrm>
                    <a:prstGeom prst="rect">
                      <a:avLst/>
                    </a:prstGeom>
                  </pic:spPr>
                </pic:pic>
              </a:graphicData>
            </a:graphic>
          </wp:inline>
        </w:drawing>
      </w:r>
    </w:p>
    <w:p w14:paraId="1B80136F" w14:textId="72A9C12A" w:rsidR="00CB2571" w:rsidRPr="00E00F13" w:rsidRDefault="0098137B" w:rsidP="00D82AC2">
      <w:pPr>
        <w:spacing w:line="360" w:lineRule="auto"/>
        <w:jc w:val="both"/>
        <w:rPr>
          <w:rFonts w:ascii="Arial" w:hAnsi="Arial" w:cs="Arial"/>
          <w:sz w:val="24"/>
          <w:szCs w:val="24"/>
        </w:rPr>
      </w:pPr>
      <w:r w:rsidRPr="00E00F13">
        <w:rPr>
          <w:rFonts w:ascii="Arial" w:hAnsi="Arial" w:cs="Arial"/>
          <w:sz w:val="24"/>
          <w:szCs w:val="24"/>
        </w:rPr>
        <w:t>Fuente: MVCT. 2026.</w:t>
      </w:r>
    </w:p>
    <w:p w14:paraId="0284B65E" w14:textId="77777777" w:rsidR="00FD44FA" w:rsidRPr="00E00F13" w:rsidRDefault="00FD44FA" w:rsidP="00FD44FA"/>
    <w:p w14:paraId="393E5094" w14:textId="48F7538F" w:rsidR="00E372F2" w:rsidRPr="00E00F13" w:rsidRDefault="00E01C33" w:rsidP="00E01C33">
      <w:pPr>
        <w:pStyle w:val="Ttulo2"/>
        <w:jc w:val="both"/>
        <w:rPr>
          <w:color w:val="auto"/>
        </w:rPr>
      </w:pPr>
      <w:bookmarkStart w:id="93" w:name="_Toc213341853"/>
      <w:bookmarkStart w:id="94" w:name="_Toc234242826"/>
      <w:r w:rsidRPr="00E00F13">
        <w:rPr>
          <w:color w:val="auto"/>
        </w:rPr>
        <w:t>2</w:t>
      </w:r>
      <w:r w:rsidR="00E372F2" w:rsidRPr="00E00F13">
        <w:rPr>
          <w:color w:val="auto"/>
        </w:rPr>
        <w:t>.</w:t>
      </w:r>
      <w:r w:rsidRPr="00E00F13">
        <w:rPr>
          <w:color w:val="auto"/>
        </w:rPr>
        <w:t>5</w:t>
      </w:r>
      <w:r w:rsidR="00E372F2" w:rsidRPr="00E00F13">
        <w:rPr>
          <w:color w:val="auto"/>
        </w:rPr>
        <w:t xml:space="preserve">. </w:t>
      </w:r>
      <w:r w:rsidR="00FD44FA" w:rsidRPr="00E00F13">
        <w:rPr>
          <w:color w:val="auto"/>
        </w:rPr>
        <w:t>A</w:t>
      </w:r>
      <w:r w:rsidR="00E372F2" w:rsidRPr="00E00F13">
        <w:rPr>
          <w:color w:val="auto"/>
        </w:rPr>
        <w:t>gua</w:t>
      </w:r>
      <w:bookmarkEnd w:id="93"/>
      <w:r w:rsidR="00FD44FA" w:rsidRPr="00E00F13">
        <w:rPr>
          <w:color w:val="auto"/>
        </w:rPr>
        <w:t>:</w:t>
      </w:r>
      <w:r w:rsidR="006122F2" w:rsidRPr="00E00F13">
        <w:rPr>
          <w:color w:val="auto"/>
        </w:rPr>
        <w:t xml:space="preserve"> el enfoque de políticas públicas desde lo comunitario y asociativo</w:t>
      </w:r>
      <w:bookmarkEnd w:id="94"/>
    </w:p>
    <w:p w14:paraId="6F7BDB0A" w14:textId="52AA1E47" w:rsidR="00900404" w:rsidRPr="00E00F13" w:rsidRDefault="00900404" w:rsidP="00A830F1">
      <w:pPr>
        <w:spacing w:after="0" w:line="360" w:lineRule="auto"/>
        <w:jc w:val="both"/>
        <w:rPr>
          <w:rFonts w:ascii="Arial" w:hAnsi="Arial" w:cs="Arial"/>
          <w:sz w:val="24"/>
          <w:szCs w:val="24"/>
        </w:rPr>
      </w:pPr>
      <w:r w:rsidRPr="00E00F13">
        <w:rPr>
          <w:rFonts w:ascii="Arial" w:hAnsi="Arial" w:cs="Arial"/>
          <w:sz w:val="24"/>
          <w:szCs w:val="24"/>
        </w:rPr>
        <w:t xml:space="preserve">En </w:t>
      </w:r>
      <w:r w:rsidR="003A01CD" w:rsidRPr="00E00F13">
        <w:rPr>
          <w:rFonts w:ascii="Arial" w:hAnsi="Arial" w:cs="Arial"/>
          <w:sz w:val="24"/>
          <w:szCs w:val="24"/>
        </w:rPr>
        <w:t>agua para el consumo humano y saneamiento básico</w:t>
      </w:r>
      <w:r w:rsidRPr="00E00F13">
        <w:rPr>
          <w:rFonts w:ascii="Arial" w:hAnsi="Arial" w:cs="Arial"/>
          <w:sz w:val="24"/>
          <w:szCs w:val="24"/>
        </w:rPr>
        <w:t xml:space="preserve"> el reto ha sido propender por cambiar la concepción de que la única forma de garantizar el acceso al agua y </w:t>
      </w:r>
      <w:r w:rsidR="009F70FD" w:rsidRPr="00E00F13">
        <w:rPr>
          <w:rFonts w:ascii="Arial" w:hAnsi="Arial" w:cs="Arial"/>
          <w:sz w:val="24"/>
          <w:szCs w:val="24"/>
        </w:rPr>
        <w:t>a</w:t>
      </w:r>
      <w:r w:rsidRPr="00E00F13">
        <w:rPr>
          <w:rFonts w:ascii="Arial" w:hAnsi="Arial" w:cs="Arial"/>
          <w:sz w:val="24"/>
          <w:szCs w:val="24"/>
        </w:rPr>
        <w:t xml:space="preserve">l saneamiento básico </w:t>
      </w:r>
      <w:r w:rsidR="009F70FD" w:rsidRPr="00E00F13">
        <w:rPr>
          <w:rFonts w:ascii="Arial" w:hAnsi="Arial" w:cs="Arial"/>
          <w:sz w:val="24"/>
          <w:szCs w:val="24"/>
        </w:rPr>
        <w:t xml:space="preserve">es </w:t>
      </w:r>
      <w:r w:rsidRPr="00E00F13">
        <w:rPr>
          <w:rFonts w:ascii="Arial" w:hAnsi="Arial" w:cs="Arial"/>
          <w:sz w:val="24"/>
          <w:szCs w:val="24"/>
        </w:rPr>
        <w:t>a través de la prestación convencional</w:t>
      </w:r>
      <w:r w:rsidR="00A830F1" w:rsidRPr="00E00F13">
        <w:rPr>
          <w:rFonts w:ascii="Arial" w:hAnsi="Arial" w:cs="Arial"/>
          <w:sz w:val="24"/>
          <w:szCs w:val="24"/>
        </w:rPr>
        <w:t xml:space="preserve"> q</w:t>
      </w:r>
      <w:r w:rsidRPr="00E00F13">
        <w:rPr>
          <w:rFonts w:ascii="Arial" w:hAnsi="Arial" w:cs="Arial"/>
          <w:sz w:val="24"/>
          <w:szCs w:val="24"/>
        </w:rPr>
        <w:t xml:space="preserve">ue está establecida en la </w:t>
      </w:r>
      <w:r w:rsidR="00A830F1" w:rsidRPr="00E00F13">
        <w:rPr>
          <w:rFonts w:ascii="Arial" w:hAnsi="Arial" w:cs="Arial"/>
          <w:sz w:val="24"/>
          <w:szCs w:val="24"/>
        </w:rPr>
        <w:t>L</w:t>
      </w:r>
      <w:r w:rsidRPr="00E00F13">
        <w:rPr>
          <w:rFonts w:ascii="Arial" w:hAnsi="Arial" w:cs="Arial"/>
          <w:sz w:val="24"/>
          <w:szCs w:val="24"/>
        </w:rPr>
        <w:t>ey 142</w:t>
      </w:r>
      <w:r w:rsidR="00D01D0F" w:rsidRPr="00E00F13">
        <w:rPr>
          <w:rFonts w:ascii="Arial" w:hAnsi="Arial" w:cs="Arial"/>
          <w:sz w:val="24"/>
          <w:szCs w:val="24"/>
        </w:rPr>
        <w:t xml:space="preserve"> de1994</w:t>
      </w:r>
      <w:r w:rsidRPr="00E00F13">
        <w:rPr>
          <w:rFonts w:ascii="Arial" w:hAnsi="Arial" w:cs="Arial"/>
          <w:sz w:val="24"/>
          <w:szCs w:val="24"/>
        </w:rPr>
        <w:t>, es decir,</w:t>
      </w:r>
      <w:r w:rsidR="009F70FD" w:rsidRPr="00E00F13">
        <w:rPr>
          <w:rFonts w:ascii="Arial" w:hAnsi="Arial" w:cs="Arial"/>
          <w:sz w:val="24"/>
          <w:szCs w:val="24"/>
        </w:rPr>
        <w:t xml:space="preserve"> por medio</w:t>
      </w:r>
      <w:r w:rsidRPr="00E00F13">
        <w:rPr>
          <w:rFonts w:ascii="Arial" w:hAnsi="Arial" w:cs="Arial"/>
          <w:sz w:val="24"/>
          <w:szCs w:val="24"/>
        </w:rPr>
        <w:t xml:space="preserve"> de la prestación del servicio </w:t>
      </w:r>
      <w:r w:rsidRPr="00E00F13">
        <w:rPr>
          <w:rFonts w:ascii="Arial" w:hAnsi="Arial" w:cs="Arial"/>
          <w:sz w:val="24"/>
          <w:szCs w:val="24"/>
        </w:rPr>
        <w:lastRenderedPageBreak/>
        <w:t>público de acueducto</w:t>
      </w:r>
      <w:r w:rsidR="009F70FD" w:rsidRPr="00E00F13">
        <w:rPr>
          <w:rFonts w:ascii="Arial" w:hAnsi="Arial" w:cs="Arial"/>
          <w:sz w:val="24"/>
          <w:szCs w:val="24"/>
        </w:rPr>
        <w:t xml:space="preserve">. Comenzar a </w:t>
      </w:r>
      <w:r w:rsidRPr="00E00F13">
        <w:rPr>
          <w:rFonts w:ascii="Arial" w:hAnsi="Arial" w:cs="Arial"/>
          <w:sz w:val="24"/>
          <w:szCs w:val="24"/>
        </w:rPr>
        <w:t xml:space="preserve">romper ese esquema </w:t>
      </w:r>
      <w:r w:rsidR="009F70FD" w:rsidRPr="00E00F13">
        <w:rPr>
          <w:rFonts w:ascii="Arial" w:hAnsi="Arial" w:cs="Arial"/>
          <w:sz w:val="24"/>
          <w:szCs w:val="24"/>
        </w:rPr>
        <w:t xml:space="preserve">significa explicar </w:t>
      </w:r>
      <w:r w:rsidRPr="00E00F13">
        <w:rPr>
          <w:rFonts w:ascii="Arial" w:hAnsi="Arial" w:cs="Arial"/>
          <w:sz w:val="24"/>
          <w:szCs w:val="24"/>
        </w:rPr>
        <w:t>que existen otr</w:t>
      </w:r>
      <w:r w:rsidR="00A830F1" w:rsidRPr="00E00F13">
        <w:rPr>
          <w:rFonts w:ascii="Arial" w:hAnsi="Arial" w:cs="Arial"/>
          <w:sz w:val="24"/>
          <w:szCs w:val="24"/>
        </w:rPr>
        <w:t>as formas de prestación.</w:t>
      </w:r>
    </w:p>
    <w:p w14:paraId="110F2EB7" w14:textId="77777777" w:rsidR="00A830F1" w:rsidRPr="00E00F13" w:rsidRDefault="00A830F1" w:rsidP="00A830F1">
      <w:pPr>
        <w:spacing w:after="0" w:line="360" w:lineRule="auto"/>
        <w:jc w:val="both"/>
        <w:rPr>
          <w:rFonts w:ascii="Arial" w:hAnsi="Arial" w:cs="Arial"/>
          <w:sz w:val="24"/>
          <w:szCs w:val="24"/>
        </w:rPr>
      </w:pPr>
    </w:p>
    <w:p w14:paraId="5A72CB80" w14:textId="75FC6900" w:rsidR="00A830F1" w:rsidRPr="00E00F13" w:rsidRDefault="00A830F1" w:rsidP="00A830F1">
      <w:pPr>
        <w:spacing w:after="0" w:line="360" w:lineRule="auto"/>
        <w:jc w:val="both"/>
        <w:rPr>
          <w:rFonts w:ascii="Arial" w:eastAsia="Segoe UI" w:hAnsi="Arial" w:cs="Arial"/>
          <w:sz w:val="24"/>
          <w:szCs w:val="24"/>
        </w:rPr>
      </w:pPr>
      <w:r w:rsidRPr="00E00F13">
        <w:rPr>
          <w:rFonts w:ascii="Arial" w:hAnsi="Arial" w:cs="Arial"/>
          <w:sz w:val="24"/>
          <w:szCs w:val="24"/>
        </w:rPr>
        <w:t xml:space="preserve">Al igual que pasa con la vivienda, en el agua también </w:t>
      </w:r>
      <w:r w:rsidR="00D01D0F" w:rsidRPr="00E00F13">
        <w:rPr>
          <w:rFonts w:ascii="Arial" w:hAnsi="Arial" w:cs="Arial"/>
          <w:sz w:val="24"/>
          <w:szCs w:val="24"/>
        </w:rPr>
        <w:t>fue</w:t>
      </w:r>
      <w:r w:rsidRPr="00E00F13">
        <w:rPr>
          <w:rFonts w:ascii="Arial" w:hAnsi="Arial" w:cs="Arial"/>
          <w:sz w:val="24"/>
          <w:szCs w:val="24"/>
        </w:rPr>
        <w:t xml:space="preserve"> necesario ajustar, de manera estructural y armónica, el marco normativo y regulatorio. Ese nuevo marco el MVCT lo ha venido trabajando desde 2022 </w:t>
      </w:r>
      <w:r w:rsidRPr="00E00F13">
        <w:rPr>
          <w:rFonts w:ascii="Arial" w:eastAsia="Segoe UI" w:hAnsi="Arial" w:cs="Arial"/>
          <w:sz w:val="24"/>
          <w:szCs w:val="24"/>
        </w:rPr>
        <w:t xml:space="preserve">desde los decretos que se han venido expidiendo, impulsando para que se reconozca la gestión comunitaria, el enfoque diferencial, </w:t>
      </w:r>
      <w:r w:rsidR="00D01D0F" w:rsidRPr="00E00F13">
        <w:rPr>
          <w:rFonts w:ascii="Arial" w:eastAsia="Segoe UI" w:hAnsi="Arial" w:cs="Arial"/>
          <w:sz w:val="24"/>
          <w:szCs w:val="24"/>
        </w:rPr>
        <w:t xml:space="preserve">los </w:t>
      </w:r>
      <w:r w:rsidRPr="00E00F13">
        <w:rPr>
          <w:rFonts w:ascii="Arial" w:eastAsia="Segoe UI" w:hAnsi="Arial" w:cs="Arial"/>
          <w:sz w:val="24"/>
          <w:szCs w:val="24"/>
        </w:rPr>
        <w:t>sistemas de aprovisionamiento que no están vinculados a una tecnología, sino a una forma de organización, entre otros cambios de forma y fondo.</w:t>
      </w:r>
    </w:p>
    <w:p w14:paraId="5039C017" w14:textId="77777777" w:rsidR="00752E1A" w:rsidRPr="00E00F13" w:rsidRDefault="00752E1A" w:rsidP="00752E1A">
      <w:pPr>
        <w:spacing w:after="0" w:line="360" w:lineRule="auto"/>
        <w:jc w:val="both"/>
        <w:rPr>
          <w:rFonts w:ascii="Arial" w:hAnsi="Arial" w:cs="Arial"/>
          <w:sz w:val="24"/>
          <w:szCs w:val="24"/>
        </w:rPr>
      </w:pPr>
    </w:p>
    <w:p w14:paraId="7C810860" w14:textId="5C3C73F6" w:rsidR="00752E1A" w:rsidRPr="00E00F13" w:rsidRDefault="00F363D5" w:rsidP="003075E5">
      <w:pPr>
        <w:pStyle w:val="Ttulo3"/>
        <w:rPr>
          <w:color w:val="auto"/>
        </w:rPr>
      </w:pPr>
      <w:bookmarkStart w:id="95" w:name="_Toc234242827"/>
      <w:r w:rsidRPr="00E00F13">
        <w:rPr>
          <w:color w:val="auto"/>
        </w:rPr>
        <w:t xml:space="preserve">2.5.1. </w:t>
      </w:r>
      <w:r w:rsidR="00752E1A" w:rsidRPr="00E00F13">
        <w:rPr>
          <w:color w:val="auto"/>
        </w:rPr>
        <w:t>El Decreto 0960 de 2025: la gestión comunitaria del agua</w:t>
      </w:r>
      <w:bookmarkEnd w:id="95"/>
    </w:p>
    <w:p w14:paraId="77433086" w14:textId="5FF60740" w:rsidR="00752E1A" w:rsidRPr="00E00F13" w:rsidRDefault="00752E1A" w:rsidP="00351BD7">
      <w:pPr>
        <w:spacing w:after="0" w:line="360" w:lineRule="auto"/>
        <w:jc w:val="both"/>
        <w:rPr>
          <w:rFonts w:ascii="Arial" w:hAnsi="Arial" w:cs="Arial"/>
          <w:sz w:val="24"/>
          <w:szCs w:val="24"/>
        </w:rPr>
      </w:pPr>
      <w:r w:rsidRPr="00E00F13">
        <w:rPr>
          <w:rFonts w:ascii="Arial" w:hAnsi="Arial" w:cs="Arial"/>
          <w:sz w:val="24"/>
          <w:szCs w:val="24"/>
        </w:rPr>
        <w:t>La sombrilla principal del marco normativo para desarrollar la nueva propuesta es el Decreto 0960 de 2025: Política de gestión comunitaria del agua.</w:t>
      </w:r>
    </w:p>
    <w:p w14:paraId="6D0B2778" w14:textId="77777777" w:rsidR="00752E1A" w:rsidRDefault="00752E1A" w:rsidP="00752E1A">
      <w:pPr>
        <w:spacing w:after="0" w:line="360" w:lineRule="auto"/>
        <w:jc w:val="both"/>
        <w:rPr>
          <w:rFonts w:ascii="Arial" w:hAnsi="Arial" w:cs="Arial"/>
          <w:sz w:val="24"/>
          <w:szCs w:val="24"/>
        </w:rPr>
      </w:pPr>
    </w:p>
    <w:p w14:paraId="6B044692" w14:textId="423AE2D6" w:rsidR="006A3BB4" w:rsidRPr="00E00F13" w:rsidRDefault="006A3BB4" w:rsidP="00752E1A">
      <w:pPr>
        <w:spacing w:after="0" w:line="360" w:lineRule="auto"/>
        <w:jc w:val="both"/>
        <w:rPr>
          <w:rFonts w:ascii="Arial" w:hAnsi="Arial" w:cs="Arial"/>
          <w:sz w:val="24"/>
          <w:szCs w:val="24"/>
        </w:rPr>
      </w:pPr>
      <w:r w:rsidRPr="006A3BB4">
        <w:rPr>
          <w:rFonts w:ascii="Arial" w:hAnsi="Arial" w:cs="Arial"/>
          <w:noProof/>
          <w:sz w:val="24"/>
          <w:szCs w:val="24"/>
        </w:rPr>
        <w:drawing>
          <wp:inline distT="0" distB="0" distL="0" distR="0" wp14:anchorId="681CF937" wp14:editId="25A5E8C9">
            <wp:extent cx="5612130" cy="3156585"/>
            <wp:effectExtent l="0" t="0" r="1270" b="5715"/>
            <wp:docPr id="1756466015" name="Imagen 2">
              <a:extLst xmlns:a="http://schemas.openxmlformats.org/drawingml/2006/main">
                <a:ext uri="{FF2B5EF4-FFF2-40B4-BE49-F238E27FC236}">
                  <a16:creationId xmlns:a16="http://schemas.microsoft.com/office/drawing/2014/main" id="{C4725568-FC17-40B0-B064-B46E4A2BC3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C4725568-FC17-40B0-B064-B46E4A2BC345}"/>
                        </a:ext>
                      </a:extLst>
                    </pic:cNvPr>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612130" cy="3156585"/>
                    </a:xfrm>
                    <a:prstGeom prst="rect">
                      <a:avLst/>
                    </a:prstGeom>
                  </pic:spPr>
                </pic:pic>
              </a:graphicData>
            </a:graphic>
          </wp:inline>
        </w:drawing>
      </w:r>
    </w:p>
    <w:p w14:paraId="30E0591D" w14:textId="5AD9E182" w:rsidR="00AF4347" w:rsidRPr="00E00F13" w:rsidRDefault="00752E1A" w:rsidP="00752E1A">
      <w:pPr>
        <w:spacing w:after="0" w:line="360" w:lineRule="auto"/>
        <w:jc w:val="both"/>
        <w:rPr>
          <w:rFonts w:ascii="Arial" w:hAnsi="Arial" w:cs="Arial"/>
          <w:sz w:val="24"/>
          <w:szCs w:val="24"/>
        </w:rPr>
      </w:pPr>
      <w:r w:rsidRPr="00E00F13">
        <w:rPr>
          <w:rFonts w:ascii="Arial" w:hAnsi="Arial" w:cs="Arial"/>
          <w:sz w:val="24"/>
          <w:szCs w:val="24"/>
        </w:rPr>
        <w:t xml:space="preserve">Aunque la normatividad estructural comienza con la Constitución, en su artículo 365, en la Ley 142 de 1994, en la Ley 1176 de 2007 y en el Decreto 1077 de 2015 (compilatorio), no es sino hasta que el MVCT expidió el Decreto 0965 que comenzó la implementación del nuevo enfoque cuyos </w:t>
      </w:r>
      <w:r w:rsidR="00AF4347" w:rsidRPr="00E00F13">
        <w:rPr>
          <w:rFonts w:ascii="Arial" w:hAnsi="Arial" w:cs="Arial"/>
        </w:rPr>
        <w:t>alcances logrados en estos últimos tres años son relevantes para comprender el tránsito conceptual:</w:t>
      </w:r>
    </w:p>
    <w:p w14:paraId="22898810" w14:textId="65859E5C" w:rsidR="1D068790" w:rsidRPr="00E00F13" w:rsidRDefault="1D068790" w:rsidP="1D068790">
      <w:pPr>
        <w:spacing w:after="0" w:line="360" w:lineRule="auto"/>
        <w:jc w:val="both"/>
        <w:rPr>
          <w:rFonts w:ascii="Arial" w:hAnsi="Arial" w:cs="Arial"/>
        </w:rPr>
      </w:pPr>
    </w:p>
    <w:p w14:paraId="29C77C23" w14:textId="2E82054A" w:rsidR="00AF4347" w:rsidRPr="00E00F13" w:rsidRDefault="00AF4347" w:rsidP="005E33C6">
      <w:pPr>
        <w:numPr>
          <w:ilvl w:val="0"/>
          <w:numId w:val="38"/>
        </w:numPr>
        <w:spacing w:after="0" w:line="360" w:lineRule="auto"/>
        <w:jc w:val="both"/>
        <w:rPr>
          <w:rFonts w:ascii="Arial" w:hAnsi="Arial" w:cs="Arial"/>
          <w:sz w:val="24"/>
          <w:szCs w:val="24"/>
        </w:rPr>
      </w:pPr>
      <w:r w:rsidRPr="00E00F13">
        <w:rPr>
          <w:rFonts w:ascii="Arial" w:hAnsi="Arial" w:cs="Arial"/>
          <w:sz w:val="24"/>
          <w:szCs w:val="24"/>
        </w:rPr>
        <w:t xml:space="preserve">Se </w:t>
      </w:r>
      <w:r w:rsidR="256C1D01" w:rsidRPr="00E00F13">
        <w:rPr>
          <w:rFonts w:ascii="Arial" w:hAnsi="Arial" w:cs="Arial"/>
          <w:sz w:val="24"/>
          <w:szCs w:val="24"/>
        </w:rPr>
        <w:t>inició</w:t>
      </w:r>
      <w:r w:rsidRPr="00E00F13">
        <w:rPr>
          <w:rFonts w:ascii="Arial" w:hAnsi="Arial" w:cs="Arial"/>
          <w:sz w:val="24"/>
          <w:szCs w:val="24"/>
        </w:rPr>
        <w:t xml:space="preserve"> la implementación del derecho humano al agua para el consumo humano mediante el mínimo vital, con un enfoque que prioriza a comunidades rurales y vulnerables.</w:t>
      </w:r>
    </w:p>
    <w:p w14:paraId="64F212F2" w14:textId="77777777" w:rsidR="00AF4347" w:rsidRPr="00E00F13" w:rsidRDefault="00AF4347" w:rsidP="005E33C6">
      <w:pPr>
        <w:numPr>
          <w:ilvl w:val="0"/>
          <w:numId w:val="38"/>
        </w:numPr>
        <w:spacing w:after="0" w:line="360" w:lineRule="auto"/>
        <w:jc w:val="both"/>
        <w:rPr>
          <w:rFonts w:ascii="Arial" w:hAnsi="Arial" w:cs="Arial"/>
          <w:sz w:val="24"/>
          <w:szCs w:val="24"/>
        </w:rPr>
      </w:pPr>
      <w:r w:rsidRPr="00E00F13">
        <w:rPr>
          <w:rFonts w:ascii="Arial" w:hAnsi="Arial" w:cs="Arial"/>
          <w:sz w:val="24"/>
          <w:szCs w:val="24"/>
        </w:rPr>
        <w:t>Se obtuvo el reconocimiento institucional de los gestores comunitarios del agua, ampliando la legitimidad de formas históricas de autogestión.</w:t>
      </w:r>
    </w:p>
    <w:p w14:paraId="35CDABA6" w14:textId="77777777" w:rsidR="00AF4347" w:rsidRPr="00E00F13" w:rsidRDefault="00AF4347" w:rsidP="005E33C6">
      <w:pPr>
        <w:numPr>
          <w:ilvl w:val="0"/>
          <w:numId w:val="38"/>
        </w:numPr>
        <w:spacing w:after="0" w:line="360" w:lineRule="auto"/>
        <w:jc w:val="both"/>
        <w:rPr>
          <w:rFonts w:ascii="Arial" w:hAnsi="Arial" w:cs="Arial"/>
          <w:sz w:val="24"/>
          <w:szCs w:val="24"/>
        </w:rPr>
      </w:pPr>
      <w:r w:rsidRPr="00E00F13">
        <w:rPr>
          <w:rFonts w:ascii="Arial" w:hAnsi="Arial" w:cs="Arial"/>
          <w:sz w:val="24"/>
          <w:szCs w:val="24"/>
        </w:rPr>
        <w:t>Se consolidó el reconocimiento de los recicladores de oficio, en consonancia con un modelo territorial que valora la dignidad humana y el rol social de la economía circular.</w:t>
      </w:r>
    </w:p>
    <w:p w14:paraId="2E3EE210" w14:textId="77777777" w:rsidR="00AF4347" w:rsidRPr="00E00F13" w:rsidRDefault="00AF4347" w:rsidP="005E33C6">
      <w:pPr>
        <w:numPr>
          <w:ilvl w:val="0"/>
          <w:numId w:val="38"/>
        </w:numPr>
        <w:spacing w:after="0" w:line="360" w:lineRule="auto"/>
        <w:jc w:val="both"/>
        <w:rPr>
          <w:rFonts w:ascii="Arial" w:hAnsi="Arial" w:cs="Arial"/>
          <w:sz w:val="24"/>
          <w:szCs w:val="24"/>
        </w:rPr>
      </w:pPr>
      <w:r w:rsidRPr="00E00F13">
        <w:rPr>
          <w:rFonts w:ascii="Arial" w:hAnsi="Arial" w:cs="Arial"/>
          <w:sz w:val="24"/>
          <w:szCs w:val="24"/>
        </w:rPr>
        <w:t>Avanza la reglamentación derivada del proyecto de ley de competencias, orientada a transformar los criterios de distribución y priorizar a quienes históricamente han quedado fuera del alcance del Estado.</w:t>
      </w:r>
    </w:p>
    <w:p w14:paraId="38307AEC" w14:textId="77777777" w:rsidR="00AF4347" w:rsidRPr="00E00F13" w:rsidRDefault="00AF4347" w:rsidP="00AF4347">
      <w:pPr>
        <w:spacing w:after="0" w:line="360" w:lineRule="auto"/>
        <w:jc w:val="both"/>
        <w:rPr>
          <w:rFonts w:ascii="Arial" w:hAnsi="Arial" w:cs="Arial"/>
          <w:sz w:val="24"/>
          <w:szCs w:val="24"/>
        </w:rPr>
      </w:pPr>
    </w:p>
    <w:p w14:paraId="3D7342B9" w14:textId="4571C21C" w:rsidR="00AF4347" w:rsidRPr="00E00F13" w:rsidRDefault="00AF4347" w:rsidP="00AF4347">
      <w:pPr>
        <w:spacing w:after="0" w:line="360" w:lineRule="auto"/>
        <w:jc w:val="both"/>
        <w:rPr>
          <w:rFonts w:ascii="Arial" w:hAnsi="Arial" w:cs="Arial"/>
          <w:sz w:val="24"/>
          <w:szCs w:val="24"/>
        </w:rPr>
      </w:pPr>
      <w:r w:rsidRPr="00E00F13">
        <w:rPr>
          <w:rFonts w:ascii="Arial" w:hAnsi="Arial" w:cs="Arial"/>
          <w:sz w:val="24"/>
          <w:szCs w:val="24"/>
        </w:rPr>
        <w:t>Estos alcances no solo tienen una dimensión normativa: representan un giro en la manera de entender el servicio público, el territorio y las relaciones entre Estado y comunidades.</w:t>
      </w:r>
    </w:p>
    <w:p w14:paraId="5DFE73BF" w14:textId="77777777" w:rsidR="00752E1A" w:rsidRPr="00E00F13" w:rsidRDefault="00752E1A" w:rsidP="00A830F1">
      <w:pPr>
        <w:spacing w:after="0" w:line="360" w:lineRule="auto"/>
        <w:jc w:val="both"/>
        <w:rPr>
          <w:rFonts w:ascii="Arial" w:eastAsia="Segoe UI" w:hAnsi="Arial" w:cs="Arial"/>
          <w:sz w:val="24"/>
          <w:szCs w:val="24"/>
        </w:rPr>
      </w:pPr>
    </w:p>
    <w:p w14:paraId="53CED4D9" w14:textId="42B87645" w:rsidR="00A830F1" w:rsidRPr="00E00F13" w:rsidRDefault="00037202" w:rsidP="00A830F1">
      <w:pPr>
        <w:spacing w:after="0" w:line="360" w:lineRule="auto"/>
        <w:jc w:val="both"/>
        <w:rPr>
          <w:rFonts w:ascii="Arial" w:hAnsi="Arial" w:cs="Arial"/>
          <w:sz w:val="24"/>
          <w:szCs w:val="24"/>
        </w:rPr>
      </w:pPr>
      <w:r w:rsidRPr="00E00F13">
        <w:rPr>
          <w:rFonts w:ascii="Arial" w:eastAsia="Segoe UI" w:hAnsi="Arial" w:cs="Arial"/>
          <w:sz w:val="24"/>
          <w:szCs w:val="24"/>
        </w:rPr>
        <w:t>En el contexto mostrar cómo se ha desarrollado en la práctica el cambio de enfoque hacia la política Nuestro Hábitat Biodiverso y c</w:t>
      </w:r>
      <w:r w:rsidR="003D01AC" w:rsidRPr="00E00F13">
        <w:rPr>
          <w:rFonts w:ascii="Arial" w:eastAsia="Segoe UI" w:hAnsi="Arial" w:cs="Arial"/>
          <w:sz w:val="24"/>
          <w:szCs w:val="24"/>
        </w:rPr>
        <w:t>on el propósito de relacionar algun</w:t>
      </w:r>
      <w:r w:rsidR="00FF5D49" w:rsidRPr="00E00F13">
        <w:rPr>
          <w:rFonts w:ascii="Arial" w:eastAsia="Segoe UI" w:hAnsi="Arial" w:cs="Arial"/>
          <w:sz w:val="24"/>
          <w:szCs w:val="24"/>
        </w:rPr>
        <w:t>os de estos alcances obtenidos y</w:t>
      </w:r>
      <w:r w:rsidR="003D01AC" w:rsidRPr="00E00F13">
        <w:rPr>
          <w:rFonts w:ascii="Arial" w:eastAsia="Segoe UI" w:hAnsi="Arial" w:cs="Arial"/>
          <w:sz w:val="24"/>
          <w:szCs w:val="24"/>
        </w:rPr>
        <w:t xml:space="preserve"> de las estrategias previstas desde el Viceministerio de Agua y Saneamiento Básico (VASB), se presentan algunas </w:t>
      </w:r>
      <w:r w:rsidRPr="00E00F13">
        <w:rPr>
          <w:rFonts w:ascii="Arial" w:eastAsia="Segoe UI" w:hAnsi="Arial" w:cs="Arial"/>
          <w:sz w:val="24"/>
          <w:szCs w:val="24"/>
        </w:rPr>
        <w:t xml:space="preserve">de las </w:t>
      </w:r>
      <w:r w:rsidR="003D01AC" w:rsidRPr="00E00F13">
        <w:rPr>
          <w:rFonts w:ascii="Arial" w:eastAsia="Segoe UI" w:hAnsi="Arial" w:cs="Arial"/>
          <w:sz w:val="24"/>
          <w:szCs w:val="24"/>
        </w:rPr>
        <w:t>experiencias territoriales</w:t>
      </w:r>
      <w:r w:rsidRPr="00E00F13">
        <w:rPr>
          <w:rFonts w:ascii="Arial" w:eastAsia="Segoe UI" w:hAnsi="Arial" w:cs="Arial"/>
          <w:sz w:val="24"/>
          <w:szCs w:val="24"/>
        </w:rPr>
        <w:t>:</w:t>
      </w:r>
    </w:p>
    <w:p w14:paraId="4E7F747C" w14:textId="402155F1" w:rsidR="00E372F2" w:rsidRPr="00E00F13" w:rsidRDefault="00E372F2" w:rsidP="00E372F2">
      <w:pPr>
        <w:spacing w:after="0" w:line="360" w:lineRule="auto"/>
        <w:jc w:val="both"/>
        <w:rPr>
          <w:rFonts w:ascii="Arial" w:hAnsi="Arial" w:cs="Arial"/>
          <w:sz w:val="24"/>
          <w:szCs w:val="24"/>
        </w:rPr>
      </w:pPr>
      <w:bookmarkStart w:id="96" w:name="_Hlk214099722"/>
      <w:r w:rsidRPr="00E00F13">
        <w:rPr>
          <w:rFonts w:ascii="Arial" w:hAnsi="Arial" w:cs="Arial"/>
          <w:sz w:val="24"/>
          <w:szCs w:val="24"/>
        </w:rPr>
        <w:tab/>
      </w:r>
    </w:p>
    <w:p w14:paraId="0AA4AAF1" w14:textId="23767EEF" w:rsidR="00E372F2" w:rsidRPr="00E00F13" w:rsidRDefault="00C7687E" w:rsidP="008E5A17">
      <w:pPr>
        <w:pStyle w:val="Ttulo3"/>
        <w:rPr>
          <w:rFonts w:ascii="Arial" w:hAnsi="Arial" w:cs="Arial"/>
          <w:color w:val="auto"/>
        </w:rPr>
      </w:pPr>
      <w:bookmarkStart w:id="97" w:name="_Toc213341856"/>
      <w:bookmarkStart w:id="98" w:name="_Toc234242828"/>
      <w:r w:rsidRPr="00E00F13">
        <w:rPr>
          <w:color w:val="auto"/>
        </w:rPr>
        <w:t>2.5.</w:t>
      </w:r>
      <w:r w:rsidR="007713EF" w:rsidRPr="00E00F13">
        <w:rPr>
          <w:color w:val="auto"/>
        </w:rPr>
        <w:t>2</w:t>
      </w:r>
      <w:r w:rsidR="00E372F2" w:rsidRPr="00E00F13">
        <w:rPr>
          <w:color w:val="auto"/>
        </w:rPr>
        <w:t xml:space="preserve">. </w:t>
      </w:r>
      <w:r w:rsidR="00500EEF" w:rsidRPr="00E00F13">
        <w:rPr>
          <w:color w:val="auto"/>
        </w:rPr>
        <w:t xml:space="preserve">Ruta </w:t>
      </w:r>
      <w:proofErr w:type="spellStart"/>
      <w:r w:rsidR="00E372F2" w:rsidRPr="00E00F13">
        <w:rPr>
          <w:color w:val="auto"/>
        </w:rPr>
        <w:t>Comuni</w:t>
      </w:r>
      <w:r w:rsidR="007C4257" w:rsidRPr="00E00F13">
        <w:rPr>
          <w:color w:val="auto"/>
        </w:rPr>
        <w:t>A</w:t>
      </w:r>
      <w:r w:rsidR="00E372F2" w:rsidRPr="00E00F13">
        <w:rPr>
          <w:color w:val="auto"/>
        </w:rPr>
        <w:t>gua</w:t>
      </w:r>
      <w:bookmarkEnd w:id="97"/>
      <w:bookmarkEnd w:id="98"/>
      <w:proofErr w:type="spellEnd"/>
      <w:r w:rsidR="00E372F2" w:rsidRPr="00E00F13">
        <w:rPr>
          <w:rFonts w:ascii="Arial" w:hAnsi="Arial" w:cs="Arial"/>
          <w:color w:val="auto"/>
        </w:rPr>
        <w:t xml:space="preserve"> </w:t>
      </w:r>
    </w:p>
    <w:p w14:paraId="7F66F9B2" w14:textId="5AB8C0A9" w:rsidR="00D80194" w:rsidRPr="00E00F13" w:rsidRDefault="00500EEF" w:rsidP="00500EEF">
      <w:pPr>
        <w:spacing w:after="0" w:line="360" w:lineRule="auto"/>
        <w:jc w:val="both"/>
        <w:rPr>
          <w:rFonts w:ascii="Arial" w:hAnsi="Arial" w:cs="Arial"/>
          <w:sz w:val="24"/>
          <w:szCs w:val="24"/>
        </w:rPr>
      </w:pPr>
      <w:r w:rsidRPr="00E00F13">
        <w:rPr>
          <w:rFonts w:ascii="Arial" w:hAnsi="Arial" w:cs="Arial"/>
          <w:sz w:val="24"/>
          <w:szCs w:val="24"/>
        </w:rPr>
        <w:t xml:space="preserve">La Ruta </w:t>
      </w:r>
      <w:proofErr w:type="spellStart"/>
      <w:r w:rsidRPr="00E00F13">
        <w:rPr>
          <w:rFonts w:ascii="Arial" w:hAnsi="Arial" w:cs="Arial"/>
          <w:sz w:val="24"/>
          <w:szCs w:val="24"/>
        </w:rPr>
        <w:t>Comuni</w:t>
      </w:r>
      <w:r w:rsidR="007C4257" w:rsidRPr="00E00F13">
        <w:rPr>
          <w:rFonts w:ascii="Arial" w:hAnsi="Arial" w:cs="Arial"/>
          <w:sz w:val="24"/>
          <w:szCs w:val="24"/>
        </w:rPr>
        <w:t>A</w:t>
      </w:r>
      <w:r w:rsidRPr="00E00F13">
        <w:rPr>
          <w:rFonts w:ascii="Arial" w:hAnsi="Arial" w:cs="Arial"/>
          <w:sz w:val="24"/>
          <w:szCs w:val="24"/>
        </w:rPr>
        <w:t>gua</w:t>
      </w:r>
      <w:proofErr w:type="spellEnd"/>
      <w:r w:rsidRPr="00E00F13">
        <w:rPr>
          <w:rFonts w:ascii="Arial" w:hAnsi="Arial" w:cs="Arial"/>
          <w:sz w:val="24"/>
          <w:szCs w:val="24"/>
        </w:rPr>
        <w:t xml:space="preserve"> es una estrategia del Viceministerio de Agua y Saneamiento Básico orientada</w:t>
      </w:r>
      <w:r w:rsidR="00BC418D" w:rsidRPr="00E00F13">
        <w:rPr>
          <w:rFonts w:ascii="Arial" w:hAnsi="Arial" w:cs="Arial"/>
          <w:sz w:val="24"/>
          <w:szCs w:val="24"/>
        </w:rPr>
        <w:t xml:space="preserve"> a</w:t>
      </w:r>
      <w:r w:rsidRPr="00E00F13">
        <w:rPr>
          <w:rFonts w:ascii="Arial" w:hAnsi="Arial" w:cs="Arial"/>
          <w:sz w:val="24"/>
          <w:szCs w:val="24"/>
        </w:rPr>
        <w:t xml:space="preserve"> apoyar técnica y económicamente a las organizaciones comunitarias que tienen funciones relacionadas con la administración de servicios de agua y saneamiento básico. </w:t>
      </w:r>
      <w:r w:rsidR="00BC418D" w:rsidRPr="00E00F13">
        <w:rPr>
          <w:rFonts w:ascii="Arial" w:hAnsi="Arial" w:cs="Arial"/>
          <w:sz w:val="24"/>
          <w:szCs w:val="24"/>
        </w:rPr>
        <w:t xml:space="preserve">Por medio </w:t>
      </w:r>
      <w:r w:rsidRPr="00E00F13">
        <w:rPr>
          <w:rFonts w:ascii="Arial" w:hAnsi="Arial" w:cs="Arial"/>
          <w:sz w:val="24"/>
          <w:szCs w:val="24"/>
        </w:rPr>
        <w:t xml:space="preserve">de acciones como el suministro de material de formación técnica y </w:t>
      </w:r>
      <w:r w:rsidR="00BC418D" w:rsidRPr="00E00F13">
        <w:rPr>
          <w:rFonts w:ascii="Arial" w:hAnsi="Arial" w:cs="Arial"/>
          <w:sz w:val="24"/>
          <w:szCs w:val="24"/>
        </w:rPr>
        <w:t>el</w:t>
      </w:r>
      <w:r w:rsidRPr="00E00F13">
        <w:rPr>
          <w:rFonts w:ascii="Arial" w:hAnsi="Arial" w:cs="Arial"/>
          <w:sz w:val="24"/>
          <w:szCs w:val="24"/>
        </w:rPr>
        <w:t xml:space="preserve"> subsidio comunitario, </w:t>
      </w:r>
      <w:r w:rsidR="00BC418D" w:rsidRPr="00E00F13">
        <w:rPr>
          <w:rFonts w:ascii="Arial" w:hAnsi="Arial" w:cs="Arial"/>
          <w:sz w:val="24"/>
          <w:szCs w:val="24"/>
        </w:rPr>
        <w:t xml:space="preserve">esta estrategia busca </w:t>
      </w:r>
      <w:r w:rsidRPr="00E00F13">
        <w:rPr>
          <w:rFonts w:ascii="Arial" w:hAnsi="Arial" w:cs="Arial"/>
          <w:sz w:val="24"/>
          <w:szCs w:val="24"/>
        </w:rPr>
        <w:t xml:space="preserve">fortalecer el ejercicio de </w:t>
      </w:r>
      <w:r w:rsidR="00BC418D" w:rsidRPr="00E00F13">
        <w:rPr>
          <w:rFonts w:ascii="Arial" w:hAnsi="Arial" w:cs="Arial"/>
          <w:sz w:val="24"/>
          <w:szCs w:val="24"/>
        </w:rPr>
        <w:t>las</w:t>
      </w:r>
      <w:r w:rsidRPr="00E00F13">
        <w:rPr>
          <w:rFonts w:ascii="Arial" w:hAnsi="Arial" w:cs="Arial"/>
          <w:sz w:val="24"/>
          <w:szCs w:val="24"/>
        </w:rPr>
        <w:t xml:space="preserve"> organizaciones. Se enmarca en la política pública de </w:t>
      </w:r>
      <w:r w:rsidRPr="00E00F13">
        <w:rPr>
          <w:rFonts w:ascii="Arial" w:hAnsi="Arial" w:cs="Arial"/>
          <w:sz w:val="24"/>
          <w:szCs w:val="24"/>
        </w:rPr>
        <w:lastRenderedPageBreak/>
        <w:t xml:space="preserve">gestión comunitaria del agua y el saneamiento básico, establecida en el Artículo 274 del Plan Nacional de Desarrollo </w:t>
      </w:r>
    </w:p>
    <w:p w14:paraId="30EAD21A" w14:textId="17FC7B61" w:rsidR="00D80194" w:rsidRPr="00E00F13" w:rsidRDefault="00D80194" w:rsidP="00500EEF">
      <w:pPr>
        <w:spacing w:after="0" w:line="360" w:lineRule="auto"/>
        <w:jc w:val="both"/>
        <w:rPr>
          <w:rFonts w:ascii="Arial" w:hAnsi="Arial" w:cs="Arial"/>
          <w:sz w:val="24"/>
          <w:szCs w:val="24"/>
        </w:rPr>
      </w:pPr>
    </w:p>
    <w:p w14:paraId="4C15F800" w14:textId="5749C3AE" w:rsidR="00D80194" w:rsidRPr="00E00F13" w:rsidRDefault="00D80194" w:rsidP="00500EEF">
      <w:pPr>
        <w:spacing w:after="0" w:line="360" w:lineRule="auto"/>
        <w:jc w:val="both"/>
        <w:rPr>
          <w:rFonts w:ascii="Arial" w:hAnsi="Arial" w:cs="Arial"/>
          <w:sz w:val="24"/>
          <w:szCs w:val="24"/>
        </w:rPr>
      </w:pPr>
      <w:r w:rsidRPr="00E00F13">
        <w:rPr>
          <w:rFonts w:ascii="Arial" w:hAnsi="Arial" w:cs="Arial"/>
          <w:sz w:val="24"/>
          <w:szCs w:val="24"/>
        </w:rPr>
        <w:t xml:space="preserve">En Colombia los gestores comunitarios son actores fundamentales en la garantía del derecho humano al agua. Por esta razón, el Ministerio de Vivienda, Ciudad y Territorio creó la Ruta </w:t>
      </w:r>
      <w:proofErr w:type="spellStart"/>
      <w:r w:rsidRPr="00E00F13">
        <w:rPr>
          <w:rFonts w:ascii="Arial" w:hAnsi="Arial" w:cs="Arial"/>
          <w:sz w:val="24"/>
          <w:szCs w:val="24"/>
        </w:rPr>
        <w:t>ComuniAgua</w:t>
      </w:r>
      <w:proofErr w:type="spellEnd"/>
      <w:r w:rsidRPr="00E00F13">
        <w:rPr>
          <w:rFonts w:ascii="Arial" w:hAnsi="Arial" w:cs="Arial"/>
          <w:sz w:val="24"/>
          <w:szCs w:val="24"/>
        </w:rPr>
        <w:t>, para fortalecerlos en aspectos técnicos, financieros, administrativos y ambientales, entre otros.</w:t>
      </w:r>
    </w:p>
    <w:p w14:paraId="607CE0DA" w14:textId="77777777" w:rsidR="00D80194" w:rsidRPr="00E00F13" w:rsidRDefault="00D80194" w:rsidP="00500EEF">
      <w:pPr>
        <w:spacing w:after="0" w:line="360" w:lineRule="auto"/>
        <w:jc w:val="both"/>
        <w:rPr>
          <w:rFonts w:ascii="Arial" w:hAnsi="Arial" w:cs="Arial"/>
          <w:sz w:val="24"/>
          <w:szCs w:val="24"/>
        </w:rPr>
      </w:pPr>
    </w:p>
    <w:p w14:paraId="0B4862EA" w14:textId="32A755B5" w:rsidR="00D80194" w:rsidRPr="00E00F13" w:rsidRDefault="00D80194" w:rsidP="00500EEF">
      <w:pPr>
        <w:spacing w:after="0" w:line="360" w:lineRule="auto"/>
        <w:jc w:val="both"/>
        <w:rPr>
          <w:rFonts w:ascii="Arial" w:hAnsi="Arial" w:cs="Arial"/>
          <w:sz w:val="24"/>
          <w:szCs w:val="24"/>
        </w:rPr>
      </w:pPr>
      <w:r w:rsidRPr="00E00F13">
        <w:rPr>
          <w:rFonts w:ascii="Arial" w:hAnsi="Arial" w:cs="Arial"/>
          <w:sz w:val="24"/>
          <w:szCs w:val="24"/>
        </w:rPr>
        <w:t xml:space="preserve">Para este fortalecimiento, la Ruta </w:t>
      </w:r>
      <w:proofErr w:type="spellStart"/>
      <w:r w:rsidRPr="00E00F13">
        <w:rPr>
          <w:rFonts w:ascii="Arial" w:hAnsi="Arial" w:cs="Arial"/>
          <w:sz w:val="24"/>
          <w:szCs w:val="24"/>
        </w:rPr>
        <w:t>Comuni</w:t>
      </w:r>
      <w:r w:rsidR="007C4257" w:rsidRPr="00E00F13">
        <w:rPr>
          <w:rFonts w:ascii="Arial" w:hAnsi="Arial" w:cs="Arial"/>
          <w:sz w:val="24"/>
          <w:szCs w:val="24"/>
        </w:rPr>
        <w:t>A</w:t>
      </w:r>
      <w:r w:rsidRPr="00E00F13">
        <w:rPr>
          <w:rFonts w:ascii="Arial" w:hAnsi="Arial" w:cs="Arial"/>
          <w:sz w:val="24"/>
          <w:szCs w:val="24"/>
        </w:rPr>
        <w:t>gua</w:t>
      </w:r>
      <w:proofErr w:type="spellEnd"/>
      <w:r w:rsidRPr="00E00F13">
        <w:rPr>
          <w:rFonts w:ascii="Arial" w:hAnsi="Arial" w:cs="Arial"/>
          <w:sz w:val="24"/>
          <w:szCs w:val="24"/>
        </w:rPr>
        <w:t xml:space="preserve"> ha desplegado </w:t>
      </w:r>
      <w:r w:rsidR="00BC418D" w:rsidRPr="00E00F13">
        <w:rPr>
          <w:rFonts w:ascii="Arial" w:hAnsi="Arial" w:cs="Arial"/>
          <w:sz w:val="24"/>
          <w:szCs w:val="24"/>
        </w:rPr>
        <w:t>tres</w:t>
      </w:r>
      <w:r w:rsidR="00500EEF" w:rsidRPr="00E00F13">
        <w:rPr>
          <w:rFonts w:ascii="Arial" w:hAnsi="Arial" w:cs="Arial"/>
          <w:sz w:val="24"/>
          <w:szCs w:val="24"/>
        </w:rPr>
        <w:t xml:space="preserve"> fases.</w:t>
      </w:r>
    </w:p>
    <w:p w14:paraId="4C2C82E9" w14:textId="77777777" w:rsidR="00BC418D" w:rsidRPr="00E00F13" w:rsidRDefault="00BC418D" w:rsidP="00500EEF">
      <w:pPr>
        <w:spacing w:after="0" w:line="360" w:lineRule="auto"/>
        <w:jc w:val="both"/>
        <w:rPr>
          <w:rFonts w:ascii="Arial" w:hAnsi="Arial" w:cs="Arial"/>
          <w:sz w:val="24"/>
          <w:szCs w:val="24"/>
        </w:rPr>
      </w:pPr>
    </w:p>
    <w:p w14:paraId="502766F2" w14:textId="7489B615" w:rsidR="00500EEF" w:rsidRPr="00E00F13" w:rsidRDefault="00BC418D" w:rsidP="00500EEF">
      <w:pPr>
        <w:spacing w:after="0" w:line="360" w:lineRule="auto"/>
        <w:jc w:val="both"/>
        <w:rPr>
          <w:rFonts w:ascii="Arial" w:hAnsi="Arial" w:cs="Arial"/>
          <w:sz w:val="24"/>
          <w:szCs w:val="24"/>
        </w:rPr>
      </w:pPr>
      <w:r w:rsidRPr="00E00F13">
        <w:rPr>
          <w:rFonts w:ascii="Arial" w:hAnsi="Arial" w:cs="Arial"/>
          <w:sz w:val="24"/>
          <w:szCs w:val="24"/>
        </w:rPr>
        <w:t xml:space="preserve">1. </w:t>
      </w:r>
      <w:r w:rsidR="00500EEF" w:rsidRPr="00E00F13">
        <w:rPr>
          <w:rFonts w:ascii="Arial" w:hAnsi="Arial" w:cs="Arial"/>
          <w:sz w:val="24"/>
          <w:szCs w:val="24"/>
        </w:rPr>
        <w:t>Caracterización</w:t>
      </w:r>
    </w:p>
    <w:p w14:paraId="6416AD98" w14:textId="760CBB17" w:rsidR="00500EEF" w:rsidRPr="00E00F13" w:rsidRDefault="00BC418D" w:rsidP="00500EEF">
      <w:pPr>
        <w:spacing w:after="0" w:line="360" w:lineRule="auto"/>
        <w:jc w:val="both"/>
        <w:rPr>
          <w:rFonts w:ascii="Arial" w:hAnsi="Arial" w:cs="Arial"/>
          <w:sz w:val="24"/>
          <w:szCs w:val="24"/>
        </w:rPr>
      </w:pPr>
      <w:r w:rsidRPr="00E00F13">
        <w:rPr>
          <w:rFonts w:ascii="Arial" w:hAnsi="Arial" w:cs="Arial"/>
          <w:sz w:val="24"/>
          <w:szCs w:val="24"/>
        </w:rPr>
        <w:t>Tiene</w:t>
      </w:r>
      <w:r w:rsidR="00500EEF" w:rsidRPr="00E00F13">
        <w:rPr>
          <w:rFonts w:ascii="Arial" w:hAnsi="Arial" w:cs="Arial"/>
          <w:sz w:val="24"/>
          <w:szCs w:val="24"/>
        </w:rPr>
        <w:t xml:space="preserve"> como único fin servir de insumo para la formulación de políticas públicas y estrategias sectoriales</w:t>
      </w:r>
      <w:r w:rsidRPr="00E00F13">
        <w:rPr>
          <w:rFonts w:ascii="Arial" w:hAnsi="Arial" w:cs="Arial"/>
          <w:sz w:val="24"/>
          <w:szCs w:val="24"/>
        </w:rPr>
        <w:t>, para</w:t>
      </w:r>
      <w:r w:rsidR="00500EEF" w:rsidRPr="00E00F13">
        <w:rPr>
          <w:rFonts w:ascii="Arial" w:hAnsi="Arial" w:cs="Arial"/>
          <w:sz w:val="24"/>
          <w:szCs w:val="24"/>
        </w:rPr>
        <w:t xml:space="preserve"> que se ajusten a la realidad de los territorios. Se lleva a cabo a </w:t>
      </w:r>
      <w:r w:rsidRPr="00E00F13">
        <w:rPr>
          <w:rFonts w:ascii="Arial" w:hAnsi="Arial" w:cs="Arial"/>
          <w:sz w:val="24"/>
          <w:szCs w:val="24"/>
        </w:rPr>
        <w:t>partir</w:t>
      </w:r>
      <w:r w:rsidR="00500EEF" w:rsidRPr="00E00F13">
        <w:rPr>
          <w:rFonts w:ascii="Arial" w:hAnsi="Arial" w:cs="Arial"/>
          <w:sz w:val="24"/>
          <w:szCs w:val="24"/>
        </w:rPr>
        <w:t xml:space="preserve"> del diligenciamiento de un formulario que busca conseguir información básica sobre las problemáticas y las condiciones de la infraestructura que manejan los pequeños prestadores. </w:t>
      </w:r>
    </w:p>
    <w:p w14:paraId="38D1057C" w14:textId="77777777" w:rsidR="00BC418D" w:rsidRPr="00E00F13" w:rsidRDefault="00BC418D" w:rsidP="00500EEF">
      <w:pPr>
        <w:spacing w:after="0" w:line="360" w:lineRule="auto"/>
        <w:jc w:val="both"/>
        <w:rPr>
          <w:rFonts w:ascii="Arial" w:hAnsi="Arial" w:cs="Arial"/>
          <w:sz w:val="24"/>
          <w:szCs w:val="24"/>
        </w:rPr>
      </w:pPr>
    </w:p>
    <w:p w14:paraId="2CE82403" w14:textId="4B1ECE34" w:rsidR="00500EEF" w:rsidRPr="00E00F13" w:rsidRDefault="00BC418D" w:rsidP="00500EEF">
      <w:pPr>
        <w:spacing w:after="0" w:line="360" w:lineRule="auto"/>
        <w:jc w:val="both"/>
        <w:rPr>
          <w:rFonts w:ascii="Arial" w:hAnsi="Arial" w:cs="Arial"/>
          <w:sz w:val="24"/>
          <w:szCs w:val="24"/>
        </w:rPr>
      </w:pPr>
      <w:r w:rsidRPr="00E00F13">
        <w:rPr>
          <w:rFonts w:ascii="Arial" w:hAnsi="Arial" w:cs="Arial"/>
          <w:sz w:val="24"/>
          <w:szCs w:val="24"/>
        </w:rPr>
        <w:t xml:space="preserve">2. </w:t>
      </w:r>
      <w:r w:rsidR="00500EEF" w:rsidRPr="00E00F13">
        <w:rPr>
          <w:rFonts w:ascii="Arial" w:hAnsi="Arial" w:cs="Arial"/>
          <w:sz w:val="24"/>
          <w:szCs w:val="24"/>
        </w:rPr>
        <w:t>Formación</w:t>
      </w:r>
    </w:p>
    <w:p w14:paraId="383C8A04" w14:textId="6F7575AA" w:rsidR="00500EEF" w:rsidRPr="00E00F13" w:rsidRDefault="00500EEF" w:rsidP="00500EEF">
      <w:pPr>
        <w:spacing w:after="0" w:line="360" w:lineRule="auto"/>
        <w:jc w:val="both"/>
        <w:rPr>
          <w:rFonts w:ascii="Arial" w:hAnsi="Arial" w:cs="Arial"/>
          <w:sz w:val="24"/>
          <w:szCs w:val="24"/>
        </w:rPr>
      </w:pPr>
      <w:r w:rsidRPr="00E00F13">
        <w:rPr>
          <w:rFonts w:ascii="Arial" w:hAnsi="Arial" w:cs="Arial"/>
          <w:sz w:val="24"/>
          <w:szCs w:val="24"/>
        </w:rPr>
        <w:t xml:space="preserve">En esta fase el MVCT ofrece una serie de capacitaciones virtuales </w:t>
      </w:r>
      <w:r w:rsidR="00D80194" w:rsidRPr="00E00F13">
        <w:rPr>
          <w:rFonts w:ascii="Arial" w:hAnsi="Arial" w:cs="Arial"/>
          <w:sz w:val="24"/>
          <w:szCs w:val="24"/>
        </w:rPr>
        <w:t xml:space="preserve">a las organizaciones comunitarias </w:t>
      </w:r>
      <w:r w:rsidRPr="00E00F13">
        <w:rPr>
          <w:rFonts w:ascii="Arial" w:hAnsi="Arial" w:cs="Arial"/>
          <w:sz w:val="24"/>
          <w:szCs w:val="24"/>
        </w:rPr>
        <w:t>en temas clave</w:t>
      </w:r>
      <w:r w:rsidR="00D80194" w:rsidRPr="00E00F13">
        <w:rPr>
          <w:rFonts w:ascii="Arial" w:hAnsi="Arial" w:cs="Arial"/>
          <w:sz w:val="24"/>
          <w:szCs w:val="24"/>
        </w:rPr>
        <w:t xml:space="preserve"> para fortalecer su organización</w:t>
      </w:r>
      <w:r w:rsidRPr="00E00F13">
        <w:rPr>
          <w:rFonts w:ascii="Arial" w:hAnsi="Arial" w:cs="Arial"/>
          <w:sz w:val="24"/>
          <w:szCs w:val="24"/>
        </w:rPr>
        <w:t>. Los módulos incluyen los siguientes temas:</w:t>
      </w:r>
    </w:p>
    <w:p w14:paraId="0587833D" w14:textId="62C2A5D0" w:rsidR="00500EEF" w:rsidRPr="00E00F13" w:rsidRDefault="00500EEF" w:rsidP="005E33C6">
      <w:pPr>
        <w:numPr>
          <w:ilvl w:val="0"/>
          <w:numId w:val="21"/>
        </w:numPr>
        <w:spacing w:after="0" w:line="360" w:lineRule="auto"/>
        <w:jc w:val="both"/>
        <w:rPr>
          <w:rFonts w:ascii="Arial" w:hAnsi="Arial" w:cs="Arial"/>
          <w:sz w:val="24"/>
          <w:szCs w:val="24"/>
        </w:rPr>
      </w:pPr>
      <w:r w:rsidRPr="00E00F13">
        <w:rPr>
          <w:rFonts w:ascii="Arial" w:hAnsi="Arial" w:cs="Arial"/>
          <w:sz w:val="24"/>
          <w:szCs w:val="24"/>
        </w:rPr>
        <w:t xml:space="preserve">Actores y </w:t>
      </w:r>
      <w:r w:rsidR="00BC418D" w:rsidRPr="00E00F13">
        <w:rPr>
          <w:rFonts w:ascii="Arial" w:hAnsi="Arial" w:cs="Arial"/>
          <w:sz w:val="24"/>
          <w:szCs w:val="24"/>
        </w:rPr>
        <w:t>r</w:t>
      </w:r>
      <w:r w:rsidRPr="00E00F13">
        <w:rPr>
          <w:rFonts w:ascii="Arial" w:hAnsi="Arial" w:cs="Arial"/>
          <w:sz w:val="24"/>
          <w:szCs w:val="24"/>
        </w:rPr>
        <w:t>oles</w:t>
      </w:r>
    </w:p>
    <w:p w14:paraId="3AC26F16" w14:textId="4852F50A" w:rsidR="00500EEF" w:rsidRPr="00E00F13" w:rsidRDefault="00500EEF" w:rsidP="005E33C6">
      <w:pPr>
        <w:numPr>
          <w:ilvl w:val="0"/>
          <w:numId w:val="21"/>
        </w:numPr>
        <w:spacing w:after="0" w:line="360" w:lineRule="auto"/>
        <w:jc w:val="both"/>
        <w:rPr>
          <w:rFonts w:ascii="Arial" w:hAnsi="Arial" w:cs="Arial"/>
          <w:sz w:val="24"/>
          <w:szCs w:val="24"/>
        </w:rPr>
      </w:pPr>
      <w:r w:rsidRPr="00E00F13">
        <w:rPr>
          <w:rFonts w:ascii="Arial" w:hAnsi="Arial" w:cs="Arial"/>
          <w:sz w:val="24"/>
          <w:szCs w:val="24"/>
        </w:rPr>
        <w:t xml:space="preserve">Esquemas </w:t>
      </w:r>
      <w:r w:rsidR="00BC418D" w:rsidRPr="00E00F13">
        <w:rPr>
          <w:rFonts w:ascii="Arial" w:hAnsi="Arial" w:cs="Arial"/>
          <w:sz w:val="24"/>
          <w:szCs w:val="24"/>
        </w:rPr>
        <w:t>d</w:t>
      </w:r>
      <w:r w:rsidRPr="00E00F13">
        <w:rPr>
          <w:rFonts w:ascii="Arial" w:hAnsi="Arial" w:cs="Arial"/>
          <w:sz w:val="24"/>
          <w:szCs w:val="24"/>
        </w:rPr>
        <w:t>iferenciales</w:t>
      </w:r>
    </w:p>
    <w:p w14:paraId="502C741C" w14:textId="60B45EA5" w:rsidR="00500EEF" w:rsidRPr="00E00F13" w:rsidRDefault="00500EEF" w:rsidP="005E33C6">
      <w:pPr>
        <w:numPr>
          <w:ilvl w:val="0"/>
          <w:numId w:val="21"/>
        </w:numPr>
        <w:spacing w:after="0" w:line="360" w:lineRule="auto"/>
        <w:jc w:val="both"/>
        <w:rPr>
          <w:rFonts w:ascii="Arial" w:hAnsi="Arial" w:cs="Arial"/>
          <w:sz w:val="24"/>
          <w:szCs w:val="24"/>
        </w:rPr>
      </w:pPr>
      <w:r w:rsidRPr="00E00F13">
        <w:rPr>
          <w:rFonts w:ascii="Arial" w:hAnsi="Arial" w:cs="Arial"/>
          <w:sz w:val="24"/>
          <w:szCs w:val="24"/>
        </w:rPr>
        <w:t xml:space="preserve">Calidad del </w:t>
      </w:r>
      <w:r w:rsidR="00BC418D" w:rsidRPr="00E00F13">
        <w:rPr>
          <w:rFonts w:ascii="Arial" w:hAnsi="Arial" w:cs="Arial"/>
          <w:sz w:val="24"/>
          <w:szCs w:val="24"/>
        </w:rPr>
        <w:t>a</w:t>
      </w:r>
      <w:r w:rsidRPr="00E00F13">
        <w:rPr>
          <w:rFonts w:ascii="Arial" w:hAnsi="Arial" w:cs="Arial"/>
          <w:sz w:val="24"/>
          <w:szCs w:val="24"/>
        </w:rPr>
        <w:t>gua</w:t>
      </w:r>
    </w:p>
    <w:p w14:paraId="546F3D33" w14:textId="518D1BE7" w:rsidR="00500EEF" w:rsidRPr="00E00F13" w:rsidRDefault="00500EEF" w:rsidP="005E33C6">
      <w:pPr>
        <w:numPr>
          <w:ilvl w:val="0"/>
          <w:numId w:val="21"/>
        </w:numPr>
        <w:spacing w:after="0" w:line="360" w:lineRule="auto"/>
        <w:jc w:val="both"/>
        <w:rPr>
          <w:rFonts w:ascii="Arial" w:hAnsi="Arial" w:cs="Arial"/>
          <w:sz w:val="24"/>
          <w:szCs w:val="24"/>
        </w:rPr>
      </w:pPr>
      <w:r w:rsidRPr="00E00F13">
        <w:rPr>
          <w:rFonts w:ascii="Arial" w:hAnsi="Arial" w:cs="Arial"/>
          <w:sz w:val="24"/>
          <w:szCs w:val="24"/>
        </w:rPr>
        <w:t xml:space="preserve">Gestión del </w:t>
      </w:r>
      <w:r w:rsidR="00BC418D" w:rsidRPr="00E00F13">
        <w:rPr>
          <w:rFonts w:ascii="Arial" w:hAnsi="Arial" w:cs="Arial"/>
          <w:sz w:val="24"/>
          <w:szCs w:val="24"/>
        </w:rPr>
        <w:t>r</w:t>
      </w:r>
      <w:r w:rsidRPr="00E00F13">
        <w:rPr>
          <w:rFonts w:ascii="Arial" w:hAnsi="Arial" w:cs="Arial"/>
          <w:sz w:val="24"/>
          <w:szCs w:val="24"/>
        </w:rPr>
        <w:t>iesgo</w:t>
      </w:r>
    </w:p>
    <w:p w14:paraId="4A8B9E00" w14:textId="5D3CA1FD" w:rsidR="00500EEF" w:rsidRPr="00E00F13" w:rsidRDefault="00500EEF" w:rsidP="005E33C6">
      <w:pPr>
        <w:numPr>
          <w:ilvl w:val="0"/>
          <w:numId w:val="21"/>
        </w:numPr>
        <w:spacing w:after="0" w:line="360" w:lineRule="auto"/>
        <w:jc w:val="both"/>
        <w:rPr>
          <w:rFonts w:ascii="Arial" w:hAnsi="Arial" w:cs="Arial"/>
          <w:sz w:val="24"/>
          <w:szCs w:val="24"/>
        </w:rPr>
      </w:pPr>
      <w:r w:rsidRPr="00E00F13">
        <w:rPr>
          <w:rFonts w:ascii="Arial" w:hAnsi="Arial" w:cs="Arial"/>
          <w:sz w:val="24"/>
          <w:szCs w:val="24"/>
        </w:rPr>
        <w:t>Subsidios</w:t>
      </w:r>
    </w:p>
    <w:p w14:paraId="693942FC" w14:textId="16F64934" w:rsidR="00500EEF" w:rsidRPr="00E00F13" w:rsidRDefault="00500EEF" w:rsidP="005E33C6">
      <w:pPr>
        <w:numPr>
          <w:ilvl w:val="0"/>
          <w:numId w:val="21"/>
        </w:numPr>
        <w:spacing w:after="0" w:line="360" w:lineRule="auto"/>
        <w:jc w:val="both"/>
        <w:rPr>
          <w:rFonts w:ascii="Arial" w:hAnsi="Arial" w:cs="Arial"/>
          <w:sz w:val="24"/>
          <w:szCs w:val="24"/>
        </w:rPr>
      </w:pPr>
      <w:r w:rsidRPr="00E00F13">
        <w:rPr>
          <w:rFonts w:ascii="Arial" w:hAnsi="Arial" w:cs="Arial"/>
          <w:sz w:val="24"/>
          <w:szCs w:val="24"/>
        </w:rPr>
        <w:t xml:space="preserve">Taller </w:t>
      </w:r>
      <w:r w:rsidR="00BC418D" w:rsidRPr="00E00F13">
        <w:rPr>
          <w:rFonts w:ascii="Arial" w:hAnsi="Arial" w:cs="Arial"/>
          <w:sz w:val="24"/>
          <w:szCs w:val="24"/>
        </w:rPr>
        <w:t>v</w:t>
      </w:r>
      <w:r w:rsidRPr="00E00F13">
        <w:rPr>
          <w:rFonts w:ascii="Arial" w:hAnsi="Arial" w:cs="Arial"/>
          <w:sz w:val="24"/>
          <w:szCs w:val="24"/>
        </w:rPr>
        <w:t xml:space="preserve">irtual de la </w:t>
      </w:r>
      <w:r w:rsidR="00BC418D" w:rsidRPr="00E00F13">
        <w:rPr>
          <w:rFonts w:ascii="Arial" w:hAnsi="Arial" w:cs="Arial"/>
          <w:sz w:val="24"/>
          <w:szCs w:val="24"/>
        </w:rPr>
        <w:t>Comisión de Regulación de Agua Potable y Saneamiento Básico (</w:t>
      </w:r>
      <w:r w:rsidRPr="00E00F13">
        <w:rPr>
          <w:rFonts w:ascii="Arial" w:hAnsi="Arial" w:cs="Arial"/>
          <w:sz w:val="24"/>
          <w:szCs w:val="24"/>
        </w:rPr>
        <w:t>CRA</w:t>
      </w:r>
      <w:r w:rsidR="00BC418D" w:rsidRPr="00E00F13">
        <w:rPr>
          <w:rFonts w:ascii="Arial" w:hAnsi="Arial" w:cs="Arial"/>
          <w:sz w:val="24"/>
          <w:szCs w:val="24"/>
        </w:rPr>
        <w:t>)</w:t>
      </w:r>
    </w:p>
    <w:p w14:paraId="54CBA758" w14:textId="77777777" w:rsidR="00500EEF" w:rsidRPr="00E00F13" w:rsidRDefault="00500EEF" w:rsidP="00500EEF">
      <w:pPr>
        <w:spacing w:after="0" w:line="360" w:lineRule="auto"/>
        <w:jc w:val="both"/>
        <w:rPr>
          <w:rFonts w:ascii="Arial" w:hAnsi="Arial" w:cs="Arial"/>
          <w:sz w:val="24"/>
          <w:szCs w:val="24"/>
        </w:rPr>
      </w:pPr>
    </w:p>
    <w:p w14:paraId="23DFC718" w14:textId="162F085D" w:rsidR="00500EEF" w:rsidRPr="00E00F13" w:rsidRDefault="00BC418D" w:rsidP="00500EEF">
      <w:pPr>
        <w:spacing w:after="0" w:line="360" w:lineRule="auto"/>
        <w:jc w:val="both"/>
        <w:rPr>
          <w:rFonts w:ascii="Arial" w:hAnsi="Arial" w:cs="Arial"/>
          <w:sz w:val="24"/>
          <w:szCs w:val="24"/>
        </w:rPr>
      </w:pPr>
      <w:r w:rsidRPr="00E00F13">
        <w:rPr>
          <w:rFonts w:ascii="Arial" w:hAnsi="Arial" w:cs="Arial"/>
          <w:sz w:val="24"/>
          <w:szCs w:val="24"/>
        </w:rPr>
        <w:t xml:space="preserve">3. </w:t>
      </w:r>
      <w:r w:rsidR="00500EEF" w:rsidRPr="00E00F13">
        <w:rPr>
          <w:rFonts w:ascii="Arial" w:hAnsi="Arial" w:cs="Arial"/>
          <w:sz w:val="24"/>
          <w:szCs w:val="24"/>
        </w:rPr>
        <w:t>Subsidio</w:t>
      </w:r>
    </w:p>
    <w:p w14:paraId="5AE59B50" w14:textId="047E3F8B" w:rsidR="00500EEF" w:rsidRPr="00E00F13" w:rsidRDefault="00500EEF" w:rsidP="00500EEF">
      <w:pPr>
        <w:spacing w:after="0" w:line="360" w:lineRule="auto"/>
        <w:jc w:val="both"/>
        <w:rPr>
          <w:rFonts w:ascii="Arial" w:hAnsi="Arial" w:cs="Arial"/>
          <w:sz w:val="24"/>
          <w:szCs w:val="24"/>
        </w:rPr>
      </w:pPr>
      <w:r w:rsidRPr="00E00F13">
        <w:rPr>
          <w:rFonts w:ascii="Arial" w:hAnsi="Arial" w:cs="Arial"/>
          <w:sz w:val="24"/>
          <w:szCs w:val="24"/>
        </w:rPr>
        <w:lastRenderedPageBreak/>
        <w:t>E</w:t>
      </w:r>
      <w:r w:rsidR="00BC418D" w:rsidRPr="00E00F13">
        <w:rPr>
          <w:rFonts w:ascii="Arial" w:hAnsi="Arial" w:cs="Arial"/>
          <w:sz w:val="24"/>
          <w:szCs w:val="24"/>
        </w:rPr>
        <w:t>l</w:t>
      </w:r>
      <w:r w:rsidRPr="00E00F13">
        <w:rPr>
          <w:rFonts w:ascii="Arial" w:hAnsi="Arial" w:cs="Arial"/>
          <w:sz w:val="24"/>
          <w:szCs w:val="24"/>
        </w:rPr>
        <w:t xml:space="preserve"> subsidio está destinado a los acueductos comunitarios para aplicar </w:t>
      </w:r>
      <w:r w:rsidR="00BC418D" w:rsidRPr="00E00F13">
        <w:rPr>
          <w:rFonts w:ascii="Arial" w:hAnsi="Arial" w:cs="Arial"/>
          <w:sz w:val="24"/>
          <w:szCs w:val="24"/>
        </w:rPr>
        <w:t xml:space="preserve">a </w:t>
      </w:r>
      <w:r w:rsidRPr="00E00F13">
        <w:rPr>
          <w:rFonts w:ascii="Arial" w:hAnsi="Arial" w:cs="Arial"/>
          <w:sz w:val="24"/>
          <w:szCs w:val="24"/>
        </w:rPr>
        <w:t xml:space="preserve">un descuento en el valor de la tarifa o cobro por la prestación del servicio público de acueducto a usuarios de estratos 1 y 2. Para aplicar a dicho subsidio se deben tener en cuenta los siguientes requisitos: </w:t>
      </w:r>
    </w:p>
    <w:p w14:paraId="358443B9" w14:textId="3EE9E005" w:rsidR="00500EEF" w:rsidRPr="00E00F13" w:rsidRDefault="00500EEF" w:rsidP="005E33C6">
      <w:pPr>
        <w:numPr>
          <w:ilvl w:val="0"/>
          <w:numId w:val="22"/>
        </w:numPr>
        <w:spacing w:after="0" w:line="360" w:lineRule="auto"/>
        <w:jc w:val="both"/>
        <w:rPr>
          <w:rFonts w:ascii="Arial" w:hAnsi="Arial" w:cs="Arial"/>
          <w:sz w:val="24"/>
          <w:szCs w:val="24"/>
        </w:rPr>
      </w:pPr>
      <w:r w:rsidRPr="00E00F13">
        <w:rPr>
          <w:rFonts w:ascii="Arial" w:hAnsi="Arial" w:cs="Arial"/>
          <w:sz w:val="24"/>
          <w:szCs w:val="24"/>
        </w:rPr>
        <w:t xml:space="preserve">Haber diligenciado correctamente el formulario de caracterización de la ruta </w:t>
      </w:r>
      <w:proofErr w:type="spellStart"/>
      <w:r w:rsidRPr="00E00F13">
        <w:rPr>
          <w:rFonts w:ascii="Arial" w:hAnsi="Arial" w:cs="Arial"/>
          <w:sz w:val="24"/>
          <w:szCs w:val="24"/>
        </w:rPr>
        <w:t>Comuni</w:t>
      </w:r>
      <w:r w:rsidR="007C4257" w:rsidRPr="00E00F13">
        <w:rPr>
          <w:rFonts w:ascii="Arial" w:hAnsi="Arial" w:cs="Arial"/>
          <w:sz w:val="24"/>
          <w:szCs w:val="24"/>
        </w:rPr>
        <w:t>A</w:t>
      </w:r>
      <w:r w:rsidRPr="00E00F13">
        <w:rPr>
          <w:rFonts w:ascii="Arial" w:hAnsi="Arial" w:cs="Arial"/>
          <w:sz w:val="24"/>
          <w:szCs w:val="24"/>
        </w:rPr>
        <w:t>gua</w:t>
      </w:r>
      <w:proofErr w:type="spellEnd"/>
      <w:r w:rsidR="00BC418D" w:rsidRPr="00E00F13">
        <w:rPr>
          <w:rFonts w:ascii="Arial" w:hAnsi="Arial" w:cs="Arial"/>
          <w:sz w:val="24"/>
          <w:szCs w:val="24"/>
        </w:rPr>
        <w:t>.</w:t>
      </w:r>
    </w:p>
    <w:p w14:paraId="2E26ED1F" w14:textId="7F33BAE7" w:rsidR="00500EEF" w:rsidRPr="00E00F13" w:rsidRDefault="00BC418D" w:rsidP="005E33C6">
      <w:pPr>
        <w:numPr>
          <w:ilvl w:val="0"/>
          <w:numId w:val="22"/>
        </w:numPr>
        <w:spacing w:after="0" w:line="360" w:lineRule="auto"/>
        <w:jc w:val="both"/>
        <w:rPr>
          <w:rFonts w:ascii="Arial" w:hAnsi="Arial" w:cs="Arial"/>
          <w:sz w:val="24"/>
          <w:szCs w:val="24"/>
        </w:rPr>
      </w:pPr>
      <w:r w:rsidRPr="00E00F13">
        <w:rPr>
          <w:rFonts w:ascii="Arial" w:hAnsi="Arial" w:cs="Arial"/>
          <w:sz w:val="24"/>
          <w:szCs w:val="24"/>
        </w:rPr>
        <w:t xml:space="preserve">Diligenciar la </w:t>
      </w:r>
      <w:r w:rsidR="00500EEF" w:rsidRPr="00E00F13">
        <w:rPr>
          <w:rFonts w:ascii="Arial" w:hAnsi="Arial" w:cs="Arial"/>
          <w:sz w:val="24"/>
          <w:szCs w:val="24"/>
        </w:rPr>
        <w:t>solicitud del subsidio comunitario en el formato establecido por el Ministerio de Vivienda, Ciudad y Territorio (</w:t>
      </w:r>
      <w:r w:rsidRPr="00E00F13">
        <w:rPr>
          <w:rFonts w:ascii="Arial" w:hAnsi="Arial" w:cs="Arial"/>
          <w:sz w:val="24"/>
          <w:szCs w:val="24"/>
        </w:rPr>
        <w:t>e</w:t>
      </w:r>
      <w:r w:rsidR="00500EEF" w:rsidRPr="00E00F13">
        <w:rPr>
          <w:rFonts w:ascii="Arial" w:hAnsi="Arial" w:cs="Arial"/>
          <w:sz w:val="24"/>
          <w:szCs w:val="24"/>
        </w:rPr>
        <w:t xml:space="preserve">ste podrá descargarlo una vez ingrese al </w:t>
      </w:r>
      <w:proofErr w:type="gramStart"/>
      <w:r w:rsidR="00500EEF" w:rsidRPr="00E00F13">
        <w:rPr>
          <w:rFonts w:ascii="Arial" w:hAnsi="Arial" w:cs="Arial"/>
          <w:i/>
          <w:iCs/>
          <w:sz w:val="24"/>
          <w:szCs w:val="24"/>
        </w:rPr>
        <w:t>link</w:t>
      </w:r>
      <w:proofErr w:type="gramEnd"/>
      <w:r w:rsidR="00500EEF" w:rsidRPr="00E00F13">
        <w:rPr>
          <w:rFonts w:ascii="Arial" w:hAnsi="Arial" w:cs="Arial"/>
          <w:i/>
          <w:iCs/>
          <w:sz w:val="24"/>
          <w:szCs w:val="24"/>
        </w:rPr>
        <w:t xml:space="preserve"> </w:t>
      </w:r>
      <w:r w:rsidR="00500EEF" w:rsidRPr="00E00F13">
        <w:rPr>
          <w:rFonts w:ascii="Arial" w:hAnsi="Arial" w:cs="Arial"/>
          <w:sz w:val="24"/>
          <w:szCs w:val="24"/>
        </w:rPr>
        <w:t>de aplicación al subsidio comunitario).</w:t>
      </w:r>
    </w:p>
    <w:p w14:paraId="26637ABB" w14:textId="219357BD" w:rsidR="00500EEF" w:rsidRPr="00E00F13" w:rsidRDefault="00500EEF" w:rsidP="005E33C6">
      <w:pPr>
        <w:numPr>
          <w:ilvl w:val="0"/>
          <w:numId w:val="22"/>
        </w:numPr>
        <w:spacing w:after="0" w:line="360" w:lineRule="auto"/>
        <w:jc w:val="both"/>
        <w:rPr>
          <w:rFonts w:ascii="Arial" w:hAnsi="Arial" w:cs="Arial"/>
          <w:sz w:val="24"/>
          <w:szCs w:val="24"/>
        </w:rPr>
      </w:pPr>
      <w:r w:rsidRPr="00E00F13">
        <w:rPr>
          <w:rFonts w:ascii="Arial" w:hAnsi="Arial" w:cs="Arial"/>
          <w:sz w:val="24"/>
          <w:szCs w:val="24"/>
        </w:rPr>
        <w:t>Documento en el que conste su inscripción en estado admitida o la actualización en estado certificada en el Registro Único de Prestadores de Servicios (RUPS), según el formato establecido por la Superintendencia de Servicios Públicos Domiciliarios.</w:t>
      </w:r>
    </w:p>
    <w:p w14:paraId="516821D0" w14:textId="275A6FA5" w:rsidR="00500EEF" w:rsidRPr="00E00F13" w:rsidRDefault="00500EEF" w:rsidP="005E33C6">
      <w:pPr>
        <w:numPr>
          <w:ilvl w:val="0"/>
          <w:numId w:val="22"/>
        </w:numPr>
        <w:spacing w:after="0" w:line="360" w:lineRule="auto"/>
        <w:jc w:val="both"/>
        <w:rPr>
          <w:rFonts w:ascii="Arial" w:hAnsi="Arial" w:cs="Arial"/>
          <w:sz w:val="24"/>
          <w:szCs w:val="24"/>
        </w:rPr>
      </w:pPr>
      <w:r w:rsidRPr="00E00F13">
        <w:rPr>
          <w:rFonts w:ascii="Arial" w:hAnsi="Arial" w:cs="Arial"/>
          <w:sz w:val="24"/>
          <w:szCs w:val="24"/>
        </w:rPr>
        <w:t>Fotocopia del documento de identidad del representante legal del prestador, quien debe ser la misma persona identificada como representante legal en el documento que acredite el reconocimiento de la personería jurídica.</w:t>
      </w:r>
    </w:p>
    <w:p w14:paraId="22E60626" w14:textId="3A8440D7" w:rsidR="00500EEF" w:rsidRPr="00E00F13" w:rsidRDefault="00500EEF" w:rsidP="005E33C6">
      <w:pPr>
        <w:numPr>
          <w:ilvl w:val="0"/>
          <w:numId w:val="22"/>
        </w:numPr>
        <w:spacing w:after="0" w:line="360" w:lineRule="auto"/>
        <w:jc w:val="both"/>
        <w:rPr>
          <w:rFonts w:ascii="Arial" w:hAnsi="Arial" w:cs="Arial"/>
          <w:sz w:val="24"/>
          <w:szCs w:val="24"/>
        </w:rPr>
      </w:pPr>
      <w:r w:rsidRPr="00E00F13">
        <w:rPr>
          <w:rFonts w:ascii="Arial" w:hAnsi="Arial" w:cs="Arial"/>
          <w:sz w:val="24"/>
          <w:szCs w:val="24"/>
        </w:rPr>
        <w:t>Certificación bancaria con vigencia no mayor a tres meses de expedición anteriores a la fecha de la presentación de la solicitud, en la que se registre el gestor comunitario como cuentahabiente, que indique el NIT, número y tipo de cuenta y la constancia de que a la fecha está activa.</w:t>
      </w:r>
    </w:p>
    <w:p w14:paraId="6D86B49F" w14:textId="7B18CC97" w:rsidR="00500EEF" w:rsidRPr="00E00F13" w:rsidRDefault="00500EEF" w:rsidP="005E33C6">
      <w:pPr>
        <w:numPr>
          <w:ilvl w:val="0"/>
          <w:numId w:val="22"/>
        </w:numPr>
        <w:spacing w:after="0" w:line="360" w:lineRule="auto"/>
        <w:jc w:val="both"/>
        <w:rPr>
          <w:rFonts w:ascii="Arial" w:hAnsi="Arial" w:cs="Arial"/>
          <w:sz w:val="24"/>
          <w:szCs w:val="24"/>
        </w:rPr>
      </w:pPr>
      <w:r w:rsidRPr="00E00F13">
        <w:rPr>
          <w:rFonts w:ascii="Arial" w:hAnsi="Arial" w:cs="Arial"/>
          <w:sz w:val="24"/>
          <w:szCs w:val="24"/>
        </w:rPr>
        <w:t>El listado de suscriptores de la zona rural o urbana para quienes se solicita el subsidio comunitario en el formato establecido por el Ministerio de Vivienda, Ciudad y Territorio.</w:t>
      </w:r>
    </w:p>
    <w:p w14:paraId="7E2B82B3" w14:textId="6C3FB4D6" w:rsidR="00500EEF" w:rsidRPr="00E00F13" w:rsidRDefault="00500EEF" w:rsidP="005E33C6">
      <w:pPr>
        <w:numPr>
          <w:ilvl w:val="0"/>
          <w:numId w:val="22"/>
        </w:numPr>
        <w:spacing w:after="0" w:line="360" w:lineRule="auto"/>
        <w:jc w:val="both"/>
        <w:rPr>
          <w:rFonts w:ascii="Arial" w:hAnsi="Arial" w:cs="Arial"/>
          <w:sz w:val="24"/>
          <w:szCs w:val="24"/>
        </w:rPr>
      </w:pPr>
      <w:r w:rsidRPr="00E00F13">
        <w:rPr>
          <w:rFonts w:ascii="Arial" w:hAnsi="Arial" w:cs="Arial"/>
          <w:sz w:val="24"/>
          <w:szCs w:val="24"/>
        </w:rPr>
        <w:t>Documento mediante el cual se acredite el reconocimiento de personería jurídica y representación legal</w:t>
      </w:r>
      <w:r w:rsidR="003E1884" w:rsidRPr="00E00F13">
        <w:rPr>
          <w:rFonts w:ascii="Arial" w:hAnsi="Arial" w:cs="Arial"/>
          <w:sz w:val="24"/>
          <w:szCs w:val="24"/>
        </w:rPr>
        <w:t>.</w:t>
      </w:r>
    </w:p>
    <w:p w14:paraId="3BF4B889" w14:textId="7F99E08F" w:rsidR="00500EEF" w:rsidRPr="00E00F13" w:rsidRDefault="00500EEF" w:rsidP="00E372F2">
      <w:pPr>
        <w:spacing w:after="0" w:line="360" w:lineRule="auto"/>
        <w:jc w:val="both"/>
        <w:rPr>
          <w:rFonts w:ascii="Arial" w:hAnsi="Arial" w:cs="Arial"/>
          <w:sz w:val="24"/>
          <w:szCs w:val="24"/>
        </w:rPr>
      </w:pPr>
    </w:p>
    <w:p w14:paraId="50F04DAC" w14:textId="77777777" w:rsidR="00E91415" w:rsidRPr="00E00F13" w:rsidRDefault="007C4257" w:rsidP="006F23E4">
      <w:pPr>
        <w:spacing w:after="0" w:line="360" w:lineRule="auto"/>
        <w:jc w:val="both"/>
        <w:rPr>
          <w:rFonts w:ascii="Arial" w:hAnsi="Arial" w:cs="Arial"/>
          <w:sz w:val="24"/>
          <w:szCs w:val="24"/>
        </w:rPr>
      </w:pPr>
      <w:r w:rsidRPr="00E00F13">
        <w:rPr>
          <w:rFonts w:ascii="Arial" w:hAnsi="Arial" w:cs="Arial"/>
          <w:sz w:val="24"/>
          <w:szCs w:val="24"/>
        </w:rPr>
        <w:t xml:space="preserve">La Ruta </w:t>
      </w:r>
      <w:proofErr w:type="spellStart"/>
      <w:r w:rsidRPr="00E00F13">
        <w:rPr>
          <w:rFonts w:ascii="Arial" w:hAnsi="Arial" w:cs="Arial"/>
          <w:sz w:val="24"/>
          <w:szCs w:val="24"/>
        </w:rPr>
        <w:t>ComuniAgua</w:t>
      </w:r>
      <w:proofErr w:type="spellEnd"/>
      <w:r w:rsidRPr="00E00F13">
        <w:rPr>
          <w:rFonts w:ascii="Arial" w:hAnsi="Arial" w:cs="Arial"/>
          <w:sz w:val="24"/>
          <w:szCs w:val="24"/>
        </w:rPr>
        <w:t xml:space="preserve"> representa beneficios significativos para las organizaciones comunitarias.</w:t>
      </w:r>
      <w:r w:rsidR="006F23E4" w:rsidRPr="00E00F13">
        <w:rPr>
          <w:rFonts w:ascii="Arial" w:hAnsi="Arial" w:cs="Arial"/>
          <w:sz w:val="24"/>
          <w:szCs w:val="24"/>
        </w:rPr>
        <w:t xml:space="preserve"> </w:t>
      </w:r>
    </w:p>
    <w:p w14:paraId="1FDC2EFE" w14:textId="77777777" w:rsidR="00E91415" w:rsidRPr="00E00F13" w:rsidRDefault="00E91415" w:rsidP="006F23E4">
      <w:pPr>
        <w:spacing w:after="0" w:line="360" w:lineRule="auto"/>
        <w:jc w:val="both"/>
        <w:rPr>
          <w:rFonts w:ascii="Arial" w:hAnsi="Arial" w:cs="Arial"/>
          <w:sz w:val="24"/>
          <w:szCs w:val="24"/>
        </w:rPr>
      </w:pPr>
    </w:p>
    <w:p w14:paraId="6DC696CF" w14:textId="1D25CADF" w:rsidR="00500EEF" w:rsidRPr="00E00F13" w:rsidRDefault="006F23E4" w:rsidP="00E372F2">
      <w:pPr>
        <w:spacing w:after="0" w:line="360" w:lineRule="auto"/>
        <w:jc w:val="both"/>
        <w:rPr>
          <w:rFonts w:ascii="Arial" w:hAnsi="Arial" w:cs="Arial"/>
          <w:sz w:val="24"/>
          <w:szCs w:val="24"/>
        </w:rPr>
      </w:pPr>
      <w:r w:rsidRPr="00E00F13">
        <w:rPr>
          <w:rFonts w:ascii="Arial" w:hAnsi="Arial" w:cs="Arial"/>
          <w:sz w:val="24"/>
          <w:szCs w:val="24"/>
        </w:rPr>
        <w:t xml:space="preserve">En primero lugar, el Estado brinda capacitación técnica en aspectos administrativos, organizativos, operativos y ambientales, entre otros, a las organizaciones </w:t>
      </w:r>
      <w:r w:rsidRPr="00E00F13">
        <w:rPr>
          <w:rFonts w:ascii="Arial" w:hAnsi="Arial" w:cs="Arial"/>
          <w:sz w:val="24"/>
          <w:szCs w:val="24"/>
        </w:rPr>
        <w:lastRenderedPageBreak/>
        <w:t xml:space="preserve">comunitarias. En segundo lugar, ofrece apoyo financiero, con el fin fortalecer la sostenibilidad de las organizaciones, por medio de un subsidio comunitario para los suscriptores más vulnerables. En tercer lugar, porque el Estado, desde el Viceministerio de Agua y Saneamiento Básico del MVCT, hace acompañamiento técnico para la estructuración y financiación de proyectos de agua y saneamiento básico </w:t>
      </w:r>
      <w:r w:rsidR="00160E00" w:rsidRPr="00E00F13">
        <w:rPr>
          <w:rFonts w:ascii="Arial" w:hAnsi="Arial" w:cs="Arial"/>
          <w:sz w:val="24"/>
          <w:szCs w:val="24"/>
        </w:rPr>
        <w:t>a</w:t>
      </w:r>
      <w:r w:rsidRPr="00E00F13">
        <w:rPr>
          <w:rFonts w:ascii="Arial" w:hAnsi="Arial" w:cs="Arial"/>
          <w:sz w:val="24"/>
          <w:szCs w:val="24"/>
        </w:rPr>
        <w:t xml:space="preserve"> los gestores comunitarios. En cuarto lugar, y no menos importante,</w:t>
      </w:r>
      <w:r w:rsidR="00E91415" w:rsidRPr="00E00F13">
        <w:rPr>
          <w:rFonts w:ascii="Arial" w:hAnsi="Arial" w:cs="Arial"/>
          <w:sz w:val="24"/>
          <w:szCs w:val="24"/>
        </w:rPr>
        <w:t xml:space="preserve"> </w:t>
      </w:r>
      <w:r w:rsidR="00A433F1" w:rsidRPr="00E00F13">
        <w:rPr>
          <w:rFonts w:ascii="Arial" w:hAnsi="Arial" w:cs="Arial"/>
          <w:sz w:val="24"/>
          <w:szCs w:val="24"/>
        </w:rPr>
        <w:t>l</w:t>
      </w:r>
      <w:r w:rsidR="00E91415" w:rsidRPr="00E00F13">
        <w:rPr>
          <w:rFonts w:ascii="Arial" w:hAnsi="Arial" w:cs="Arial"/>
          <w:sz w:val="24"/>
          <w:szCs w:val="24"/>
        </w:rPr>
        <w:t xml:space="preserve">a ruta </w:t>
      </w:r>
      <w:proofErr w:type="spellStart"/>
      <w:r w:rsidR="00E91415" w:rsidRPr="00E00F13">
        <w:rPr>
          <w:rFonts w:ascii="Arial" w:hAnsi="Arial" w:cs="Arial"/>
          <w:sz w:val="24"/>
          <w:szCs w:val="24"/>
        </w:rPr>
        <w:t>ComuniAgua</w:t>
      </w:r>
      <w:proofErr w:type="spellEnd"/>
      <w:r w:rsidRPr="00E00F13">
        <w:rPr>
          <w:rFonts w:ascii="Arial" w:hAnsi="Arial" w:cs="Arial"/>
          <w:sz w:val="24"/>
          <w:szCs w:val="24"/>
        </w:rPr>
        <w:t xml:space="preserve"> </w:t>
      </w:r>
      <w:r w:rsidR="00E91415" w:rsidRPr="00E00F13">
        <w:rPr>
          <w:rFonts w:ascii="Arial" w:hAnsi="Arial" w:cs="Arial"/>
          <w:sz w:val="24"/>
          <w:szCs w:val="24"/>
        </w:rPr>
        <w:t xml:space="preserve">permite al </w:t>
      </w:r>
      <w:r w:rsidR="00A433F1" w:rsidRPr="00E00F13">
        <w:rPr>
          <w:rFonts w:ascii="Arial" w:hAnsi="Arial" w:cs="Arial"/>
          <w:sz w:val="24"/>
          <w:szCs w:val="24"/>
        </w:rPr>
        <w:t>g</w:t>
      </w:r>
      <w:r w:rsidR="00E91415" w:rsidRPr="00E00F13">
        <w:rPr>
          <w:rFonts w:ascii="Arial" w:hAnsi="Arial" w:cs="Arial"/>
          <w:sz w:val="24"/>
          <w:szCs w:val="24"/>
        </w:rPr>
        <w:t>obierno Nacional obtener información para entender las dificultades y problemáticas que deben ser atendidas desde la formulación de la política pública y las estrategias sectoriales.</w:t>
      </w:r>
    </w:p>
    <w:p w14:paraId="0EB825A6" w14:textId="1E4FD46C" w:rsidR="00500EEF" w:rsidRPr="00E00F13" w:rsidRDefault="00500EEF" w:rsidP="00E372F2">
      <w:pPr>
        <w:spacing w:after="0" w:line="360" w:lineRule="auto"/>
        <w:jc w:val="both"/>
        <w:rPr>
          <w:rFonts w:ascii="Arial" w:hAnsi="Arial" w:cs="Arial"/>
          <w:sz w:val="24"/>
          <w:szCs w:val="24"/>
        </w:rPr>
      </w:pPr>
    </w:p>
    <w:p w14:paraId="75F5C009" w14:textId="77777777" w:rsidR="00C7687E" w:rsidRPr="00E00F13" w:rsidRDefault="0055046E" w:rsidP="00C7687E">
      <w:pPr>
        <w:spacing w:after="0" w:line="360" w:lineRule="auto"/>
        <w:jc w:val="both"/>
        <w:rPr>
          <w:rFonts w:ascii="Arial" w:hAnsi="Arial" w:cs="Arial"/>
          <w:sz w:val="24"/>
          <w:szCs w:val="24"/>
        </w:rPr>
      </w:pPr>
      <w:r w:rsidRPr="00E00F13">
        <w:rPr>
          <w:rFonts w:ascii="Arial" w:hAnsi="Arial" w:cs="Arial"/>
          <w:sz w:val="24"/>
          <w:szCs w:val="24"/>
        </w:rPr>
        <w:t>Representa un cambio importante de paradigma</w:t>
      </w:r>
      <w:r w:rsidR="00160E00" w:rsidRPr="00E00F13">
        <w:rPr>
          <w:rFonts w:ascii="Arial" w:hAnsi="Arial" w:cs="Arial"/>
          <w:sz w:val="24"/>
          <w:szCs w:val="24"/>
        </w:rPr>
        <w:t>,</w:t>
      </w:r>
      <w:r w:rsidRPr="00E00F13">
        <w:rPr>
          <w:rFonts w:ascii="Arial" w:hAnsi="Arial" w:cs="Arial"/>
          <w:sz w:val="24"/>
          <w:szCs w:val="24"/>
        </w:rPr>
        <w:t xml:space="preserve"> pues se trata de que proyectos de agua y saneamiento básico puedan ser ejecutados por las mismas organizaciones comunitarias. Naturalmente, a partir de un proceso en el que hayan completado exitosamente las fases previas de la asistencia que el Ministerio de Vivienda, Ciudad y Territorio ofrecerá para tal fin.</w:t>
      </w:r>
      <w:bookmarkStart w:id="99" w:name="_Toc213341857"/>
      <w:bookmarkEnd w:id="96"/>
    </w:p>
    <w:p w14:paraId="5BEEB7E9" w14:textId="77777777" w:rsidR="00C7687E" w:rsidRPr="00E00F13" w:rsidRDefault="00C7687E" w:rsidP="00C7687E">
      <w:pPr>
        <w:spacing w:after="0" w:line="360" w:lineRule="auto"/>
        <w:jc w:val="both"/>
        <w:rPr>
          <w:rFonts w:ascii="Arial" w:hAnsi="Arial" w:cs="Arial"/>
          <w:sz w:val="24"/>
          <w:szCs w:val="24"/>
        </w:rPr>
      </w:pPr>
    </w:p>
    <w:p w14:paraId="1E236225" w14:textId="423A2F7B" w:rsidR="0056248B" w:rsidRPr="00E00F13" w:rsidRDefault="00C7687E" w:rsidP="003A203C">
      <w:pPr>
        <w:pStyle w:val="Ttulo3"/>
        <w:rPr>
          <w:color w:val="auto"/>
        </w:rPr>
      </w:pPr>
      <w:bookmarkStart w:id="100" w:name="_Toc234242829"/>
      <w:r w:rsidRPr="00E00F13">
        <w:rPr>
          <w:color w:val="auto"/>
        </w:rPr>
        <w:t>2.5.</w:t>
      </w:r>
      <w:r w:rsidR="007713EF" w:rsidRPr="00E00F13">
        <w:rPr>
          <w:color w:val="auto"/>
        </w:rPr>
        <w:t>3</w:t>
      </w:r>
      <w:r w:rsidRPr="00E00F13">
        <w:rPr>
          <w:color w:val="auto"/>
        </w:rPr>
        <w:t>.</w:t>
      </w:r>
      <w:r w:rsidR="00E372F2" w:rsidRPr="00E00F13">
        <w:rPr>
          <w:color w:val="auto"/>
        </w:rPr>
        <w:t xml:space="preserve"> Plan </w:t>
      </w:r>
      <w:proofErr w:type="spellStart"/>
      <w:r w:rsidR="00E372F2" w:rsidRPr="00E00F13">
        <w:rPr>
          <w:color w:val="auto"/>
        </w:rPr>
        <w:t>Wüin</w:t>
      </w:r>
      <w:proofErr w:type="spellEnd"/>
      <w:r w:rsidR="00E372F2" w:rsidRPr="00E00F13">
        <w:rPr>
          <w:color w:val="auto"/>
        </w:rPr>
        <w:t xml:space="preserve"> </w:t>
      </w:r>
      <w:proofErr w:type="spellStart"/>
      <w:r w:rsidR="00EE0FB3" w:rsidRPr="00E00F13">
        <w:rPr>
          <w:color w:val="auto"/>
        </w:rPr>
        <w:t>Ü</w:t>
      </w:r>
      <w:r w:rsidR="00E372F2" w:rsidRPr="00E00F13">
        <w:rPr>
          <w:color w:val="auto"/>
        </w:rPr>
        <w:t>lees</w:t>
      </w:r>
      <w:bookmarkEnd w:id="99"/>
      <w:proofErr w:type="spellEnd"/>
      <w:r w:rsidR="00D73495" w:rsidRPr="00E00F13">
        <w:rPr>
          <w:color w:val="auto"/>
        </w:rPr>
        <w:t>: agua limpia</w:t>
      </w:r>
      <w:r w:rsidR="00976B04" w:rsidRPr="00E00F13">
        <w:rPr>
          <w:color w:val="auto"/>
        </w:rPr>
        <w:t>. La Guajira como uno de los departamentos priorizados en este cuatrienio</w:t>
      </w:r>
      <w:bookmarkEnd w:id="100"/>
    </w:p>
    <w:p w14:paraId="0B8CA211" w14:textId="2D322D36" w:rsidR="000A2FFC" w:rsidRPr="00E00F13" w:rsidRDefault="000A2FFC" w:rsidP="0099250F">
      <w:pPr>
        <w:spacing w:after="0" w:line="360" w:lineRule="auto"/>
        <w:jc w:val="both"/>
        <w:rPr>
          <w:rFonts w:ascii="Arial" w:hAnsi="Arial" w:cs="Arial"/>
          <w:sz w:val="24"/>
          <w:szCs w:val="24"/>
        </w:rPr>
      </w:pPr>
    </w:p>
    <w:p w14:paraId="36927E1A" w14:textId="25B34C1E" w:rsidR="00976B04" w:rsidRPr="00E00F13" w:rsidRDefault="00976B04" w:rsidP="00976B04">
      <w:pPr>
        <w:spacing w:after="0" w:line="360" w:lineRule="auto"/>
        <w:jc w:val="both"/>
        <w:rPr>
          <w:rFonts w:ascii="Arial" w:hAnsi="Arial" w:cs="Arial"/>
          <w:sz w:val="24"/>
          <w:szCs w:val="24"/>
        </w:rPr>
      </w:pPr>
      <w:r w:rsidRPr="00E00F13">
        <w:rPr>
          <w:rFonts w:ascii="Arial" w:hAnsi="Arial" w:cs="Arial"/>
          <w:sz w:val="24"/>
          <w:szCs w:val="24"/>
        </w:rPr>
        <w:t>La Guajira es uno los departamentos con atención diferencial y priorizada, junto con Chocó, con metas específicas en vivienda, agua y saneamiento.</w:t>
      </w:r>
    </w:p>
    <w:p w14:paraId="2E6EDF18" w14:textId="77777777" w:rsidR="00976B04" w:rsidRPr="00E00F13" w:rsidRDefault="00976B04" w:rsidP="00976B04">
      <w:pPr>
        <w:spacing w:after="0" w:line="360" w:lineRule="auto"/>
        <w:jc w:val="both"/>
        <w:rPr>
          <w:rFonts w:ascii="Arial" w:hAnsi="Arial" w:cs="Arial"/>
          <w:sz w:val="24"/>
          <w:szCs w:val="24"/>
        </w:rPr>
      </w:pPr>
    </w:p>
    <w:p w14:paraId="6C00F883" w14:textId="51166577" w:rsidR="00976B04" w:rsidRPr="00E00F13" w:rsidRDefault="00976B04" w:rsidP="00976B04">
      <w:pPr>
        <w:spacing w:after="0" w:line="360" w:lineRule="auto"/>
        <w:jc w:val="both"/>
        <w:rPr>
          <w:rFonts w:ascii="Arial" w:hAnsi="Arial" w:cs="Arial"/>
          <w:sz w:val="24"/>
          <w:szCs w:val="24"/>
        </w:rPr>
      </w:pPr>
      <w:r w:rsidRPr="00E00F13">
        <w:rPr>
          <w:rFonts w:ascii="Arial" w:hAnsi="Arial" w:cs="Arial"/>
          <w:sz w:val="24"/>
          <w:szCs w:val="24"/>
        </w:rPr>
        <w:t xml:space="preserve">En el PND 2022–2026, Chocó y La Guajira aparecen mencionados de manera explícita tanto en las Bases del Plan como en el articulado de la Ley 2294 de 2023, dentro de los apartados de “Convergencia regional” y “Ordenamiento del territorio alrededor del agua”. Allí se reconocen como territorios con atención prioritaria en vivienda, agua y saneamiento. </w:t>
      </w:r>
    </w:p>
    <w:p w14:paraId="59171A4E" w14:textId="77777777" w:rsidR="00976B04" w:rsidRPr="00E00F13" w:rsidRDefault="00976B04" w:rsidP="00976B04">
      <w:pPr>
        <w:spacing w:after="0" w:line="360" w:lineRule="auto"/>
        <w:jc w:val="both"/>
        <w:rPr>
          <w:rFonts w:ascii="Arial" w:hAnsi="Arial" w:cs="Arial"/>
          <w:sz w:val="24"/>
          <w:szCs w:val="24"/>
        </w:rPr>
      </w:pPr>
    </w:p>
    <w:p w14:paraId="2FB291E0" w14:textId="4D9E0BAB" w:rsidR="00976B04" w:rsidRPr="00E00F13" w:rsidRDefault="00976B04" w:rsidP="00976B04">
      <w:pPr>
        <w:spacing w:after="0" w:line="360" w:lineRule="auto"/>
        <w:jc w:val="both"/>
        <w:rPr>
          <w:rFonts w:ascii="Arial" w:hAnsi="Arial" w:cs="Arial"/>
          <w:sz w:val="24"/>
          <w:szCs w:val="24"/>
        </w:rPr>
      </w:pPr>
      <w:r w:rsidRPr="00E00F13">
        <w:rPr>
          <w:rFonts w:ascii="Arial" w:hAnsi="Arial" w:cs="Arial"/>
          <w:sz w:val="24"/>
          <w:szCs w:val="24"/>
        </w:rPr>
        <w:t xml:space="preserve">Es por ello, que dentro de los lineamientos de la política Nuestro Hábitat Biodiverso el Plan </w:t>
      </w:r>
      <w:proofErr w:type="spellStart"/>
      <w:r w:rsidRPr="00E00F13">
        <w:rPr>
          <w:rFonts w:ascii="Arial" w:hAnsi="Arial" w:cs="Arial"/>
          <w:sz w:val="24"/>
          <w:szCs w:val="24"/>
        </w:rPr>
        <w:t>Wüin</w:t>
      </w:r>
      <w:proofErr w:type="spellEnd"/>
      <w:r w:rsidRPr="00E00F13">
        <w:rPr>
          <w:rFonts w:ascii="Arial" w:hAnsi="Arial" w:cs="Arial"/>
          <w:sz w:val="24"/>
          <w:szCs w:val="24"/>
        </w:rPr>
        <w:t xml:space="preserve"> </w:t>
      </w:r>
      <w:proofErr w:type="spellStart"/>
      <w:r w:rsidRPr="00E00F13">
        <w:rPr>
          <w:rFonts w:ascii="Arial" w:hAnsi="Arial" w:cs="Arial"/>
          <w:sz w:val="24"/>
          <w:szCs w:val="24"/>
        </w:rPr>
        <w:t>Ülees</w:t>
      </w:r>
      <w:proofErr w:type="spellEnd"/>
      <w:r w:rsidRPr="00E00F13">
        <w:rPr>
          <w:rFonts w:ascii="Arial" w:hAnsi="Arial" w:cs="Arial"/>
          <w:sz w:val="24"/>
          <w:szCs w:val="24"/>
        </w:rPr>
        <w:t xml:space="preserve"> constituye una forma de transitar hacia una atención priorizada en </w:t>
      </w:r>
      <w:r w:rsidR="005052E8" w:rsidRPr="00E00F13">
        <w:rPr>
          <w:rFonts w:ascii="Arial" w:hAnsi="Arial" w:cs="Arial"/>
          <w:sz w:val="24"/>
          <w:szCs w:val="24"/>
        </w:rPr>
        <w:t xml:space="preserve">el caso específico del </w:t>
      </w:r>
      <w:r w:rsidRPr="00E00F13">
        <w:rPr>
          <w:rFonts w:ascii="Arial" w:hAnsi="Arial" w:cs="Arial"/>
          <w:sz w:val="24"/>
          <w:szCs w:val="24"/>
        </w:rPr>
        <w:t xml:space="preserve">agua apta para el consumo humano. </w:t>
      </w:r>
    </w:p>
    <w:p w14:paraId="523DB3E2" w14:textId="77777777" w:rsidR="00976B04" w:rsidRPr="00E00F13" w:rsidRDefault="00976B04" w:rsidP="00976B04">
      <w:pPr>
        <w:spacing w:after="0" w:line="360" w:lineRule="auto"/>
        <w:jc w:val="both"/>
        <w:rPr>
          <w:rFonts w:ascii="Arial" w:hAnsi="Arial" w:cs="Arial"/>
          <w:sz w:val="24"/>
          <w:szCs w:val="24"/>
        </w:rPr>
      </w:pPr>
    </w:p>
    <w:p w14:paraId="7A796FAA" w14:textId="7092FE96" w:rsidR="00976B04" w:rsidRPr="00E00F13" w:rsidRDefault="00976B04" w:rsidP="00976B04">
      <w:pPr>
        <w:spacing w:after="0" w:line="360" w:lineRule="auto"/>
        <w:jc w:val="both"/>
        <w:rPr>
          <w:rFonts w:ascii="Arial" w:hAnsi="Arial" w:cs="Arial"/>
          <w:sz w:val="24"/>
          <w:szCs w:val="24"/>
        </w:rPr>
      </w:pPr>
      <w:r w:rsidRPr="00E00F13">
        <w:rPr>
          <w:rFonts w:ascii="Arial" w:hAnsi="Arial" w:cs="Arial"/>
          <w:sz w:val="24"/>
          <w:szCs w:val="24"/>
        </w:rPr>
        <w:lastRenderedPageBreak/>
        <w:t xml:space="preserve">Se trata de la experiencia de un proyecto de agua para el consumo humano en La Guajira bajo el ordenamiento territorial étnico. En </w:t>
      </w:r>
      <w:proofErr w:type="spellStart"/>
      <w:r w:rsidRPr="00E00F13">
        <w:rPr>
          <w:rFonts w:ascii="Arial" w:hAnsi="Arial" w:cs="Arial"/>
          <w:sz w:val="24"/>
          <w:szCs w:val="24"/>
        </w:rPr>
        <w:t>Wuayunaiki</w:t>
      </w:r>
      <w:proofErr w:type="spellEnd"/>
      <w:r w:rsidRPr="00E00F13">
        <w:rPr>
          <w:rFonts w:ascii="Arial" w:hAnsi="Arial" w:cs="Arial"/>
          <w:sz w:val="24"/>
          <w:szCs w:val="24"/>
        </w:rPr>
        <w:t xml:space="preserve">, </w:t>
      </w:r>
      <w:proofErr w:type="spellStart"/>
      <w:r w:rsidRPr="00E00F13">
        <w:rPr>
          <w:rFonts w:ascii="Arial" w:hAnsi="Arial" w:cs="Arial"/>
          <w:sz w:val="24"/>
          <w:szCs w:val="24"/>
        </w:rPr>
        <w:t>Wüin</w:t>
      </w:r>
      <w:proofErr w:type="spellEnd"/>
      <w:r w:rsidRPr="00E00F13">
        <w:rPr>
          <w:rFonts w:ascii="Arial" w:hAnsi="Arial" w:cs="Arial"/>
          <w:sz w:val="24"/>
          <w:szCs w:val="24"/>
        </w:rPr>
        <w:t xml:space="preserve"> </w:t>
      </w:r>
      <w:proofErr w:type="spellStart"/>
      <w:r w:rsidRPr="00E00F13">
        <w:rPr>
          <w:rFonts w:ascii="Arial" w:hAnsi="Arial" w:cs="Arial"/>
          <w:sz w:val="24"/>
          <w:szCs w:val="24"/>
        </w:rPr>
        <w:t>Ülees</w:t>
      </w:r>
      <w:proofErr w:type="spellEnd"/>
      <w:r w:rsidRPr="00E00F13">
        <w:rPr>
          <w:rFonts w:ascii="Arial" w:hAnsi="Arial" w:cs="Arial"/>
          <w:sz w:val="24"/>
          <w:szCs w:val="24"/>
        </w:rPr>
        <w:t xml:space="preserve"> significa «agua limpia».</w:t>
      </w:r>
    </w:p>
    <w:p w14:paraId="6B4F4A7F" w14:textId="1FBDBFB3" w:rsidR="00976B04" w:rsidRPr="00E00F13" w:rsidRDefault="00976B04" w:rsidP="00976B04">
      <w:pPr>
        <w:spacing w:after="0" w:line="360" w:lineRule="auto"/>
        <w:jc w:val="both"/>
        <w:rPr>
          <w:rFonts w:ascii="Arial" w:hAnsi="Arial" w:cs="Arial"/>
          <w:sz w:val="24"/>
          <w:szCs w:val="24"/>
        </w:rPr>
      </w:pPr>
    </w:p>
    <w:p w14:paraId="6C812FA9" w14:textId="1386635D" w:rsidR="000A2FFC" w:rsidRPr="00E00F13" w:rsidRDefault="000A2FFC" w:rsidP="000A2FFC">
      <w:pPr>
        <w:spacing w:after="0" w:line="360" w:lineRule="auto"/>
        <w:jc w:val="both"/>
        <w:rPr>
          <w:rFonts w:ascii="Arial" w:hAnsi="Arial" w:cs="Arial"/>
          <w:sz w:val="24"/>
          <w:szCs w:val="24"/>
        </w:rPr>
      </w:pPr>
      <w:r w:rsidRPr="00E00F13">
        <w:rPr>
          <w:rFonts w:ascii="Arial" w:hAnsi="Arial" w:cs="Arial"/>
          <w:sz w:val="24"/>
          <w:szCs w:val="24"/>
        </w:rPr>
        <w:t xml:space="preserve">El Plan </w:t>
      </w:r>
      <w:proofErr w:type="spellStart"/>
      <w:r w:rsidRPr="00E00F13">
        <w:rPr>
          <w:rFonts w:ascii="Arial" w:hAnsi="Arial" w:cs="Arial"/>
          <w:sz w:val="24"/>
          <w:szCs w:val="24"/>
        </w:rPr>
        <w:t>Wüin</w:t>
      </w:r>
      <w:proofErr w:type="spellEnd"/>
      <w:r w:rsidRPr="00E00F13">
        <w:rPr>
          <w:rFonts w:ascii="Arial" w:hAnsi="Arial" w:cs="Arial"/>
          <w:sz w:val="24"/>
          <w:szCs w:val="24"/>
        </w:rPr>
        <w:t xml:space="preserve"> </w:t>
      </w:r>
      <w:proofErr w:type="spellStart"/>
      <w:r w:rsidRPr="00E00F13">
        <w:rPr>
          <w:rFonts w:ascii="Arial" w:hAnsi="Arial" w:cs="Arial"/>
          <w:sz w:val="24"/>
          <w:szCs w:val="24"/>
        </w:rPr>
        <w:t>Ülees</w:t>
      </w:r>
      <w:proofErr w:type="spellEnd"/>
      <w:r w:rsidRPr="00E00F13">
        <w:rPr>
          <w:rFonts w:ascii="Arial" w:hAnsi="Arial" w:cs="Arial"/>
          <w:sz w:val="24"/>
          <w:szCs w:val="24"/>
        </w:rPr>
        <w:t xml:space="preserve"> surge como una estrategia del MVCT para poder movilizar diferentes actores con el fin de aumentar el acceso al agua para el consumo humano de las comunidades </w:t>
      </w:r>
      <w:proofErr w:type="spellStart"/>
      <w:r w:rsidRPr="00E00F13">
        <w:rPr>
          <w:rFonts w:ascii="Arial" w:hAnsi="Arial" w:cs="Arial"/>
          <w:sz w:val="24"/>
          <w:szCs w:val="24"/>
        </w:rPr>
        <w:t>Wayúu</w:t>
      </w:r>
      <w:proofErr w:type="spellEnd"/>
      <w:r w:rsidRPr="00E00F13">
        <w:rPr>
          <w:rFonts w:ascii="Arial" w:hAnsi="Arial" w:cs="Arial"/>
          <w:sz w:val="24"/>
          <w:szCs w:val="24"/>
        </w:rPr>
        <w:t xml:space="preserve"> de la Alta Guajira</w:t>
      </w:r>
      <w:r w:rsidR="00976B04" w:rsidRPr="00E00F13">
        <w:rPr>
          <w:rFonts w:ascii="Arial" w:hAnsi="Arial" w:cs="Arial"/>
          <w:sz w:val="24"/>
          <w:szCs w:val="24"/>
        </w:rPr>
        <w:t>, en el marco de la priorización del gobierno durante el cuatrienio 2022-2026</w:t>
      </w:r>
      <w:r w:rsidRPr="00E00F13">
        <w:rPr>
          <w:rFonts w:ascii="Arial" w:hAnsi="Arial" w:cs="Arial"/>
          <w:sz w:val="24"/>
          <w:szCs w:val="24"/>
        </w:rPr>
        <w:t>. La puesta en marcha de este plan estuvo directamente relacionada con la Sentencia T-302 de 2017, la cual establece el estado de cosas inconstitucional (ECI) en los municipios de Uribia, Manaure, Maicao y Riohacha del departamento de La Guajira.</w:t>
      </w:r>
    </w:p>
    <w:p w14:paraId="19098AC0" w14:textId="77777777" w:rsidR="000A2FFC" w:rsidRPr="00E00F13" w:rsidRDefault="000A2FFC" w:rsidP="000A2FFC">
      <w:pPr>
        <w:spacing w:after="0" w:line="360" w:lineRule="auto"/>
        <w:jc w:val="both"/>
        <w:rPr>
          <w:rFonts w:ascii="Arial" w:hAnsi="Arial" w:cs="Arial"/>
          <w:sz w:val="24"/>
          <w:szCs w:val="24"/>
        </w:rPr>
      </w:pPr>
    </w:p>
    <w:p w14:paraId="330E4F12" w14:textId="77777777" w:rsidR="000A2FFC" w:rsidRPr="00E00F13" w:rsidRDefault="000A2FFC" w:rsidP="000A2FFC">
      <w:pPr>
        <w:spacing w:after="0" w:line="360" w:lineRule="auto"/>
        <w:jc w:val="both"/>
        <w:rPr>
          <w:rFonts w:ascii="Arial" w:hAnsi="Arial" w:cs="Arial"/>
          <w:sz w:val="24"/>
          <w:szCs w:val="24"/>
        </w:rPr>
      </w:pPr>
      <w:r w:rsidRPr="00E00F13">
        <w:rPr>
          <w:rFonts w:ascii="Arial" w:hAnsi="Arial" w:cs="Arial"/>
          <w:sz w:val="24"/>
          <w:szCs w:val="24"/>
        </w:rPr>
        <w:t xml:space="preserve">El Plan </w:t>
      </w:r>
      <w:proofErr w:type="spellStart"/>
      <w:r w:rsidRPr="00E00F13">
        <w:rPr>
          <w:rFonts w:ascii="Arial" w:hAnsi="Arial" w:cs="Arial"/>
          <w:sz w:val="24"/>
          <w:szCs w:val="24"/>
        </w:rPr>
        <w:t>Wüin</w:t>
      </w:r>
      <w:proofErr w:type="spellEnd"/>
      <w:r w:rsidRPr="00E00F13">
        <w:rPr>
          <w:rFonts w:ascii="Arial" w:hAnsi="Arial" w:cs="Arial"/>
          <w:sz w:val="24"/>
          <w:szCs w:val="24"/>
        </w:rPr>
        <w:t xml:space="preserve"> </w:t>
      </w:r>
      <w:proofErr w:type="spellStart"/>
      <w:r w:rsidRPr="00E00F13">
        <w:rPr>
          <w:rFonts w:ascii="Arial" w:hAnsi="Arial" w:cs="Arial"/>
          <w:sz w:val="24"/>
          <w:szCs w:val="24"/>
        </w:rPr>
        <w:t>Ülees</w:t>
      </w:r>
      <w:proofErr w:type="spellEnd"/>
      <w:r w:rsidRPr="00E00F13">
        <w:rPr>
          <w:rFonts w:ascii="Arial" w:hAnsi="Arial" w:cs="Arial"/>
          <w:sz w:val="24"/>
          <w:szCs w:val="24"/>
        </w:rPr>
        <w:t xml:space="preserve"> consiste en combinar las acciones que el MVCT venía adelantando del gobierno anterior con un nuevo enfoque basado en el ordenamiento territorial de las comunidades </w:t>
      </w:r>
      <w:proofErr w:type="spellStart"/>
      <w:r w:rsidRPr="00E00F13">
        <w:rPr>
          <w:rFonts w:ascii="Arial" w:hAnsi="Arial" w:cs="Arial"/>
          <w:sz w:val="24"/>
          <w:szCs w:val="24"/>
        </w:rPr>
        <w:t>Wayúu</w:t>
      </w:r>
      <w:proofErr w:type="spellEnd"/>
      <w:r w:rsidRPr="00E00F13">
        <w:rPr>
          <w:rFonts w:ascii="Arial" w:hAnsi="Arial" w:cs="Arial"/>
          <w:sz w:val="24"/>
          <w:szCs w:val="24"/>
        </w:rPr>
        <w:t xml:space="preserve">. Además, se basa en la suma de esfuerzos de diferentes actores que están haciendo intervención en esta zona y que pueden aportar al objetivo. </w:t>
      </w:r>
    </w:p>
    <w:p w14:paraId="46FC35F0" w14:textId="77777777" w:rsidR="000A2FFC" w:rsidRPr="00E00F13" w:rsidRDefault="000A2FFC" w:rsidP="000A2FFC">
      <w:pPr>
        <w:spacing w:after="0" w:line="360" w:lineRule="auto"/>
        <w:jc w:val="both"/>
        <w:rPr>
          <w:rFonts w:ascii="Arial" w:hAnsi="Arial" w:cs="Arial"/>
          <w:sz w:val="24"/>
          <w:szCs w:val="24"/>
        </w:rPr>
      </w:pPr>
    </w:p>
    <w:p w14:paraId="54AE0E34" w14:textId="399E204A" w:rsidR="000A2FFC" w:rsidRPr="00E00F13" w:rsidRDefault="000A2FFC" w:rsidP="000A2FFC">
      <w:pPr>
        <w:spacing w:after="0" w:line="360" w:lineRule="auto"/>
        <w:jc w:val="both"/>
        <w:rPr>
          <w:rFonts w:ascii="Arial" w:hAnsi="Arial" w:cs="Arial"/>
          <w:b/>
          <w:bCs/>
          <w:sz w:val="24"/>
          <w:szCs w:val="24"/>
        </w:rPr>
      </w:pPr>
      <w:r w:rsidRPr="00E00F13">
        <w:rPr>
          <w:rFonts w:ascii="Arial" w:hAnsi="Arial" w:cs="Arial"/>
          <w:b/>
          <w:bCs/>
          <w:sz w:val="24"/>
          <w:szCs w:val="24"/>
        </w:rPr>
        <w:t>Guajira Azul</w:t>
      </w:r>
      <w:r w:rsidR="00EE0FB3" w:rsidRPr="00E00F13">
        <w:rPr>
          <w:rFonts w:ascii="Arial" w:hAnsi="Arial" w:cs="Arial"/>
          <w:b/>
          <w:bCs/>
          <w:sz w:val="24"/>
          <w:szCs w:val="24"/>
        </w:rPr>
        <w:t xml:space="preserve">: un modelo que no entiende la cultura </w:t>
      </w:r>
      <w:proofErr w:type="spellStart"/>
      <w:r w:rsidR="00EE0FB3" w:rsidRPr="00E00F13">
        <w:rPr>
          <w:rFonts w:ascii="Arial" w:hAnsi="Arial" w:cs="Arial"/>
          <w:b/>
          <w:bCs/>
          <w:sz w:val="24"/>
          <w:szCs w:val="24"/>
        </w:rPr>
        <w:t>Wayúu</w:t>
      </w:r>
      <w:proofErr w:type="spellEnd"/>
    </w:p>
    <w:p w14:paraId="3463CED0" w14:textId="11F89CAB" w:rsidR="000A2FFC" w:rsidRPr="00E00F13" w:rsidRDefault="000A2FFC" w:rsidP="000A2FFC">
      <w:pPr>
        <w:spacing w:after="0" w:line="360" w:lineRule="auto"/>
        <w:jc w:val="both"/>
        <w:rPr>
          <w:rFonts w:ascii="Arial" w:hAnsi="Arial" w:cs="Arial"/>
          <w:sz w:val="24"/>
          <w:szCs w:val="24"/>
        </w:rPr>
      </w:pPr>
      <w:r w:rsidRPr="00E00F13">
        <w:rPr>
          <w:rFonts w:ascii="Arial" w:hAnsi="Arial" w:cs="Arial"/>
          <w:sz w:val="24"/>
          <w:szCs w:val="24"/>
        </w:rPr>
        <w:t xml:space="preserve">Durante el gobierno del presidente Iván Duque el enfoque que tuvo el </w:t>
      </w:r>
      <w:r w:rsidR="00EE0FB3" w:rsidRPr="00E00F13">
        <w:rPr>
          <w:rFonts w:ascii="Arial" w:hAnsi="Arial" w:cs="Arial"/>
          <w:sz w:val="24"/>
          <w:szCs w:val="24"/>
        </w:rPr>
        <w:t xml:space="preserve">Viceministerio de Agua y Saneamiento Básico </w:t>
      </w:r>
      <w:r w:rsidRPr="00E00F13">
        <w:rPr>
          <w:rFonts w:ascii="Arial" w:hAnsi="Arial" w:cs="Arial"/>
          <w:sz w:val="24"/>
          <w:szCs w:val="24"/>
        </w:rPr>
        <w:t xml:space="preserve">para la atención a la </w:t>
      </w:r>
      <w:r w:rsidR="00EE0FB3" w:rsidRPr="00E00F13">
        <w:rPr>
          <w:rFonts w:ascii="Arial" w:hAnsi="Arial" w:cs="Arial"/>
          <w:sz w:val="24"/>
          <w:szCs w:val="24"/>
        </w:rPr>
        <w:t>S</w:t>
      </w:r>
      <w:r w:rsidRPr="00E00F13">
        <w:rPr>
          <w:rFonts w:ascii="Arial" w:hAnsi="Arial" w:cs="Arial"/>
          <w:sz w:val="24"/>
          <w:szCs w:val="24"/>
        </w:rPr>
        <w:t xml:space="preserve">entencia T-302 fue la construcción de grandes infraestructuras denominadas pilas públicas. Estas infraestructuras consistían en la construcción de un módulo central en el que se llevaba a cabo la extracción de agua desde fuentes hídricas subterráneas, el almacenamiento en un gran tanque y la distribución a través de carro tanques. </w:t>
      </w:r>
    </w:p>
    <w:p w14:paraId="099EFD81" w14:textId="77777777" w:rsidR="00EE0FB3" w:rsidRPr="00E00F13" w:rsidRDefault="00EE0FB3" w:rsidP="000A2FFC">
      <w:pPr>
        <w:spacing w:after="0" w:line="360" w:lineRule="auto"/>
        <w:jc w:val="both"/>
        <w:rPr>
          <w:rFonts w:ascii="Arial" w:hAnsi="Arial" w:cs="Arial"/>
          <w:sz w:val="24"/>
          <w:szCs w:val="24"/>
        </w:rPr>
      </w:pPr>
    </w:p>
    <w:p w14:paraId="2242E9AB" w14:textId="64508655" w:rsidR="00EE0FB3" w:rsidRPr="00E00F13" w:rsidRDefault="000A2FFC" w:rsidP="000A2FFC">
      <w:pPr>
        <w:spacing w:after="0" w:line="360" w:lineRule="auto"/>
        <w:jc w:val="both"/>
        <w:rPr>
          <w:rFonts w:ascii="Arial" w:hAnsi="Arial" w:cs="Arial"/>
          <w:sz w:val="24"/>
          <w:szCs w:val="24"/>
        </w:rPr>
      </w:pPr>
      <w:r w:rsidRPr="00E00F13">
        <w:rPr>
          <w:rFonts w:ascii="Arial" w:hAnsi="Arial" w:cs="Arial"/>
          <w:sz w:val="24"/>
          <w:szCs w:val="24"/>
        </w:rPr>
        <w:t xml:space="preserve">El MVCT alcanzó a construir </w:t>
      </w:r>
      <w:r w:rsidR="00EE0FB3" w:rsidRPr="00E00F13">
        <w:rPr>
          <w:rFonts w:ascii="Arial" w:hAnsi="Arial" w:cs="Arial"/>
          <w:sz w:val="24"/>
          <w:szCs w:val="24"/>
        </w:rPr>
        <w:t>tres</w:t>
      </w:r>
      <w:r w:rsidRPr="00E00F13">
        <w:rPr>
          <w:rFonts w:ascii="Arial" w:hAnsi="Arial" w:cs="Arial"/>
          <w:sz w:val="24"/>
          <w:szCs w:val="24"/>
        </w:rPr>
        <w:t xml:space="preserve"> módulos: </w:t>
      </w:r>
      <w:proofErr w:type="spellStart"/>
      <w:r w:rsidRPr="00E00F13">
        <w:rPr>
          <w:rFonts w:ascii="Arial" w:hAnsi="Arial" w:cs="Arial"/>
          <w:sz w:val="24"/>
          <w:szCs w:val="24"/>
        </w:rPr>
        <w:t>Sararo</w:t>
      </w:r>
      <w:proofErr w:type="spellEnd"/>
      <w:r w:rsidRPr="00E00F13">
        <w:rPr>
          <w:rFonts w:ascii="Arial" w:hAnsi="Arial" w:cs="Arial"/>
          <w:sz w:val="24"/>
          <w:szCs w:val="24"/>
        </w:rPr>
        <w:t xml:space="preserve">, Casa Azul y </w:t>
      </w:r>
      <w:proofErr w:type="spellStart"/>
      <w:r w:rsidRPr="00E00F13">
        <w:rPr>
          <w:rFonts w:ascii="Arial" w:hAnsi="Arial" w:cs="Arial"/>
          <w:sz w:val="24"/>
          <w:szCs w:val="24"/>
        </w:rPr>
        <w:t>Wimpeshi</w:t>
      </w:r>
      <w:proofErr w:type="spellEnd"/>
      <w:r w:rsidRPr="00E00F13">
        <w:rPr>
          <w:rFonts w:ascii="Arial" w:hAnsi="Arial" w:cs="Arial"/>
          <w:sz w:val="24"/>
          <w:szCs w:val="24"/>
        </w:rPr>
        <w:t xml:space="preserve">. Este último fue construido mediante la modalidad de obras por impuestos por la empresa ENEL. </w:t>
      </w:r>
    </w:p>
    <w:p w14:paraId="003E580E" w14:textId="77777777" w:rsidR="007042D4" w:rsidRPr="00E00F13" w:rsidRDefault="007042D4" w:rsidP="000A2FFC">
      <w:pPr>
        <w:spacing w:after="0" w:line="360" w:lineRule="auto"/>
        <w:jc w:val="both"/>
        <w:rPr>
          <w:rFonts w:ascii="Arial" w:hAnsi="Arial" w:cs="Arial"/>
          <w:sz w:val="24"/>
          <w:szCs w:val="24"/>
        </w:rPr>
      </w:pPr>
    </w:p>
    <w:p w14:paraId="033A1366" w14:textId="77777777" w:rsidR="000A2FFC" w:rsidRPr="00E00F13" w:rsidRDefault="000A2FFC" w:rsidP="000A2FFC">
      <w:pPr>
        <w:spacing w:after="0" w:line="360" w:lineRule="auto"/>
        <w:jc w:val="both"/>
        <w:rPr>
          <w:rFonts w:ascii="Arial" w:hAnsi="Arial" w:cs="Arial"/>
          <w:sz w:val="24"/>
          <w:szCs w:val="24"/>
        </w:rPr>
      </w:pPr>
      <w:r w:rsidRPr="00E00F13">
        <w:rPr>
          <w:rFonts w:ascii="Arial" w:hAnsi="Arial" w:cs="Arial"/>
          <w:sz w:val="24"/>
          <w:szCs w:val="24"/>
        </w:rPr>
        <w:lastRenderedPageBreak/>
        <w:t xml:space="preserve">Este modelo tiene un problema central y es que no se atiende a la forma en la que el pueblo </w:t>
      </w:r>
      <w:proofErr w:type="spellStart"/>
      <w:r w:rsidRPr="00E00F13">
        <w:rPr>
          <w:rFonts w:ascii="Arial" w:hAnsi="Arial" w:cs="Arial"/>
          <w:sz w:val="24"/>
          <w:szCs w:val="24"/>
        </w:rPr>
        <w:t>Wayúu</w:t>
      </w:r>
      <w:proofErr w:type="spellEnd"/>
      <w:r w:rsidRPr="00E00F13">
        <w:rPr>
          <w:rFonts w:ascii="Arial" w:hAnsi="Arial" w:cs="Arial"/>
          <w:sz w:val="24"/>
          <w:szCs w:val="24"/>
        </w:rPr>
        <w:t xml:space="preserve"> entiende la propiedad de la tierra. Según la cultura de este pueblo los recursos que existen en el territorio de cada ranchería son propiedad de la familia o clan dueño de cada ranchería, eso incluye el agua que sale del suelo y las decisiones sobre la infraestructura que se construye en ellas. Teniendo lo anterior en cuenta, el agua termina convirtiéndose en un arma en los conflictos inter </w:t>
      </w:r>
      <w:proofErr w:type="spellStart"/>
      <w:r w:rsidRPr="00E00F13">
        <w:rPr>
          <w:rFonts w:ascii="Arial" w:hAnsi="Arial" w:cs="Arial"/>
          <w:sz w:val="24"/>
          <w:szCs w:val="24"/>
        </w:rPr>
        <w:t>claniles</w:t>
      </w:r>
      <w:proofErr w:type="spellEnd"/>
      <w:r w:rsidRPr="00E00F13">
        <w:rPr>
          <w:rFonts w:ascii="Arial" w:hAnsi="Arial" w:cs="Arial"/>
          <w:sz w:val="24"/>
          <w:szCs w:val="24"/>
        </w:rPr>
        <w:t xml:space="preserve">. </w:t>
      </w:r>
    </w:p>
    <w:p w14:paraId="5E3E759B" w14:textId="48184C24" w:rsidR="1D068790" w:rsidRPr="00E00F13" w:rsidRDefault="1D068790" w:rsidP="1D068790">
      <w:pPr>
        <w:spacing w:after="0" w:line="360" w:lineRule="auto"/>
        <w:jc w:val="both"/>
        <w:rPr>
          <w:rFonts w:ascii="Arial" w:hAnsi="Arial" w:cs="Arial"/>
          <w:sz w:val="24"/>
          <w:szCs w:val="24"/>
        </w:rPr>
      </w:pPr>
    </w:p>
    <w:p w14:paraId="0640B74B" w14:textId="0E52417F" w:rsidR="007042D4" w:rsidRPr="00E00F13" w:rsidRDefault="000A2FFC" w:rsidP="000A2FFC">
      <w:pPr>
        <w:spacing w:after="0" w:line="360" w:lineRule="auto"/>
        <w:jc w:val="both"/>
        <w:rPr>
          <w:rFonts w:ascii="Arial" w:hAnsi="Arial" w:cs="Arial"/>
          <w:sz w:val="24"/>
          <w:szCs w:val="24"/>
        </w:rPr>
      </w:pPr>
      <w:r w:rsidRPr="00E00F13">
        <w:rPr>
          <w:rFonts w:ascii="Arial" w:hAnsi="Arial" w:cs="Arial"/>
          <w:sz w:val="24"/>
          <w:szCs w:val="24"/>
        </w:rPr>
        <w:t>E</w:t>
      </w:r>
      <w:r w:rsidR="00EE0FB3" w:rsidRPr="00E00F13">
        <w:rPr>
          <w:rFonts w:ascii="Arial" w:hAnsi="Arial" w:cs="Arial"/>
          <w:sz w:val="24"/>
          <w:szCs w:val="24"/>
        </w:rPr>
        <w:t xml:space="preserve">s así </w:t>
      </w:r>
      <w:proofErr w:type="gramStart"/>
      <w:r w:rsidR="00EE0FB3" w:rsidRPr="00E00F13">
        <w:rPr>
          <w:rFonts w:ascii="Arial" w:hAnsi="Arial" w:cs="Arial"/>
          <w:sz w:val="24"/>
          <w:szCs w:val="24"/>
        </w:rPr>
        <w:t>que</w:t>
      </w:r>
      <w:proofErr w:type="gramEnd"/>
      <w:r w:rsidR="00EE0FB3" w:rsidRPr="00E00F13">
        <w:rPr>
          <w:rFonts w:ascii="Arial" w:hAnsi="Arial" w:cs="Arial"/>
          <w:sz w:val="24"/>
          <w:szCs w:val="24"/>
        </w:rPr>
        <w:t xml:space="preserve"> e</w:t>
      </w:r>
      <w:r w:rsidRPr="00E00F13">
        <w:rPr>
          <w:rFonts w:ascii="Arial" w:hAnsi="Arial" w:cs="Arial"/>
          <w:sz w:val="24"/>
          <w:szCs w:val="24"/>
        </w:rPr>
        <w:t xml:space="preserve">n </w:t>
      </w:r>
      <w:proofErr w:type="spellStart"/>
      <w:r w:rsidRPr="00E00F13">
        <w:rPr>
          <w:rFonts w:ascii="Arial" w:hAnsi="Arial" w:cs="Arial"/>
          <w:sz w:val="24"/>
          <w:szCs w:val="24"/>
        </w:rPr>
        <w:t>Amalipa</w:t>
      </w:r>
      <w:proofErr w:type="spellEnd"/>
      <w:r w:rsidR="002A43EC" w:rsidRPr="00E00F13">
        <w:rPr>
          <w:rFonts w:ascii="Arial" w:hAnsi="Arial" w:cs="Arial"/>
          <w:sz w:val="24"/>
          <w:szCs w:val="24"/>
        </w:rPr>
        <w:t xml:space="preserve"> –una de las rancherías en las que se intentó implementar el modelo de pilas públicas–</w:t>
      </w:r>
      <w:r w:rsidRPr="00E00F13">
        <w:rPr>
          <w:rFonts w:ascii="Arial" w:hAnsi="Arial" w:cs="Arial"/>
          <w:sz w:val="24"/>
          <w:szCs w:val="24"/>
        </w:rPr>
        <w:t xml:space="preserve"> se presentó un problema derivado del desconocimiento del modelo territorial. Al interior de la administración financiera de la pila pública hubo un robo y se sindicó del mismo a la autoridad de la comunidad. </w:t>
      </w:r>
      <w:r w:rsidR="00EE0FB3" w:rsidRPr="00E00F13">
        <w:rPr>
          <w:rFonts w:ascii="Arial" w:hAnsi="Arial" w:cs="Arial"/>
          <w:sz w:val="24"/>
          <w:szCs w:val="24"/>
        </w:rPr>
        <w:t>A</w:t>
      </w:r>
      <w:r w:rsidRPr="00E00F13">
        <w:rPr>
          <w:rFonts w:ascii="Arial" w:hAnsi="Arial" w:cs="Arial"/>
          <w:sz w:val="24"/>
          <w:szCs w:val="24"/>
        </w:rPr>
        <w:t>l sentirse atacad</w:t>
      </w:r>
      <w:r w:rsidR="00EE0FB3" w:rsidRPr="00E00F13">
        <w:rPr>
          <w:rFonts w:ascii="Arial" w:hAnsi="Arial" w:cs="Arial"/>
          <w:sz w:val="24"/>
          <w:szCs w:val="24"/>
        </w:rPr>
        <w:t>a</w:t>
      </w:r>
      <w:r w:rsidRPr="00E00F13">
        <w:rPr>
          <w:rFonts w:ascii="Arial" w:hAnsi="Arial" w:cs="Arial"/>
          <w:sz w:val="24"/>
          <w:szCs w:val="24"/>
        </w:rPr>
        <w:t xml:space="preserve"> y en peligro </w:t>
      </w:r>
      <w:r w:rsidR="00EE0FB3" w:rsidRPr="00E00F13">
        <w:rPr>
          <w:rFonts w:ascii="Arial" w:hAnsi="Arial" w:cs="Arial"/>
          <w:sz w:val="24"/>
          <w:szCs w:val="24"/>
        </w:rPr>
        <w:t xml:space="preserve">la autoridad </w:t>
      </w:r>
      <w:r w:rsidRPr="00E00F13">
        <w:rPr>
          <w:rFonts w:ascii="Arial" w:hAnsi="Arial" w:cs="Arial"/>
          <w:sz w:val="24"/>
          <w:szCs w:val="24"/>
        </w:rPr>
        <w:t>decidió suspender el funcionamiento de la pila pública donde se encontraba la fuente subterránea</w:t>
      </w:r>
      <w:r w:rsidR="00EE0FB3" w:rsidRPr="00E00F13">
        <w:rPr>
          <w:rFonts w:ascii="Arial" w:hAnsi="Arial" w:cs="Arial"/>
          <w:sz w:val="24"/>
          <w:szCs w:val="24"/>
        </w:rPr>
        <w:t>; lo que</w:t>
      </w:r>
      <w:r w:rsidRPr="00E00F13">
        <w:rPr>
          <w:rFonts w:ascii="Arial" w:hAnsi="Arial" w:cs="Arial"/>
          <w:sz w:val="24"/>
          <w:szCs w:val="24"/>
        </w:rPr>
        <w:t xml:space="preserve"> hizo que las pilas aferentes quedaran sin suministro de agua </w:t>
      </w:r>
      <w:r w:rsidR="00EE0FB3" w:rsidRPr="00E00F13">
        <w:rPr>
          <w:rFonts w:ascii="Arial" w:hAnsi="Arial" w:cs="Arial"/>
          <w:sz w:val="24"/>
          <w:szCs w:val="24"/>
        </w:rPr>
        <w:t xml:space="preserve">y, en consecuencia, afectara </w:t>
      </w:r>
      <w:r w:rsidRPr="00E00F13">
        <w:rPr>
          <w:rFonts w:ascii="Arial" w:hAnsi="Arial" w:cs="Arial"/>
          <w:sz w:val="24"/>
          <w:szCs w:val="24"/>
        </w:rPr>
        <w:t>a otras comunidades, generando así</w:t>
      </w:r>
      <w:r w:rsidR="00EE0FB3" w:rsidRPr="00E00F13">
        <w:rPr>
          <w:rFonts w:ascii="Arial" w:hAnsi="Arial" w:cs="Arial"/>
          <w:sz w:val="24"/>
          <w:szCs w:val="24"/>
        </w:rPr>
        <w:t xml:space="preserve"> </w:t>
      </w:r>
      <w:r w:rsidRPr="00E00F13">
        <w:rPr>
          <w:rFonts w:ascii="Arial" w:hAnsi="Arial" w:cs="Arial"/>
          <w:sz w:val="24"/>
          <w:szCs w:val="24"/>
        </w:rPr>
        <w:t xml:space="preserve">tensión entre las diferentes familias. Este conflicto terminó involucrando al </w:t>
      </w:r>
      <w:r w:rsidR="00EE0FB3" w:rsidRPr="00E00F13">
        <w:rPr>
          <w:rFonts w:ascii="Arial" w:hAnsi="Arial" w:cs="Arial"/>
          <w:sz w:val="24"/>
          <w:szCs w:val="24"/>
        </w:rPr>
        <w:t>M</w:t>
      </w:r>
      <w:r w:rsidRPr="00E00F13">
        <w:rPr>
          <w:rFonts w:ascii="Arial" w:hAnsi="Arial" w:cs="Arial"/>
          <w:sz w:val="24"/>
          <w:szCs w:val="24"/>
        </w:rPr>
        <w:t xml:space="preserve">inisterio del </w:t>
      </w:r>
      <w:r w:rsidR="00EE0FB3" w:rsidRPr="00E00F13">
        <w:rPr>
          <w:rFonts w:ascii="Arial" w:hAnsi="Arial" w:cs="Arial"/>
          <w:sz w:val="24"/>
          <w:szCs w:val="24"/>
        </w:rPr>
        <w:t>I</w:t>
      </w:r>
      <w:r w:rsidRPr="00E00F13">
        <w:rPr>
          <w:rFonts w:ascii="Arial" w:hAnsi="Arial" w:cs="Arial"/>
          <w:sz w:val="24"/>
          <w:szCs w:val="24"/>
        </w:rPr>
        <w:t>nterior</w:t>
      </w:r>
      <w:r w:rsidR="00EE0FB3" w:rsidRPr="00E00F13">
        <w:rPr>
          <w:rFonts w:ascii="Arial" w:hAnsi="Arial" w:cs="Arial"/>
          <w:sz w:val="24"/>
          <w:szCs w:val="24"/>
        </w:rPr>
        <w:t>,</w:t>
      </w:r>
      <w:r w:rsidRPr="00E00F13">
        <w:rPr>
          <w:rFonts w:ascii="Arial" w:hAnsi="Arial" w:cs="Arial"/>
          <w:sz w:val="24"/>
          <w:szCs w:val="24"/>
        </w:rPr>
        <w:t xml:space="preserve"> por el escalamiento de las tensiones</w:t>
      </w:r>
      <w:r w:rsidR="00EE0FB3" w:rsidRPr="00E00F13">
        <w:rPr>
          <w:rFonts w:ascii="Arial" w:hAnsi="Arial" w:cs="Arial"/>
          <w:sz w:val="24"/>
          <w:szCs w:val="24"/>
        </w:rPr>
        <w:t>.</w:t>
      </w:r>
    </w:p>
    <w:p w14:paraId="39CFC518" w14:textId="77777777" w:rsidR="007042D4" w:rsidRPr="00E00F13" w:rsidRDefault="007042D4" w:rsidP="000A2FFC">
      <w:pPr>
        <w:spacing w:after="0" w:line="360" w:lineRule="auto"/>
        <w:jc w:val="both"/>
        <w:rPr>
          <w:rFonts w:ascii="Arial" w:hAnsi="Arial" w:cs="Arial"/>
          <w:sz w:val="24"/>
          <w:szCs w:val="24"/>
        </w:rPr>
      </w:pPr>
    </w:p>
    <w:p w14:paraId="6606EFAB" w14:textId="72C90428" w:rsidR="000A2FFC" w:rsidRPr="00E00F13" w:rsidRDefault="00EE0FB3" w:rsidP="000A2FFC">
      <w:pPr>
        <w:spacing w:after="0" w:line="360" w:lineRule="auto"/>
        <w:jc w:val="both"/>
        <w:rPr>
          <w:rFonts w:ascii="Arial" w:hAnsi="Arial" w:cs="Arial"/>
          <w:sz w:val="24"/>
          <w:szCs w:val="24"/>
        </w:rPr>
      </w:pPr>
      <w:r w:rsidRPr="00E00F13">
        <w:rPr>
          <w:rFonts w:ascii="Arial" w:hAnsi="Arial" w:cs="Arial"/>
          <w:sz w:val="24"/>
          <w:szCs w:val="24"/>
        </w:rPr>
        <w:t xml:space="preserve">Esta experiencia </w:t>
      </w:r>
      <w:r w:rsidR="007042D4" w:rsidRPr="00E00F13">
        <w:rPr>
          <w:rFonts w:ascii="Arial" w:hAnsi="Arial" w:cs="Arial"/>
          <w:sz w:val="24"/>
          <w:szCs w:val="24"/>
        </w:rPr>
        <w:t>del modelo de pilas públicas sin entender ni atender el enfoque étnico y cultural</w:t>
      </w:r>
      <w:r w:rsidRPr="00E00F13">
        <w:rPr>
          <w:rFonts w:ascii="Arial" w:hAnsi="Arial" w:cs="Arial"/>
          <w:sz w:val="24"/>
          <w:szCs w:val="24"/>
        </w:rPr>
        <w:t xml:space="preserve"> constituyó </w:t>
      </w:r>
      <w:r w:rsidR="000A2FFC" w:rsidRPr="00E00F13">
        <w:rPr>
          <w:rFonts w:ascii="Arial" w:hAnsi="Arial" w:cs="Arial"/>
          <w:sz w:val="24"/>
          <w:szCs w:val="24"/>
        </w:rPr>
        <w:t>un ejemplo de acción con daño</w:t>
      </w:r>
      <w:r w:rsidR="007042D4" w:rsidRPr="00E00F13">
        <w:rPr>
          <w:rFonts w:ascii="Arial" w:hAnsi="Arial" w:cs="Arial"/>
          <w:sz w:val="24"/>
          <w:szCs w:val="24"/>
        </w:rPr>
        <w:t>.</w:t>
      </w:r>
    </w:p>
    <w:p w14:paraId="33255521" w14:textId="77777777" w:rsidR="000A2FFC" w:rsidRPr="00E00F13" w:rsidRDefault="000A2FFC" w:rsidP="000A2FFC">
      <w:pPr>
        <w:spacing w:after="0" w:line="360" w:lineRule="auto"/>
        <w:jc w:val="both"/>
        <w:rPr>
          <w:rFonts w:ascii="Arial" w:hAnsi="Arial" w:cs="Arial"/>
          <w:sz w:val="24"/>
          <w:szCs w:val="24"/>
        </w:rPr>
      </w:pPr>
    </w:p>
    <w:p w14:paraId="3A3FB3F2" w14:textId="440DFC0C" w:rsidR="000A2FFC" w:rsidRPr="00E00F13" w:rsidRDefault="000A2FFC" w:rsidP="000A2FFC">
      <w:pPr>
        <w:spacing w:after="0" w:line="360" w:lineRule="auto"/>
        <w:jc w:val="both"/>
        <w:rPr>
          <w:rFonts w:ascii="Arial" w:hAnsi="Arial" w:cs="Arial"/>
          <w:b/>
          <w:bCs/>
          <w:sz w:val="24"/>
          <w:szCs w:val="24"/>
        </w:rPr>
      </w:pPr>
      <w:r w:rsidRPr="00E00F13">
        <w:rPr>
          <w:rFonts w:ascii="Arial" w:hAnsi="Arial" w:cs="Arial"/>
          <w:b/>
          <w:bCs/>
          <w:sz w:val="24"/>
          <w:szCs w:val="24"/>
        </w:rPr>
        <w:t>Gobierno de Gustavo Petro y modelo de rehabilitación de infraestructura</w:t>
      </w:r>
    </w:p>
    <w:p w14:paraId="53B85FEF" w14:textId="6A0F29F5" w:rsidR="007042D4" w:rsidRPr="00E00F13" w:rsidRDefault="00A02796" w:rsidP="000A2FFC">
      <w:pPr>
        <w:spacing w:after="0" w:line="360" w:lineRule="auto"/>
        <w:jc w:val="both"/>
        <w:rPr>
          <w:rFonts w:ascii="Arial" w:hAnsi="Arial" w:cs="Arial"/>
          <w:sz w:val="24"/>
          <w:szCs w:val="24"/>
        </w:rPr>
      </w:pPr>
      <w:r w:rsidRPr="00E00F13">
        <w:rPr>
          <w:rFonts w:ascii="Arial" w:hAnsi="Arial" w:cs="Arial"/>
          <w:sz w:val="24"/>
          <w:szCs w:val="24"/>
        </w:rPr>
        <w:t>Como antecedente hay que mencionar que e</w:t>
      </w:r>
      <w:r w:rsidR="007042D4" w:rsidRPr="00E00F13">
        <w:rPr>
          <w:rFonts w:ascii="Arial" w:hAnsi="Arial" w:cs="Arial"/>
          <w:sz w:val="24"/>
          <w:szCs w:val="24"/>
        </w:rPr>
        <w:t>l</w:t>
      </w:r>
      <w:r w:rsidR="000A2FFC" w:rsidRPr="00E00F13">
        <w:rPr>
          <w:rFonts w:ascii="Arial" w:hAnsi="Arial" w:cs="Arial"/>
          <w:sz w:val="24"/>
          <w:szCs w:val="24"/>
        </w:rPr>
        <w:t xml:space="preserve"> gobierno del </w:t>
      </w:r>
      <w:r w:rsidR="007042D4" w:rsidRPr="00E00F13">
        <w:rPr>
          <w:rFonts w:ascii="Arial" w:hAnsi="Arial" w:cs="Arial"/>
          <w:sz w:val="24"/>
          <w:szCs w:val="24"/>
        </w:rPr>
        <w:t>g</w:t>
      </w:r>
      <w:r w:rsidR="000A2FFC" w:rsidRPr="00E00F13">
        <w:rPr>
          <w:rFonts w:ascii="Arial" w:hAnsi="Arial" w:cs="Arial"/>
          <w:sz w:val="24"/>
          <w:szCs w:val="24"/>
        </w:rPr>
        <w:t xml:space="preserve">eneral Gustavo Rojas Pinilla a mediados de los años 50 desarrolló una estrategia que consistió en la construcción de molinos de viento en varias rancherías a lo largo de toda la </w:t>
      </w:r>
      <w:r w:rsidR="007042D4" w:rsidRPr="00E00F13">
        <w:rPr>
          <w:rFonts w:ascii="Arial" w:hAnsi="Arial" w:cs="Arial"/>
          <w:sz w:val="24"/>
          <w:szCs w:val="24"/>
        </w:rPr>
        <w:t>A</w:t>
      </w:r>
      <w:r w:rsidR="000A2FFC" w:rsidRPr="00E00F13">
        <w:rPr>
          <w:rFonts w:ascii="Arial" w:hAnsi="Arial" w:cs="Arial"/>
          <w:sz w:val="24"/>
          <w:szCs w:val="24"/>
        </w:rPr>
        <w:t xml:space="preserve">lta </w:t>
      </w:r>
      <w:r w:rsidR="00A928C0" w:rsidRPr="00E00F13">
        <w:rPr>
          <w:rFonts w:ascii="Arial" w:hAnsi="Arial" w:cs="Arial"/>
          <w:sz w:val="24"/>
          <w:szCs w:val="24"/>
        </w:rPr>
        <w:t>G</w:t>
      </w:r>
      <w:r w:rsidR="000A2FFC" w:rsidRPr="00E00F13">
        <w:rPr>
          <w:rFonts w:ascii="Arial" w:hAnsi="Arial" w:cs="Arial"/>
          <w:sz w:val="24"/>
          <w:szCs w:val="24"/>
        </w:rPr>
        <w:t>uajira. Estos molinos le</w:t>
      </w:r>
      <w:r w:rsidR="007042D4" w:rsidRPr="00E00F13">
        <w:rPr>
          <w:rFonts w:ascii="Arial" w:hAnsi="Arial" w:cs="Arial"/>
          <w:sz w:val="24"/>
          <w:szCs w:val="24"/>
        </w:rPr>
        <w:t>s</w:t>
      </w:r>
      <w:r w:rsidR="000A2FFC" w:rsidRPr="00E00F13">
        <w:rPr>
          <w:rFonts w:ascii="Arial" w:hAnsi="Arial" w:cs="Arial"/>
          <w:sz w:val="24"/>
          <w:szCs w:val="24"/>
        </w:rPr>
        <w:t xml:space="preserve"> permitieron a las comunidades </w:t>
      </w:r>
      <w:proofErr w:type="spellStart"/>
      <w:r w:rsidR="007042D4" w:rsidRPr="00E00F13">
        <w:rPr>
          <w:rFonts w:ascii="Arial" w:hAnsi="Arial" w:cs="Arial"/>
          <w:sz w:val="24"/>
          <w:szCs w:val="24"/>
        </w:rPr>
        <w:t>W</w:t>
      </w:r>
      <w:r w:rsidR="000A2FFC" w:rsidRPr="00E00F13">
        <w:rPr>
          <w:rFonts w:ascii="Arial" w:hAnsi="Arial" w:cs="Arial"/>
          <w:sz w:val="24"/>
          <w:szCs w:val="24"/>
        </w:rPr>
        <w:t>ay</w:t>
      </w:r>
      <w:r w:rsidR="007042D4" w:rsidRPr="00E00F13">
        <w:rPr>
          <w:rFonts w:ascii="Arial" w:hAnsi="Arial" w:cs="Arial"/>
          <w:sz w:val="24"/>
          <w:szCs w:val="24"/>
        </w:rPr>
        <w:t>ü</w:t>
      </w:r>
      <w:r w:rsidR="000A2FFC" w:rsidRPr="00E00F13">
        <w:rPr>
          <w:rFonts w:ascii="Arial" w:hAnsi="Arial" w:cs="Arial"/>
          <w:sz w:val="24"/>
          <w:szCs w:val="24"/>
        </w:rPr>
        <w:t>u</w:t>
      </w:r>
      <w:proofErr w:type="spellEnd"/>
      <w:r w:rsidR="000A2FFC" w:rsidRPr="00E00F13">
        <w:rPr>
          <w:rFonts w:ascii="Arial" w:hAnsi="Arial" w:cs="Arial"/>
          <w:sz w:val="24"/>
          <w:szCs w:val="24"/>
        </w:rPr>
        <w:t xml:space="preserve"> tener acceso gratuito y ecológico a los acuíferos subterráneos que existían debajo de sus rancherías. A lo largo del siglo XX </w:t>
      </w:r>
      <w:r w:rsidR="007042D4" w:rsidRPr="00E00F13">
        <w:rPr>
          <w:rFonts w:ascii="Arial" w:hAnsi="Arial" w:cs="Arial"/>
          <w:sz w:val="24"/>
          <w:szCs w:val="24"/>
        </w:rPr>
        <w:t>e</w:t>
      </w:r>
      <w:r w:rsidR="000A2FFC" w:rsidRPr="00E00F13">
        <w:rPr>
          <w:rFonts w:ascii="Arial" w:hAnsi="Arial" w:cs="Arial"/>
          <w:sz w:val="24"/>
          <w:szCs w:val="24"/>
        </w:rPr>
        <w:t xml:space="preserve"> inicios del XXI algunos particulares, las alcaldías, la gobernación, el Departamento de Prosperidad Social, la Unidad de Gestión de Riesgo e incluso empresas extranjeras como PDVSA, siguieron este modelo en pequeña escala construyendo algunos sistemas de abastecimiento en </w:t>
      </w:r>
      <w:r w:rsidR="000A2FFC" w:rsidRPr="00E00F13">
        <w:rPr>
          <w:rFonts w:ascii="Arial" w:hAnsi="Arial" w:cs="Arial"/>
          <w:sz w:val="24"/>
          <w:szCs w:val="24"/>
        </w:rPr>
        <w:lastRenderedPageBreak/>
        <w:t xml:space="preserve">rancherías puntuales a lo largo del territorio de los </w:t>
      </w:r>
      <w:r w:rsidR="007042D4" w:rsidRPr="00E00F13">
        <w:rPr>
          <w:rFonts w:ascii="Arial" w:hAnsi="Arial" w:cs="Arial"/>
          <w:sz w:val="24"/>
          <w:szCs w:val="24"/>
        </w:rPr>
        <w:t>cuatro</w:t>
      </w:r>
      <w:r w:rsidR="000A2FFC" w:rsidRPr="00E00F13">
        <w:rPr>
          <w:rFonts w:ascii="Arial" w:hAnsi="Arial" w:cs="Arial"/>
          <w:sz w:val="24"/>
          <w:szCs w:val="24"/>
        </w:rPr>
        <w:t xml:space="preserve"> municipios que cobija la </w:t>
      </w:r>
      <w:r w:rsidR="007042D4" w:rsidRPr="00E00F13">
        <w:rPr>
          <w:rFonts w:ascii="Arial" w:hAnsi="Arial" w:cs="Arial"/>
          <w:sz w:val="24"/>
          <w:szCs w:val="24"/>
        </w:rPr>
        <w:t>S</w:t>
      </w:r>
      <w:r w:rsidR="000A2FFC" w:rsidRPr="00E00F13">
        <w:rPr>
          <w:rFonts w:ascii="Arial" w:hAnsi="Arial" w:cs="Arial"/>
          <w:sz w:val="24"/>
          <w:szCs w:val="24"/>
        </w:rPr>
        <w:t xml:space="preserve">entencia T-302. </w:t>
      </w:r>
    </w:p>
    <w:p w14:paraId="6FB66746" w14:textId="77777777" w:rsidR="007042D4" w:rsidRPr="00E00F13" w:rsidRDefault="007042D4" w:rsidP="000A2FFC">
      <w:pPr>
        <w:spacing w:after="0" w:line="360" w:lineRule="auto"/>
        <w:jc w:val="both"/>
        <w:rPr>
          <w:rFonts w:ascii="Arial" w:hAnsi="Arial" w:cs="Arial"/>
          <w:sz w:val="24"/>
          <w:szCs w:val="24"/>
        </w:rPr>
      </w:pPr>
    </w:p>
    <w:p w14:paraId="38E72667" w14:textId="43A4CFC2" w:rsidR="000A2FFC" w:rsidRPr="00E00F13" w:rsidRDefault="000A2FFC" w:rsidP="000A2FFC">
      <w:pPr>
        <w:spacing w:after="0" w:line="360" w:lineRule="auto"/>
        <w:jc w:val="both"/>
        <w:rPr>
          <w:rFonts w:ascii="Arial" w:hAnsi="Arial" w:cs="Arial"/>
          <w:sz w:val="24"/>
          <w:szCs w:val="24"/>
        </w:rPr>
      </w:pPr>
      <w:r w:rsidRPr="00E00F13">
        <w:rPr>
          <w:rFonts w:ascii="Arial" w:hAnsi="Arial" w:cs="Arial"/>
          <w:sz w:val="24"/>
          <w:szCs w:val="24"/>
        </w:rPr>
        <w:t xml:space="preserve">Sin embargo, estos molinos nunca tuvieron un esquema de aseguramiento, por lo </w:t>
      </w:r>
      <w:proofErr w:type="gramStart"/>
      <w:r w:rsidRPr="00E00F13">
        <w:rPr>
          <w:rFonts w:ascii="Arial" w:hAnsi="Arial" w:cs="Arial"/>
          <w:sz w:val="24"/>
          <w:szCs w:val="24"/>
        </w:rPr>
        <w:t>que</w:t>
      </w:r>
      <w:proofErr w:type="gramEnd"/>
      <w:r w:rsidRPr="00E00F13">
        <w:rPr>
          <w:rFonts w:ascii="Arial" w:hAnsi="Arial" w:cs="Arial"/>
          <w:sz w:val="24"/>
          <w:szCs w:val="24"/>
        </w:rPr>
        <w:t xml:space="preserve"> a pesar de los esfuerzos de las comunidades y sus métodos rudimentarios de reparación y mantenimiento de los sistemas, terminó por hacer del territorio un gran cementerio de infraestructura. </w:t>
      </w:r>
    </w:p>
    <w:p w14:paraId="24C30B89" w14:textId="77777777" w:rsidR="007042D4" w:rsidRPr="00E00F13" w:rsidRDefault="007042D4" w:rsidP="000A2FFC">
      <w:pPr>
        <w:spacing w:after="0" w:line="360" w:lineRule="auto"/>
        <w:jc w:val="both"/>
        <w:rPr>
          <w:rFonts w:ascii="Arial" w:hAnsi="Arial" w:cs="Arial"/>
          <w:sz w:val="24"/>
          <w:szCs w:val="24"/>
        </w:rPr>
      </w:pPr>
    </w:p>
    <w:p w14:paraId="16B90EF1" w14:textId="66257A1F" w:rsidR="000A2FFC" w:rsidRPr="00E00F13" w:rsidRDefault="000A2FFC" w:rsidP="000A2FFC">
      <w:pPr>
        <w:spacing w:after="0" w:line="360" w:lineRule="auto"/>
        <w:jc w:val="both"/>
        <w:rPr>
          <w:rFonts w:ascii="Arial" w:hAnsi="Arial" w:cs="Arial"/>
          <w:sz w:val="24"/>
          <w:szCs w:val="24"/>
        </w:rPr>
      </w:pPr>
      <w:r w:rsidRPr="00E00F13">
        <w:rPr>
          <w:rFonts w:ascii="Arial" w:hAnsi="Arial" w:cs="Arial"/>
          <w:sz w:val="24"/>
          <w:szCs w:val="24"/>
        </w:rPr>
        <w:t xml:space="preserve">A pesar de la falta de un esquema de aseguramiento que terminó por acabar con la infraestructura existente, se probó un punto importante. El método de sistemas pequeños para cada ranchería </w:t>
      </w:r>
      <w:r w:rsidR="008479FB" w:rsidRPr="00E00F13">
        <w:rPr>
          <w:rFonts w:ascii="Arial" w:hAnsi="Arial" w:cs="Arial"/>
          <w:sz w:val="24"/>
          <w:szCs w:val="24"/>
        </w:rPr>
        <w:t xml:space="preserve">sí </w:t>
      </w:r>
      <w:r w:rsidRPr="00E00F13">
        <w:rPr>
          <w:rFonts w:ascii="Arial" w:hAnsi="Arial" w:cs="Arial"/>
          <w:sz w:val="24"/>
          <w:szCs w:val="24"/>
        </w:rPr>
        <w:t xml:space="preserve">atendía al modelo territorial </w:t>
      </w:r>
      <w:proofErr w:type="spellStart"/>
      <w:r w:rsidRPr="00E00F13">
        <w:rPr>
          <w:rFonts w:ascii="Arial" w:hAnsi="Arial" w:cs="Arial"/>
          <w:sz w:val="24"/>
          <w:szCs w:val="24"/>
        </w:rPr>
        <w:t>Wayúu</w:t>
      </w:r>
      <w:proofErr w:type="spellEnd"/>
      <w:r w:rsidRPr="00E00F13">
        <w:rPr>
          <w:rFonts w:ascii="Arial" w:hAnsi="Arial" w:cs="Arial"/>
          <w:sz w:val="24"/>
          <w:szCs w:val="24"/>
        </w:rPr>
        <w:t xml:space="preserve"> y</w:t>
      </w:r>
      <w:r w:rsidR="008479FB" w:rsidRPr="00E00F13">
        <w:rPr>
          <w:rFonts w:ascii="Arial" w:hAnsi="Arial" w:cs="Arial"/>
          <w:sz w:val="24"/>
          <w:szCs w:val="24"/>
        </w:rPr>
        <w:t>,</w:t>
      </w:r>
      <w:r w:rsidRPr="00E00F13">
        <w:rPr>
          <w:rFonts w:ascii="Arial" w:hAnsi="Arial" w:cs="Arial"/>
          <w:sz w:val="24"/>
          <w:szCs w:val="24"/>
        </w:rPr>
        <w:t xml:space="preserve"> en vez de generar conflictos, ayudaba a tejer redes de solidaridad entre comunidades que tenían acceso al agua y otras que no, pero que se encontraban a distancias medias y cortas de estos sistemas. </w:t>
      </w:r>
    </w:p>
    <w:p w14:paraId="46CAEB2D" w14:textId="77777777" w:rsidR="008479FB" w:rsidRPr="00E00F13" w:rsidRDefault="008479FB" w:rsidP="000A2FFC">
      <w:pPr>
        <w:spacing w:after="0" w:line="360" w:lineRule="auto"/>
        <w:jc w:val="both"/>
        <w:rPr>
          <w:rFonts w:ascii="Arial" w:hAnsi="Arial" w:cs="Arial"/>
          <w:sz w:val="24"/>
          <w:szCs w:val="24"/>
        </w:rPr>
      </w:pPr>
    </w:p>
    <w:p w14:paraId="547EFF01" w14:textId="0E4E5254" w:rsidR="000A2FFC" w:rsidRPr="00E00F13" w:rsidRDefault="000A2FFC" w:rsidP="000A2FFC">
      <w:pPr>
        <w:spacing w:after="0" w:line="360" w:lineRule="auto"/>
        <w:jc w:val="both"/>
        <w:rPr>
          <w:rFonts w:ascii="Arial" w:hAnsi="Arial" w:cs="Arial"/>
          <w:sz w:val="24"/>
          <w:szCs w:val="24"/>
        </w:rPr>
      </w:pPr>
      <w:r w:rsidRPr="00E00F13">
        <w:rPr>
          <w:rFonts w:ascii="Arial" w:hAnsi="Arial" w:cs="Arial"/>
          <w:sz w:val="24"/>
          <w:szCs w:val="24"/>
        </w:rPr>
        <w:t>A partir de estas lecciones aprendidas el MVCT construy</w:t>
      </w:r>
      <w:r w:rsidR="008479FB" w:rsidRPr="00E00F13">
        <w:rPr>
          <w:rFonts w:ascii="Arial" w:hAnsi="Arial" w:cs="Arial"/>
          <w:sz w:val="24"/>
          <w:szCs w:val="24"/>
        </w:rPr>
        <w:t>ó</w:t>
      </w:r>
      <w:r w:rsidRPr="00E00F13">
        <w:rPr>
          <w:rFonts w:ascii="Arial" w:hAnsi="Arial" w:cs="Arial"/>
          <w:sz w:val="24"/>
          <w:szCs w:val="24"/>
        </w:rPr>
        <w:t xml:space="preserve"> un modelo en el que se sitúa el énfasis de la ejecución institucional en la rehabilitación de los sistemas que ya existían</w:t>
      </w:r>
      <w:r w:rsidR="008479FB" w:rsidRPr="00E00F13">
        <w:rPr>
          <w:rFonts w:ascii="Arial" w:hAnsi="Arial" w:cs="Arial"/>
          <w:sz w:val="24"/>
          <w:szCs w:val="24"/>
        </w:rPr>
        <w:t>,</w:t>
      </w:r>
      <w:r w:rsidRPr="00E00F13">
        <w:rPr>
          <w:rFonts w:ascii="Arial" w:hAnsi="Arial" w:cs="Arial"/>
          <w:sz w:val="24"/>
          <w:szCs w:val="24"/>
        </w:rPr>
        <w:t xml:space="preserve"> además de adicionar sistemas de tratamiento de agua para que el agua subterránea que viene contaminada por ser agua pesada y que, además, por las condiciones geológicas de la región contiene altas cantidades de sal, se convierta en agua para el consumo humano. Este modelo además está pensado para poder realizar un acompañamiento social y técnico a las comunidades con el fin de fortalecer sus capacidades para </w:t>
      </w:r>
      <w:r w:rsidR="008479FB" w:rsidRPr="00E00F13">
        <w:rPr>
          <w:rFonts w:ascii="Arial" w:hAnsi="Arial" w:cs="Arial"/>
          <w:sz w:val="24"/>
          <w:szCs w:val="24"/>
        </w:rPr>
        <w:t>responder por</w:t>
      </w:r>
      <w:r w:rsidRPr="00E00F13">
        <w:rPr>
          <w:rFonts w:ascii="Arial" w:hAnsi="Arial" w:cs="Arial"/>
          <w:sz w:val="24"/>
          <w:szCs w:val="24"/>
        </w:rPr>
        <w:t xml:space="preserve"> el aseguramiento de las infraestructuras y así garantizar la sostenibilidad de estas en el tiempo. </w:t>
      </w:r>
    </w:p>
    <w:p w14:paraId="4B1C2B6B" w14:textId="77777777" w:rsidR="00A02796" w:rsidRPr="00E00F13" w:rsidRDefault="00A02796" w:rsidP="000A2FFC">
      <w:pPr>
        <w:spacing w:after="0" w:line="360" w:lineRule="auto"/>
        <w:jc w:val="both"/>
        <w:rPr>
          <w:rFonts w:ascii="Arial" w:hAnsi="Arial" w:cs="Arial"/>
          <w:sz w:val="24"/>
          <w:szCs w:val="24"/>
        </w:rPr>
      </w:pPr>
    </w:p>
    <w:p w14:paraId="104EE2CF" w14:textId="77777777" w:rsidR="00A02796" w:rsidRPr="00E00F13" w:rsidRDefault="00A02796" w:rsidP="00A02796">
      <w:pPr>
        <w:spacing w:after="0" w:line="360" w:lineRule="auto"/>
        <w:jc w:val="both"/>
        <w:rPr>
          <w:rFonts w:ascii="Arial" w:hAnsi="Arial" w:cs="Arial"/>
          <w:sz w:val="24"/>
          <w:szCs w:val="24"/>
        </w:rPr>
      </w:pPr>
      <w:r w:rsidRPr="00E00F13">
        <w:rPr>
          <w:rFonts w:ascii="Arial" w:hAnsi="Arial" w:cs="Arial"/>
          <w:sz w:val="24"/>
          <w:szCs w:val="24"/>
        </w:rPr>
        <w:t xml:space="preserve">De cualquier modo, es importante aclarar que la activación del modelo de rehabilitación de sistemas se articuló con el modelo previo de las pilas públicas, especialmente porque este modelo ya contenía recursos de la nación que hacen parte de la supervisión y el acompañamiento del MVCT. Para poder llevar a cabo la implementación del plan completo, el MVCT decidió crear un equipo regional del </w:t>
      </w:r>
      <w:r w:rsidRPr="00E00F13">
        <w:rPr>
          <w:rFonts w:ascii="Arial" w:hAnsi="Arial" w:cs="Arial"/>
          <w:sz w:val="24"/>
          <w:szCs w:val="24"/>
        </w:rPr>
        <w:lastRenderedPageBreak/>
        <w:t>Viceministerio de Agua y Saneamiento Básico con base en Riohacha, con el fin de atender en tiempo real y exclusivamente a esta región.</w:t>
      </w:r>
    </w:p>
    <w:p w14:paraId="2107FE2D" w14:textId="77777777" w:rsidR="00A02796" w:rsidRPr="00E00F13" w:rsidRDefault="00A02796" w:rsidP="000A2FFC">
      <w:pPr>
        <w:spacing w:after="0" w:line="360" w:lineRule="auto"/>
        <w:jc w:val="both"/>
        <w:rPr>
          <w:rFonts w:ascii="Arial" w:hAnsi="Arial" w:cs="Arial"/>
          <w:sz w:val="24"/>
          <w:szCs w:val="24"/>
        </w:rPr>
      </w:pPr>
    </w:p>
    <w:p w14:paraId="38446CF6" w14:textId="4F0E4B52" w:rsidR="008479FB" w:rsidRPr="00E00F13" w:rsidRDefault="00A02796" w:rsidP="000A2FFC">
      <w:pPr>
        <w:spacing w:after="0" w:line="360" w:lineRule="auto"/>
        <w:jc w:val="both"/>
        <w:rPr>
          <w:rFonts w:ascii="Arial" w:hAnsi="Arial" w:cs="Arial"/>
          <w:sz w:val="24"/>
          <w:szCs w:val="24"/>
        </w:rPr>
      </w:pPr>
      <w:r w:rsidRPr="00E00F13">
        <w:rPr>
          <w:rFonts w:ascii="Arial" w:hAnsi="Arial" w:cs="Arial"/>
          <w:sz w:val="24"/>
          <w:szCs w:val="24"/>
        </w:rPr>
        <w:t xml:space="preserve">Esta es una experiencia basada en la necesidad de atender a la población </w:t>
      </w:r>
      <w:proofErr w:type="spellStart"/>
      <w:r w:rsidRPr="00E00F13">
        <w:rPr>
          <w:rFonts w:ascii="Arial" w:hAnsi="Arial" w:cs="Arial"/>
          <w:sz w:val="24"/>
          <w:szCs w:val="24"/>
        </w:rPr>
        <w:t>Wayüu</w:t>
      </w:r>
      <w:proofErr w:type="spellEnd"/>
      <w:r w:rsidRPr="00E00F13">
        <w:rPr>
          <w:rFonts w:ascii="Arial" w:hAnsi="Arial" w:cs="Arial"/>
          <w:sz w:val="24"/>
          <w:szCs w:val="24"/>
        </w:rPr>
        <w:t xml:space="preserve"> según el enfoque étnico que focaliza la atención en los elementos culturales de las poblaciones. A partir de este reconocimiento, y con los aprendizajes obtenidos, el proyecto se transformó de manera estructural, tal y como se ha relatado. Incluso su nombre se cambió a «Centros públicos de abastecimiento», dando cuenta de la cultura de la población étnica que habita en ese territorio.</w:t>
      </w:r>
    </w:p>
    <w:p w14:paraId="27099FD5" w14:textId="25FDAFD2" w:rsidR="000A2FFC" w:rsidRPr="00E00F13" w:rsidRDefault="000A2FFC" w:rsidP="000A2FFC">
      <w:pPr>
        <w:spacing w:after="0" w:line="360" w:lineRule="auto"/>
        <w:jc w:val="both"/>
        <w:rPr>
          <w:rFonts w:ascii="Arial" w:hAnsi="Arial" w:cs="Arial"/>
          <w:sz w:val="24"/>
          <w:szCs w:val="24"/>
        </w:rPr>
      </w:pPr>
    </w:p>
    <w:p w14:paraId="37457962" w14:textId="6A7E5894" w:rsidR="000A2FFC" w:rsidRPr="00E00F13" w:rsidRDefault="008479FB" w:rsidP="000A2FFC">
      <w:pPr>
        <w:spacing w:after="0" w:line="360" w:lineRule="auto"/>
        <w:jc w:val="both"/>
        <w:rPr>
          <w:rFonts w:ascii="Arial" w:hAnsi="Arial" w:cs="Arial"/>
          <w:b/>
          <w:bCs/>
          <w:sz w:val="24"/>
          <w:szCs w:val="24"/>
        </w:rPr>
      </w:pPr>
      <w:r w:rsidRPr="00E00F13">
        <w:rPr>
          <w:rFonts w:ascii="Arial" w:hAnsi="Arial" w:cs="Arial"/>
          <w:b/>
          <w:bCs/>
          <w:sz w:val="24"/>
          <w:szCs w:val="24"/>
        </w:rPr>
        <w:t>A</w:t>
      </w:r>
      <w:r w:rsidR="000A2FFC" w:rsidRPr="00E00F13">
        <w:rPr>
          <w:rFonts w:ascii="Arial" w:hAnsi="Arial" w:cs="Arial"/>
          <w:b/>
          <w:bCs/>
          <w:sz w:val="24"/>
          <w:szCs w:val="24"/>
        </w:rPr>
        <w:t xml:space="preserve">rticulación interinstitucional </w:t>
      </w:r>
    </w:p>
    <w:p w14:paraId="004FF27F" w14:textId="2C6AEB80" w:rsidR="000A2FFC" w:rsidRPr="00E00F13" w:rsidRDefault="000A2FFC" w:rsidP="000A2FFC">
      <w:pPr>
        <w:spacing w:after="0" w:line="360" w:lineRule="auto"/>
        <w:jc w:val="both"/>
        <w:rPr>
          <w:rFonts w:ascii="Arial" w:hAnsi="Arial" w:cs="Arial"/>
          <w:sz w:val="24"/>
          <w:szCs w:val="24"/>
        </w:rPr>
      </w:pPr>
      <w:r w:rsidRPr="00E00F13">
        <w:rPr>
          <w:rFonts w:ascii="Arial" w:hAnsi="Arial" w:cs="Arial"/>
          <w:sz w:val="24"/>
          <w:szCs w:val="24"/>
        </w:rPr>
        <w:t xml:space="preserve">Para llevar a cabo la implementación del Plan </w:t>
      </w:r>
      <w:proofErr w:type="spellStart"/>
      <w:r w:rsidRPr="00E00F13">
        <w:rPr>
          <w:rFonts w:ascii="Arial" w:hAnsi="Arial" w:cs="Arial"/>
          <w:sz w:val="24"/>
          <w:szCs w:val="24"/>
        </w:rPr>
        <w:t>Wüin</w:t>
      </w:r>
      <w:proofErr w:type="spellEnd"/>
      <w:r w:rsidRPr="00E00F13">
        <w:rPr>
          <w:rFonts w:ascii="Arial" w:hAnsi="Arial" w:cs="Arial"/>
          <w:sz w:val="24"/>
          <w:szCs w:val="24"/>
        </w:rPr>
        <w:t xml:space="preserve"> </w:t>
      </w:r>
      <w:proofErr w:type="spellStart"/>
      <w:r w:rsidR="008479FB" w:rsidRPr="00E00F13">
        <w:rPr>
          <w:rFonts w:ascii="Arial" w:hAnsi="Arial" w:cs="Arial"/>
          <w:sz w:val="24"/>
          <w:szCs w:val="24"/>
        </w:rPr>
        <w:t>Ü</w:t>
      </w:r>
      <w:r w:rsidRPr="00E00F13">
        <w:rPr>
          <w:rFonts w:ascii="Arial" w:hAnsi="Arial" w:cs="Arial"/>
          <w:sz w:val="24"/>
          <w:szCs w:val="24"/>
        </w:rPr>
        <w:t>lees</w:t>
      </w:r>
      <w:proofErr w:type="spellEnd"/>
      <w:r w:rsidRPr="00E00F13">
        <w:rPr>
          <w:rFonts w:ascii="Arial" w:hAnsi="Arial" w:cs="Arial"/>
          <w:sz w:val="24"/>
          <w:szCs w:val="24"/>
        </w:rPr>
        <w:t xml:space="preserve"> el MVCT tuvo que llevar a cabo varios procesos de articulación interinstitucional con el ánimo de poder hacer de esta labor, un trabajo efectivo. Teniendo en cuenta que el origen del plan está relacionado con el cumplimiento a la </w:t>
      </w:r>
      <w:r w:rsidR="008479FB" w:rsidRPr="00E00F13">
        <w:rPr>
          <w:rFonts w:ascii="Arial" w:hAnsi="Arial" w:cs="Arial"/>
          <w:sz w:val="24"/>
          <w:szCs w:val="24"/>
        </w:rPr>
        <w:t>S</w:t>
      </w:r>
      <w:r w:rsidRPr="00E00F13">
        <w:rPr>
          <w:rFonts w:ascii="Arial" w:hAnsi="Arial" w:cs="Arial"/>
          <w:sz w:val="24"/>
          <w:szCs w:val="24"/>
        </w:rPr>
        <w:t>entencia T-302 de 2017, el MVCT aprovechó la acción coordinada de la institucionalidad para adelantar su gestión.</w:t>
      </w:r>
      <w:r w:rsidR="008479FB" w:rsidRPr="00E00F13">
        <w:rPr>
          <w:rFonts w:ascii="Arial" w:hAnsi="Arial" w:cs="Arial"/>
          <w:sz w:val="24"/>
          <w:szCs w:val="24"/>
        </w:rPr>
        <w:t xml:space="preserve"> Por lo que su </w:t>
      </w:r>
      <w:r w:rsidRPr="00E00F13">
        <w:rPr>
          <w:rFonts w:ascii="Arial" w:hAnsi="Arial" w:cs="Arial"/>
          <w:sz w:val="24"/>
          <w:szCs w:val="24"/>
        </w:rPr>
        <w:t xml:space="preserve">acción se desplegó en las siguientes esferas: </w:t>
      </w:r>
    </w:p>
    <w:p w14:paraId="1CD957E8" w14:textId="77777777" w:rsidR="008479FB" w:rsidRPr="00E00F13" w:rsidRDefault="008479FB" w:rsidP="000A2FFC">
      <w:pPr>
        <w:spacing w:after="0" w:line="360" w:lineRule="auto"/>
        <w:jc w:val="both"/>
        <w:rPr>
          <w:rFonts w:ascii="Arial" w:hAnsi="Arial" w:cs="Arial"/>
          <w:sz w:val="24"/>
          <w:szCs w:val="24"/>
        </w:rPr>
      </w:pPr>
    </w:p>
    <w:p w14:paraId="16169CA0" w14:textId="569ECAE7" w:rsidR="000A2FFC" w:rsidRPr="00E00F13" w:rsidRDefault="008479FB" w:rsidP="005E33C6">
      <w:pPr>
        <w:numPr>
          <w:ilvl w:val="0"/>
          <w:numId w:val="17"/>
        </w:numPr>
        <w:spacing w:after="0" w:line="360" w:lineRule="auto"/>
        <w:jc w:val="both"/>
        <w:rPr>
          <w:rFonts w:ascii="Arial" w:hAnsi="Arial" w:cs="Arial"/>
          <w:sz w:val="24"/>
          <w:szCs w:val="24"/>
        </w:rPr>
      </w:pPr>
      <w:r w:rsidRPr="00E00F13">
        <w:rPr>
          <w:rFonts w:ascii="Arial" w:hAnsi="Arial" w:cs="Arial"/>
          <w:sz w:val="24"/>
          <w:szCs w:val="24"/>
        </w:rPr>
        <w:t>C</w:t>
      </w:r>
      <w:r w:rsidR="000A2FFC" w:rsidRPr="00E00F13">
        <w:rPr>
          <w:rFonts w:ascii="Arial" w:hAnsi="Arial" w:cs="Arial"/>
          <w:sz w:val="24"/>
          <w:szCs w:val="24"/>
        </w:rPr>
        <w:t>omo cabeza del sector de agua potable</w:t>
      </w:r>
      <w:r w:rsidR="00FF1250" w:rsidRPr="00E00F13">
        <w:rPr>
          <w:rFonts w:ascii="Arial" w:hAnsi="Arial" w:cs="Arial"/>
          <w:sz w:val="24"/>
          <w:szCs w:val="24"/>
        </w:rPr>
        <w:t xml:space="preserve">, </w:t>
      </w:r>
      <w:r w:rsidR="000A2FFC" w:rsidRPr="00E00F13">
        <w:rPr>
          <w:rFonts w:ascii="Arial" w:hAnsi="Arial" w:cs="Arial"/>
          <w:sz w:val="24"/>
          <w:szCs w:val="24"/>
        </w:rPr>
        <w:t xml:space="preserve">el MVCT se articuló con las alcaldías de los </w:t>
      </w:r>
      <w:r w:rsidRPr="00E00F13">
        <w:rPr>
          <w:rFonts w:ascii="Arial" w:hAnsi="Arial" w:cs="Arial"/>
          <w:sz w:val="24"/>
          <w:szCs w:val="24"/>
        </w:rPr>
        <w:t>cuatro</w:t>
      </w:r>
      <w:r w:rsidR="000A2FFC" w:rsidRPr="00E00F13">
        <w:rPr>
          <w:rFonts w:ascii="Arial" w:hAnsi="Arial" w:cs="Arial"/>
          <w:sz w:val="24"/>
          <w:szCs w:val="24"/>
        </w:rPr>
        <w:t xml:space="preserve"> municipios, el plan departamental de agua de La Guajira (Empresa de Servicios Públicos de La Guajira) y con la Unidad de Gestión del Riesgo y Desastres (UNGRD) para integrar el plan a cada uno de los planes que tenían las otras entidades en el territorio. Esto tuvo el fin de no realizar duplicidad de esfuerzos en las mismas comunidades y de extender la cobertura de las acciones del Estado</w:t>
      </w:r>
      <w:r w:rsidRPr="00E00F13">
        <w:rPr>
          <w:rFonts w:ascii="Arial" w:hAnsi="Arial" w:cs="Arial"/>
          <w:sz w:val="24"/>
          <w:szCs w:val="24"/>
        </w:rPr>
        <w:t>.</w:t>
      </w:r>
    </w:p>
    <w:p w14:paraId="0701FB99" w14:textId="77777777" w:rsidR="008479FB" w:rsidRPr="00E00F13" w:rsidRDefault="008479FB" w:rsidP="000A2FFC">
      <w:pPr>
        <w:spacing w:after="0" w:line="360" w:lineRule="auto"/>
        <w:jc w:val="both"/>
        <w:rPr>
          <w:rFonts w:ascii="Arial" w:hAnsi="Arial" w:cs="Arial"/>
          <w:sz w:val="24"/>
          <w:szCs w:val="24"/>
        </w:rPr>
      </w:pPr>
    </w:p>
    <w:p w14:paraId="7C835939" w14:textId="17ECEBA0" w:rsidR="000A2FFC" w:rsidRPr="00E00F13" w:rsidRDefault="000A2FFC" w:rsidP="005E33C6">
      <w:pPr>
        <w:numPr>
          <w:ilvl w:val="0"/>
          <w:numId w:val="17"/>
        </w:numPr>
        <w:spacing w:after="0" w:line="360" w:lineRule="auto"/>
        <w:jc w:val="both"/>
        <w:rPr>
          <w:rFonts w:ascii="Arial" w:hAnsi="Arial" w:cs="Arial"/>
          <w:sz w:val="24"/>
          <w:szCs w:val="24"/>
        </w:rPr>
      </w:pPr>
      <w:r w:rsidRPr="00E00F13">
        <w:rPr>
          <w:rFonts w:ascii="Arial" w:hAnsi="Arial" w:cs="Arial"/>
          <w:sz w:val="24"/>
          <w:szCs w:val="24"/>
        </w:rPr>
        <w:t xml:space="preserve">Consolidación de fuentes de información, el MVCT se articuló con el Servicio Geológico Colombiano, el Departamento de Prosperidad social y la Agencia de Desarrollo Rural con el fin de construir una base de datos en la que se logra agrupar toda la información georreferenciada de las infraestructuras para el abastecimiento de agua que existen en los municipios que cobija la </w:t>
      </w:r>
      <w:r w:rsidR="00FE4627" w:rsidRPr="00E00F13">
        <w:rPr>
          <w:rFonts w:ascii="Arial" w:hAnsi="Arial" w:cs="Arial"/>
          <w:sz w:val="24"/>
          <w:szCs w:val="24"/>
        </w:rPr>
        <w:lastRenderedPageBreak/>
        <w:t>S</w:t>
      </w:r>
      <w:r w:rsidRPr="00E00F13">
        <w:rPr>
          <w:rFonts w:ascii="Arial" w:hAnsi="Arial" w:cs="Arial"/>
          <w:sz w:val="24"/>
          <w:szCs w:val="24"/>
        </w:rPr>
        <w:t>entencia T-302 de 2017</w:t>
      </w:r>
      <w:r w:rsidR="00FE4627" w:rsidRPr="00E00F13">
        <w:rPr>
          <w:rFonts w:ascii="Arial" w:hAnsi="Arial" w:cs="Arial"/>
          <w:sz w:val="24"/>
          <w:szCs w:val="24"/>
        </w:rPr>
        <w:t xml:space="preserve">, </w:t>
      </w:r>
      <w:r w:rsidRPr="00E00F13">
        <w:rPr>
          <w:rFonts w:ascii="Arial" w:hAnsi="Arial" w:cs="Arial"/>
          <w:sz w:val="24"/>
          <w:szCs w:val="24"/>
        </w:rPr>
        <w:t xml:space="preserve">incluyendo la información sobre cuál es la fuente de abastecimiento. Esta base de datos es de vital importancia para la toma de decisiones del Estado. </w:t>
      </w:r>
    </w:p>
    <w:p w14:paraId="771816F0" w14:textId="77777777" w:rsidR="00FE4627" w:rsidRPr="00E00F13" w:rsidRDefault="00FE4627" w:rsidP="00FE4627">
      <w:pPr>
        <w:spacing w:after="0" w:line="360" w:lineRule="auto"/>
        <w:jc w:val="both"/>
        <w:rPr>
          <w:rFonts w:ascii="Arial" w:hAnsi="Arial" w:cs="Arial"/>
          <w:sz w:val="24"/>
          <w:szCs w:val="24"/>
        </w:rPr>
      </w:pPr>
    </w:p>
    <w:p w14:paraId="5602E9A1" w14:textId="7234EFC4" w:rsidR="000A2FFC" w:rsidRPr="00E00F13" w:rsidRDefault="000A2FFC" w:rsidP="005E33C6">
      <w:pPr>
        <w:numPr>
          <w:ilvl w:val="0"/>
          <w:numId w:val="17"/>
        </w:numPr>
        <w:spacing w:after="0" w:line="360" w:lineRule="auto"/>
        <w:jc w:val="both"/>
        <w:rPr>
          <w:rFonts w:ascii="Arial" w:hAnsi="Arial" w:cs="Arial"/>
          <w:sz w:val="24"/>
          <w:szCs w:val="24"/>
        </w:rPr>
      </w:pPr>
      <w:r w:rsidRPr="00E00F13">
        <w:rPr>
          <w:rFonts w:ascii="Arial" w:hAnsi="Arial" w:cs="Arial"/>
          <w:sz w:val="24"/>
          <w:szCs w:val="24"/>
        </w:rPr>
        <w:t>Diálogo genuino</w:t>
      </w:r>
      <w:r w:rsidR="00FE4627" w:rsidRPr="00E00F13">
        <w:rPr>
          <w:rFonts w:ascii="Arial" w:hAnsi="Arial" w:cs="Arial"/>
          <w:sz w:val="24"/>
          <w:szCs w:val="24"/>
        </w:rPr>
        <w:t xml:space="preserve">. </w:t>
      </w:r>
      <w:r w:rsidRPr="00E00F13">
        <w:rPr>
          <w:rFonts w:ascii="Arial" w:hAnsi="Arial" w:cs="Arial"/>
          <w:sz w:val="24"/>
          <w:szCs w:val="24"/>
        </w:rPr>
        <w:t xml:space="preserve">Dentro de las órdenes de la </w:t>
      </w:r>
      <w:r w:rsidR="00FE4627" w:rsidRPr="00E00F13">
        <w:rPr>
          <w:rFonts w:ascii="Arial" w:hAnsi="Arial" w:cs="Arial"/>
          <w:sz w:val="24"/>
          <w:szCs w:val="24"/>
        </w:rPr>
        <w:t>S</w:t>
      </w:r>
      <w:r w:rsidRPr="00E00F13">
        <w:rPr>
          <w:rFonts w:ascii="Arial" w:hAnsi="Arial" w:cs="Arial"/>
          <w:sz w:val="24"/>
          <w:szCs w:val="24"/>
        </w:rPr>
        <w:t xml:space="preserve">entencia T-302 se establece la necesidad de que las entidades del Estado consulten con las comunidades </w:t>
      </w:r>
      <w:proofErr w:type="spellStart"/>
      <w:r w:rsidRPr="00E00F13">
        <w:rPr>
          <w:rFonts w:ascii="Arial" w:hAnsi="Arial" w:cs="Arial"/>
          <w:sz w:val="24"/>
          <w:szCs w:val="24"/>
        </w:rPr>
        <w:t>Wayúu</w:t>
      </w:r>
      <w:proofErr w:type="spellEnd"/>
      <w:r w:rsidRPr="00E00F13">
        <w:rPr>
          <w:rFonts w:ascii="Arial" w:hAnsi="Arial" w:cs="Arial"/>
          <w:sz w:val="24"/>
          <w:szCs w:val="24"/>
        </w:rPr>
        <w:t xml:space="preserve">, en cabeza de sus autoridades tradicionales, las medidas a tomar a través de un proceso de diálogo genuino. Para dar cumplimiento a esta determinación de la </w:t>
      </w:r>
      <w:r w:rsidR="00FE4627" w:rsidRPr="00E00F13">
        <w:rPr>
          <w:rFonts w:ascii="Arial" w:hAnsi="Arial" w:cs="Arial"/>
          <w:sz w:val="24"/>
          <w:szCs w:val="24"/>
        </w:rPr>
        <w:t>C</w:t>
      </w:r>
      <w:r w:rsidRPr="00E00F13">
        <w:rPr>
          <w:rFonts w:ascii="Arial" w:hAnsi="Arial" w:cs="Arial"/>
          <w:sz w:val="24"/>
          <w:szCs w:val="24"/>
        </w:rPr>
        <w:t xml:space="preserve">orte con respecto al Plan </w:t>
      </w:r>
      <w:proofErr w:type="spellStart"/>
      <w:r w:rsidRPr="00E00F13">
        <w:rPr>
          <w:rFonts w:ascii="Arial" w:hAnsi="Arial" w:cs="Arial"/>
          <w:sz w:val="24"/>
          <w:szCs w:val="24"/>
        </w:rPr>
        <w:t>Wüin</w:t>
      </w:r>
      <w:proofErr w:type="spellEnd"/>
      <w:r w:rsidRPr="00E00F13">
        <w:rPr>
          <w:rFonts w:ascii="Arial" w:hAnsi="Arial" w:cs="Arial"/>
          <w:sz w:val="24"/>
          <w:szCs w:val="24"/>
        </w:rPr>
        <w:t xml:space="preserve"> </w:t>
      </w:r>
      <w:proofErr w:type="spellStart"/>
      <w:r w:rsidRPr="00E00F13">
        <w:rPr>
          <w:rFonts w:ascii="Arial" w:hAnsi="Arial" w:cs="Arial"/>
          <w:sz w:val="24"/>
          <w:szCs w:val="24"/>
        </w:rPr>
        <w:t>Ülees</w:t>
      </w:r>
      <w:proofErr w:type="spellEnd"/>
      <w:r w:rsidRPr="00E00F13">
        <w:rPr>
          <w:rFonts w:ascii="Arial" w:hAnsi="Arial" w:cs="Arial"/>
          <w:sz w:val="24"/>
          <w:szCs w:val="24"/>
        </w:rPr>
        <w:t xml:space="preserve">, fue necesario generar proceso de articulación con el Ministerio del Interior y la Alta Consejería para las Regiones. </w:t>
      </w:r>
    </w:p>
    <w:p w14:paraId="73DF38B2" w14:textId="77777777" w:rsidR="00FE4627" w:rsidRPr="00E00F13" w:rsidRDefault="00FE4627" w:rsidP="00FE4627">
      <w:pPr>
        <w:spacing w:after="0" w:line="360" w:lineRule="auto"/>
        <w:jc w:val="both"/>
        <w:rPr>
          <w:rFonts w:ascii="Arial" w:hAnsi="Arial" w:cs="Arial"/>
          <w:sz w:val="24"/>
          <w:szCs w:val="24"/>
        </w:rPr>
      </w:pPr>
    </w:p>
    <w:p w14:paraId="7D6D4318" w14:textId="5816F924" w:rsidR="000A2FFC" w:rsidRPr="00E00F13" w:rsidRDefault="000A2FFC" w:rsidP="005E33C6">
      <w:pPr>
        <w:numPr>
          <w:ilvl w:val="0"/>
          <w:numId w:val="17"/>
        </w:numPr>
        <w:spacing w:after="0" w:line="360" w:lineRule="auto"/>
        <w:jc w:val="both"/>
        <w:rPr>
          <w:rFonts w:ascii="Arial" w:hAnsi="Arial" w:cs="Arial"/>
          <w:sz w:val="24"/>
          <w:szCs w:val="24"/>
        </w:rPr>
      </w:pPr>
      <w:r w:rsidRPr="00E00F13">
        <w:rPr>
          <w:rFonts w:ascii="Arial" w:hAnsi="Arial" w:cs="Arial"/>
          <w:sz w:val="24"/>
          <w:szCs w:val="24"/>
        </w:rPr>
        <w:t xml:space="preserve">Articulación con </w:t>
      </w:r>
      <w:r w:rsidR="00CF1ECE" w:rsidRPr="00E00F13">
        <w:rPr>
          <w:rFonts w:ascii="Arial" w:hAnsi="Arial" w:cs="Arial"/>
          <w:sz w:val="24"/>
          <w:szCs w:val="24"/>
        </w:rPr>
        <w:t xml:space="preserve">actores </w:t>
      </w:r>
      <w:r w:rsidRPr="00E00F13">
        <w:rPr>
          <w:rFonts w:ascii="Arial" w:hAnsi="Arial" w:cs="Arial"/>
          <w:sz w:val="24"/>
          <w:szCs w:val="24"/>
        </w:rPr>
        <w:t>humanitarios</w:t>
      </w:r>
      <w:r w:rsidR="00FE4627" w:rsidRPr="00E00F13">
        <w:rPr>
          <w:rFonts w:ascii="Arial" w:hAnsi="Arial" w:cs="Arial"/>
          <w:sz w:val="24"/>
          <w:szCs w:val="24"/>
        </w:rPr>
        <w:t xml:space="preserve">. </w:t>
      </w:r>
      <w:r w:rsidRPr="00E00F13">
        <w:rPr>
          <w:rFonts w:ascii="Arial" w:hAnsi="Arial" w:cs="Arial"/>
          <w:sz w:val="24"/>
          <w:szCs w:val="24"/>
        </w:rPr>
        <w:t xml:space="preserve">Dentro de lo novedoso de este plan, un aspecto importante fue la idea de cooperar con actores no gubernamentales en la implementación del plan, con el fin de multiplicar la acción y poder llegar a más comunidades. Para esto, el MVCT generó varios memorandos de entendimientos con </w:t>
      </w:r>
      <w:r w:rsidR="00FE4627" w:rsidRPr="00E00F13">
        <w:rPr>
          <w:rFonts w:ascii="Arial" w:hAnsi="Arial" w:cs="Arial"/>
          <w:sz w:val="24"/>
          <w:szCs w:val="24"/>
        </w:rPr>
        <w:t>o</w:t>
      </w:r>
      <w:r w:rsidRPr="00E00F13">
        <w:rPr>
          <w:rFonts w:ascii="Arial" w:hAnsi="Arial" w:cs="Arial"/>
          <w:sz w:val="24"/>
          <w:szCs w:val="24"/>
        </w:rPr>
        <w:t xml:space="preserve">rganizaciones no gubernamentales en las que estas se adherían al plan y colaboraban con recursos económicos, humanos y técnicos. </w:t>
      </w:r>
    </w:p>
    <w:p w14:paraId="692A1176" w14:textId="77777777" w:rsidR="00FE4627" w:rsidRPr="00E00F13" w:rsidRDefault="00FE4627" w:rsidP="000A2FFC">
      <w:pPr>
        <w:spacing w:after="0" w:line="360" w:lineRule="auto"/>
        <w:jc w:val="both"/>
        <w:rPr>
          <w:rFonts w:ascii="Arial" w:hAnsi="Arial" w:cs="Arial"/>
          <w:sz w:val="24"/>
          <w:szCs w:val="24"/>
        </w:rPr>
      </w:pPr>
    </w:p>
    <w:p w14:paraId="5E08D788" w14:textId="04A709E1" w:rsidR="000A2FFC" w:rsidRPr="00E00F13" w:rsidRDefault="00FE4627" w:rsidP="000A2FFC">
      <w:pPr>
        <w:spacing w:after="0" w:line="360" w:lineRule="auto"/>
        <w:jc w:val="both"/>
        <w:rPr>
          <w:rFonts w:ascii="Arial" w:hAnsi="Arial" w:cs="Arial"/>
          <w:sz w:val="24"/>
          <w:szCs w:val="24"/>
        </w:rPr>
      </w:pPr>
      <w:r w:rsidRPr="00E00F13">
        <w:rPr>
          <w:rFonts w:ascii="Arial" w:hAnsi="Arial" w:cs="Arial"/>
          <w:sz w:val="24"/>
          <w:szCs w:val="24"/>
        </w:rPr>
        <w:t>S</w:t>
      </w:r>
      <w:r w:rsidR="000A2FFC" w:rsidRPr="00E00F13">
        <w:rPr>
          <w:rFonts w:ascii="Arial" w:hAnsi="Arial" w:cs="Arial"/>
          <w:sz w:val="24"/>
          <w:szCs w:val="24"/>
        </w:rPr>
        <w:t>e construyeron varios de estos convenios con las siguientes organizaciones: Water Aid</w:t>
      </w:r>
      <w:r w:rsidRPr="00E00F13">
        <w:rPr>
          <w:rFonts w:ascii="Arial" w:hAnsi="Arial" w:cs="Arial"/>
          <w:sz w:val="24"/>
          <w:szCs w:val="24"/>
        </w:rPr>
        <w:t xml:space="preserve">, </w:t>
      </w:r>
      <w:r w:rsidR="000A2FFC" w:rsidRPr="00E00F13">
        <w:rPr>
          <w:rFonts w:ascii="Arial" w:hAnsi="Arial" w:cs="Arial"/>
          <w:sz w:val="24"/>
          <w:szCs w:val="24"/>
        </w:rPr>
        <w:t>World Vision</w:t>
      </w:r>
      <w:r w:rsidRPr="00E00F13">
        <w:rPr>
          <w:rFonts w:ascii="Arial" w:hAnsi="Arial" w:cs="Arial"/>
          <w:sz w:val="24"/>
          <w:szCs w:val="24"/>
        </w:rPr>
        <w:t xml:space="preserve"> y </w:t>
      </w:r>
      <w:r w:rsidR="000A2FFC" w:rsidRPr="00E00F13">
        <w:rPr>
          <w:rFonts w:ascii="Arial" w:hAnsi="Arial" w:cs="Arial"/>
          <w:sz w:val="24"/>
          <w:szCs w:val="24"/>
        </w:rPr>
        <w:t xml:space="preserve">Save </w:t>
      </w:r>
      <w:proofErr w:type="spellStart"/>
      <w:r w:rsidR="000A2FFC" w:rsidRPr="00E00F13">
        <w:rPr>
          <w:rFonts w:ascii="Arial" w:hAnsi="Arial" w:cs="Arial"/>
          <w:sz w:val="24"/>
          <w:szCs w:val="24"/>
        </w:rPr>
        <w:t>the</w:t>
      </w:r>
      <w:proofErr w:type="spellEnd"/>
      <w:r w:rsidR="000A2FFC" w:rsidRPr="00E00F13">
        <w:rPr>
          <w:rFonts w:ascii="Arial" w:hAnsi="Arial" w:cs="Arial"/>
          <w:sz w:val="24"/>
          <w:szCs w:val="24"/>
        </w:rPr>
        <w:t xml:space="preserve"> </w:t>
      </w:r>
      <w:proofErr w:type="spellStart"/>
      <w:r w:rsidR="000A2FFC" w:rsidRPr="00E00F13">
        <w:rPr>
          <w:rFonts w:ascii="Arial" w:hAnsi="Arial" w:cs="Arial"/>
          <w:sz w:val="24"/>
          <w:szCs w:val="24"/>
        </w:rPr>
        <w:t>Children</w:t>
      </w:r>
      <w:proofErr w:type="spellEnd"/>
      <w:r w:rsidRPr="00E00F13">
        <w:rPr>
          <w:rFonts w:ascii="Arial" w:hAnsi="Arial" w:cs="Arial"/>
          <w:sz w:val="24"/>
          <w:szCs w:val="24"/>
        </w:rPr>
        <w:t>.</w:t>
      </w:r>
      <w:r w:rsidR="0059651B" w:rsidRPr="00E00F13">
        <w:rPr>
          <w:rFonts w:ascii="Arial" w:hAnsi="Arial" w:cs="Arial"/>
          <w:sz w:val="24"/>
          <w:szCs w:val="24"/>
        </w:rPr>
        <w:t xml:space="preserve"> </w:t>
      </w:r>
      <w:r w:rsidR="000A2FFC" w:rsidRPr="00E00F13">
        <w:rPr>
          <w:rFonts w:ascii="Arial" w:hAnsi="Arial" w:cs="Arial"/>
          <w:sz w:val="24"/>
          <w:szCs w:val="24"/>
        </w:rPr>
        <w:t>Además, se articuló la mesa WASH, un espacio en el que participaban organizaciones como UNICEF, las mencionadas y entidades gubernamentales, con el fin de hacer cruces de información y generar rutas de atención a escenarios de emergencia.</w:t>
      </w:r>
    </w:p>
    <w:p w14:paraId="144168D5" w14:textId="77777777" w:rsidR="000A2FFC" w:rsidRPr="00E00F13" w:rsidRDefault="000A2FFC" w:rsidP="000A2FFC">
      <w:pPr>
        <w:spacing w:after="0" w:line="360" w:lineRule="auto"/>
        <w:jc w:val="both"/>
        <w:rPr>
          <w:rFonts w:ascii="Arial" w:hAnsi="Arial" w:cs="Arial"/>
          <w:sz w:val="24"/>
          <w:szCs w:val="24"/>
        </w:rPr>
      </w:pPr>
    </w:p>
    <w:p w14:paraId="2C5F607D" w14:textId="43F55B64" w:rsidR="000A2FFC" w:rsidRPr="00E00F13" w:rsidRDefault="000A2FFC" w:rsidP="000A2FFC">
      <w:pPr>
        <w:spacing w:after="0" w:line="360" w:lineRule="auto"/>
        <w:jc w:val="both"/>
        <w:rPr>
          <w:rFonts w:ascii="Arial" w:hAnsi="Arial" w:cs="Arial"/>
          <w:b/>
          <w:bCs/>
          <w:sz w:val="24"/>
          <w:szCs w:val="24"/>
        </w:rPr>
      </w:pPr>
      <w:r w:rsidRPr="00E00F13">
        <w:rPr>
          <w:rFonts w:ascii="Arial" w:hAnsi="Arial" w:cs="Arial"/>
          <w:b/>
          <w:bCs/>
          <w:sz w:val="24"/>
          <w:szCs w:val="24"/>
        </w:rPr>
        <w:t>Estado del plan en la actualidad</w:t>
      </w:r>
    </w:p>
    <w:p w14:paraId="62055C39" w14:textId="28444C01" w:rsidR="000A2FFC" w:rsidRPr="00E00F13" w:rsidRDefault="000A2FFC" w:rsidP="000A2FFC">
      <w:pPr>
        <w:spacing w:after="0" w:line="360" w:lineRule="auto"/>
        <w:jc w:val="both"/>
        <w:rPr>
          <w:rFonts w:ascii="Arial" w:hAnsi="Arial" w:cs="Arial"/>
          <w:sz w:val="24"/>
          <w:szCs w:val="24"/>
        </w:rPr>
      </w:pPr>
      <w:r w:rsidRPr="00E00F13">
        <w:rPr>
          <w:rFonts w:ascii="Arial" w:hAnsi="Arial" w:cs="Arial"/>
          <w:sz w:val="24"/>
          <w:szCs w:val="24"/>
        </w:rPr>
        <w:t xml:space="preserve"> El Plan </w:t>
      </w:r>
      <w:proofErr w:type="spellStart"/>
      <w:r w:rsidRPr="00E00F13">
        <w:rPr>
          <w:rFonts w:ascii="Arial" w:hAnsi="Arial" w:cs="Arial"/>
          <w:sz w:val="24"/>
          <w:szCs w:val="24"/>
        </w:rPr>
        <w:t>Wüin</w:t>
      </w:r>
      <w:proofErr w:type="spellEnd"/>
      <w:r w:rsidRPr="00E00F13">
        <w:rPr>
          <w:rFonts w:ascii="Arial" w:hAnsi="Arial" w:cs="Arial"/>
          <w:sz w:val="24"/>
          <w:szCs w:val="24"/>
        </w:rPr>
        <w:t xml:space="preserve"> </w:t>
      </w:r>
      <w:proofErr w:type="spellStart"/>
      <w:r w:rsidRPr="00E00F13">
        <w:rPr>
          <w:rFonts w:ascii="Arial" w:hAnsi="Arial" w:cs="Arial"/>
          <w:sz w:val="24"/>
          <w:szCs w:val="24"/>
        </w:rPr>
        <w:t>Ülees</w:t>
      </w:r>
      <w:proofErr w:type="spellEnd"/>
      <w:r w:rsidRPr="00E00F13">
        <w:rPr>
          <w:rFonts w:ascii="Arial" w:hAnsi="Arial" w:cs="Arial"/>
          <w:sz w:val="24"/>
          <w:szCs w:val="24"/>
        </w:rPr>
        <w:t xml:space="preserve"> ha tenido los siguientes resultados: </w:t>
      </w:r>
    </w:p>
    <w:p w14:paraId="1A6DEC44" w14:textId="5F247D7B" w:rsidR="004D2FFD" w:rsidRPr="00E00F13" w:rsidRDefault="000A2FFC" w:rsidP="005E33C6">
      <w:pPr>
        <w:numPr>
          <w:ilvl w:val="0"/>
          <w:numId w:val="18"/>
        </w:numPr>
        <w:spacing w:after="0" w:line="360" w:lineRule="auto"/>
        <w:jc w:val="both"/>
        <w:rPr>
          <w:rFonts w:ascii="Arial" w:hAnsi="Arial" w:cs="Arial"/>
          <w:sz w:val="24"/>
          <w:szCs w:val="24"/>
        </w:rPr>
      </w:pPr>
      <w:r w:rsidRPr="00E00F13">
        <w:rPr>
          <w:rFonts w:ascii="Arial" w:hAnsi="Arial" w:cs="Arial"/>
          <w:sz w:val="24"/>
          <w:szCs w:val="24"/>
        </w:rPr>
        <w:t>258 soluciones de agua rehabilitadas</w:t>
      </w:r>
      <w:r w:rsidR="00DF163D" w:rsidRPr="00E00F13">
        <w:rPr>
          <w:rFonts w:ascii="Arial" w:hAnsi="Arial" w:cs="Arial"/>
          <w:sz w:val="24"/>
          <w:szCs w:val="24"/>
        </w:rPr>
        <w:t>.</w:t>
      </w:r>
    </w:p>
    <w:p w14:paraId="2E8FB4A5" w14:textId="06E8E77E" w:rsidR="000A2FFC" w:rsidRPr="00E00F13" w:rsidRDefault="000A2FFC" w:rsidP="005E33C6">
      <w:pPr>
        <w:numPr>
          <w:ilvl w:val="0"/>
          <w:numId w:val="18"/>
        </w:numPr>
        <w:spacing w:after="0" w:line="360" w:lineRule="auto"/>
        <w:jc w:val="both"/>
        <w:rPr>
          <w:rFonts w:ascii="Arial" w:hAnsi="Arial" w:cs="Arial"/>
          <w:sz w:val="24"/>
          <w:szCs w:val="24"/>
        </w:rPr>
      </w:pPr>
      <w:r w:rsidRPr="00E00F13">
        <w:rPr>
          <w:rFonts w:ascii="Arial" w:hAnsi="Arial" w:cs="Arial"/>
          <w:sz w:val="24"/>
          <w:szCs w:val="24"/>
        </w:rPr>
        <w:t>10 pilas públicas (</w:t>
      </w:r>
      <w:r w:rsidR="00DF163D" w:rsidRPr="00E00F13">
        <w:rPr>
          <w:rFonts w:ascii="Arial" w:hAnsi="Arial" w:cs="Arial"/>
          <w:sz w:val="24"/>
          <w:szCs w:val="24"/>
        </w:rPr>
        <w:t>ahora denominados «C</w:t>
      </w:r>
      <w:r w:rsidRPr="00E00F13">
        <w:rPr>
          <w:rFonts w:ascii="Arial" w:hAnsi="Arial" w:cs="Arial"/>
          <w:sz w:val="24"/>
          <w:szCs w:val="24"/>
        </w:rPr>
        <w:t>entros públicos de abastecimiento</w:t>
      </w:r>
      <w:r w:rsidR="00DF163D" w:rsidRPr="00E00F13">
        <w:rPr>
          <w:rFonts w:ascii="Arial" w:hAnsi="Arial" w:cs="Arial"/>
          <w:sz w:val="24"/>
          <w:szCs w:val="24"/>
        </w:rPr>
        <w:t>»</w:t>
      </w:r>
      <w:r w:rsidRPr="00E00F13">
        <w:rPr>
          <w:rFonts w:ascii="Arial" w:hAnsi="Arial" w:cs="Arial"/>
          <w:sz w:val="24"/>
          <w:szCs w:val="24"/>
        </w:rPr>
        <w:t>)</w:t>
      </w:r>
      <w:r w:rsidR="00DF163D" w:rsidRPr="00E00F13">
        <w:rPr>
          <w:rFonts w:ascii="Arial" w:hAnsi="Arial" w:cs="Arial"/>
          <w:sz w:val="24"/>
          <w:szCs w:val="24"/>
        </w:rPr>
        <w:t>.</w:t>
      </w:r>
    </w:p>
    <w:p w14:paraId="5A11E221" w14:textId="30058CEA" w:rsidR="000A2FFC" w:rsidRPr="00E00F13" w:rsidRDefault="000A2FFC" w:rsidP="005E33C6">
      <w:pPr>
        <w:numPr>
          <w:ilvl w:val="0"/>
          <w:numId w:val="18"/>
        </w:numPr>
        <w:spacing w:after="0" w:line="360" w:lineRule="auto"/>
        <w:jc w:val="both"/>
        <w:rPr>
          <w:rFonts w:ascii="Arial" w:hAnsi="Arial" w:cs="Arial"/>
          <w:sz w:val="24"/>
          <w:szCs w:val="24"/>
        </w:rPr>
      </w:pPr>
      <w:r w:rsidRPr="00E00F13">
        <w:rPr>
          <w:rFonts w:ascii="Arial" w:hAnsi="Arial" w:cs="Arial"/>
          <w:sz w:val="24"/>
          <w:szCs w:val="24"/>
        </w:rPr>
        <w:lastRenderedPageBreak/>
        <w:t>Inversión de 88.223 millones de pesos</w:t>
      </w:r>
      <w:r w:rsidR="00DF163D" w:rsidRPr="00E00F13">
        <w:rPr>
          <w:rFonts w:ascii="Arial" w:hAnsi="Arial" w:cs="Arial"/>
          <w:sz w:val="24"/>
          <w:szCs w:val="24"/>
        </w:rPr>
        <w:t>.</w:t>
      </w:r>
    </w:p>
    <w:p w14:paraId="7B1CE1B4" w14:textId="5FFBB310" w:rsidR="000A2FFC" w:rsidRPr="00E00F13" w:rsidRDefault="000A2FFC" w:rsidP="005E33C6">
      <w:pPr>
        <w:numPr>
          <w:ilvl w:val="0"/>
          <w:numId w:val="18"/>
        </w:numPr>
        <w:spacing w:after="0" w:line="360" w:lineRule="auto"/>
        <w:jc w:val="both"/>
        <w:rPr>
          <w:rFonts w:ascii="Arial" w:hAnsi="Arial" w:cs="Arial"/>
          <w:sz w:val="24"/>
          <w:szCs w:val="24"/>
        </w:rPr>
      </w:pPr>
      <w:r w:rsidRPr="00E00F13">
        <w:rPr>
          <w:rFonts w:ascii="Arial" w:hAnsi="Arial" w:cs="Arial"/>
          <w:sz w:val="24"/>
          <w:szCs w:val="24"/>
        </w:rPr>
        <w:t>157.045 personas beneficiadas</w:t>
      </w:r>
      <w:r w:rsidR="00DF163D" w:rsidRPr="00E00F13">
        <w:rPr>
          <w:rFonts w:ascii="Arial" w:hAnsi="Arial" w:cs="Arial"/>
          <w:sz w:val="24"/>
          <w:szCs w:val="24"/>
        </w:rPr>
        <w:t>.</w:t>
      </w:r>
    </w:p>
    <w:p w14:paraId="4369A827" w14:textId="77777777" w:rsidR="00705D62" w:rsidRPr="00E00F13" w:rsidRDefault="00705D62" w:rsidP="000A2FFC">
      <w:pPr>
        <w:spacing w:after="0" w:line="360" w:lineRule="auto"/>
        <w:jc w:val="both"/>
        <w:rPr>
          <w:rFonts w:ascii="Arial" w:hAnsi="Arial" w:cs="Arial"/>
          <w:sz w:val="24"/>
          <w:szCs w:val="24"/>
        </w:rPr>
      </w:pPr>
    </w:p>
    <w:p w14:paraId="1E0BAECE" w14:textId="427794B0" w:rsidR="000A2FFC" w:rsidRPr="00E00F13" w:rsidRDefault="000A2FFC" w:rsidP="000A2FFC">
      <w:pPr>
        <w:spacing w:after="0" w:line="360" w:lineRule="auto"/>
        <w:jc w:val="both"/>
        <w:rPr>
          <w:rFonts w:ascii="Arial" w:hAnsi="Arial" w:cs="Arial"/>
          <w:sz w:val="24"/>
          <w:szCs w:val="24"/>
        </w:rPr>
      </w:pPr>
      <w:r w:rsidRPr="00E00F13">
        <w:rPr>
          <w:rFonts w:ascii="Arial" w:hAnsi="Arial" w:cs="Arial"/>
          <w:sz w:val="24"/>
          <w:szCs w:val="24"/>
        </w:rPr>
        <w:t>Sin embargo, a pesar de los resultados</w:t>
      </w:r>
      <w:r w:rsidR="00DF163D" w:rsidRPr="00E00F13">
        <w:rPr>
          <w:rFonts w:ascii="Arial" w:hAnsi="Arial" w:cs="Arial"/>
          <w:sz w:val="24"/>
          <w:szCs w:val="24"/>
        </w:rPr>
        <w:t>,</w:t>
      </w:r>
      <w:r w:rsidRPr="00E00F13">
        <w:rPr>
          <w:rFonts w:ascii="Arial" w:hAnsi="Arial" w:cs="Arial"/>
          <w:sz w:val="24"/>
          <w:szCs w:val="24"/>
        </w:rPr>
        <w:t xml:space="preserve"> en este momento la </w:t>
      </w:r>
      <w:r w:rsidR="00DF163D" w:rsidRPr="00E00F13">
        <w:rPr>
          <w:rFonts w:ascii="Arial" w:hAnsi="Arial" w:cs="Arial"/>
          <w:sz w:val="24"/>
          <w:szCs w:val="24"/>
        </w:rPr>
        <w:t>S</w:t>
      </w:r>
      <w:r w:rsidRPr="00E00F13">
        <w:rPr>
          <w:rFonts w:ascii="Arial" w:hAnsi="Arial" w:cs="Arial"/>
          <w:sz w:val="24"/>
          <w:szCs w:val="24"/>
        </w:rPr>
        <w:t xml:space="preserve">ubdirección de </w:t>
      </w:r>
      <w:r w:rsidR="00DF163D" w:rsidRPr="00E00F13">
        <w:rPr>
          <w:rFonts w:ascii="Arial" w:hAnsi="Arial" w:cs="Arial"/>
          <w:sz w:val="24"/>
          <w:szCs w:val="24"/>
        </w:rPr>
        <w:t>D</w:t>
      </w:r>
      <w:r w:rsidRPr="00E00F13">
        <w:rPr>
          <w:rFonts w:ascii="Arial" w:hAnsi="Arial" w:cs="Arial"/>
          <w:sz w:val="24"/>
          <w:szCs w:val="24"/>
        </w:rPr>
        <w:t xml:space="preserve">esarrollo </w:t>
      </w:r>
      <w:r w:rsidR="00DF163D" w:rsidRPr="00E00F13">
        <w:rPr>
          <w:rFonts w:ascii="Arial" w:hAnsi="Arial" w:cs="Arial"/>
          <w:sz w:val="24"/>
          <w:szCs w:val="24"/>
        </w:rPr>
        <w:t>E</w:t>
      </w:r>
      <w:r w:rsidRPr="00E00F13">
        <w:rPr>
          <w:rFonts w:ascii="Arial" w:hAnsi="Arial" w:cs="Arial"/>
          <w:sz w:val="24"/>
          <w:szCs w:val="24"/>
        </w:rPr>
        <w:t>mpresarial</w:t>
      </w:r>
      <w:r w:rsidR="00DF163D" w:rsidRPr="00E00F13">
        <w:rPr>
          <w:rFonts w:ascii="Arial" w:hAnsi="Arial" w:cs="Arial"/>
          <w:sz w:val="24"/>
          <w:szCs w:val="24"/>
        </w:rPr>
        <w:t xml:space="preserve"> del MVCT</w:t>
      </w:r>
      <w:r w:rsidRPr="00E00F13">
        <w:rPr>
          <w:rFonts w:ascii="Arial" w:hAnsi="Arial" w:cs="Arial"/>
          <w:sz w:val="24"/>
          <w:szCs w:val="24"/>
        </w:rPr>
        <w:t xml:space="preserve"> está a punto de empezar el pilotaje de su programa para fortalecer el aseguramiento en comunidades cuyo administrador de</w:t>
      </w:r>
      <w:r w:rsidR="00DF163D" w:rsidRPr="00E00F13">
        <w:rPr>
          <w:rFonts w:ascii="Arial" w:hAnsi="Arial" w:cs="Arial"/>
          <w:sz w:val="24"/>
          <w:szCs w:val="24"/>
        </w:rPr>
        <w:t>l</w:t>
      </w:r>
      <w:r w:rsidRPr="00E00F13">
        <w:rPr>
          <w:rFonts w:ascii="Arial" w:hAnsi="Arial" w:cs="Arial"/>
          <w:sz w:val="24"/>
          <w:szCs w:val="24"/>
        </w:rPr>
        <w:t xml:space="preserve"> acueducto es un pequeño prestador (menos de 2.500 usuarios). Esto implica un reto</w:t>
      </w:r>
      <w:r w:rsidR="00DF163D" w:rsidRPr="00E00F13">
        <w:rPr>
          <w:rFonts w:ascii="Arial" w:hAnsi="Arial" w:cs="Arial"/>
          <w:sz w:val="24"/>
          <w:szCs w:val="24"/>
        </w:rPr>
        <w:t xml:space="preserve">, </w:t>
      </w:r>
      <w:r w:rsidRPr="00E00F13">
        <w:rPr>
          <w:rFonts w:ascii="Arial" w:hAnsi="Arial" w:cs="Arial"/>
          <w:sz w:val="24"/>
          <w:szCs w:val="24"/>
        </w:rPr>
        <w:t xml:space="preserve">ya que el cambio de gobierno podría significar un cambio de los esquemas de aseguramiento de pequeños prestadores, por lo que el componente de aseguramiento del Plan </w:t>
      </w:r>
      <w:proofErr w:type="spellStart"/>
      <w:r w:rsidRPr="00E00F13">
        <w:rPr>
          <w:rFonts w:ascii="Arial" w:hAnsi="Arial" w:cs="Arial"/>
          <w:sz w:val="24"/>
          <w:szCs w:val="24"/>
        </w:rPr>
        <w:t>Wüin</w:t>
      </w:r>
      <w:proofErr w:type="spellEnd"/>
      <w:r w:rsidRPr="00E00F13">
        <w:rPr>
          <w:rFonts w:ascii="Arial" w:hAnsi="Arial" w:cs="Arial"/>
          <w:sz w:val="24"/>
          <w:szCs w:val="24"/>
        </w:rPr>
        <w:t xml:space="preserve"> </w:t>
      </w:r>
      <w:proofErr w:type="spellStart"/>
      <w:r w:rsidRPr="00E00F13">
        <w:rPr>
          <w:rFonts w:ascii="Arial" w:hAnsi="Arial" w:cs="Arial"/>
          <w:sz w:val="24"/>
          <w:szCs w:val="24"/>
        </w:rPr>
        <w:t>Ülees</w:t>
      </w:r>
      <w:proofErr w:type="spellEnd"/>
      <w:r w:rsidRPr="00E00F13">
        <w:rPr>
          <w:rFonts w:ascii="Arial" w:hAnsi="Arial" w:cs="Arial"/>
          <w:sz w:val="24"/>
          <w:szCs w:val="24"/>
        </w:rPr>
        <w:t xml:space="preserve"> podría quedar en suspenso indefinidamente. </w:t>
      </w:r>
    </w:p>
    <w:p w14:paraId="008FF936" w14:textId="2E5834DB" w:rsidR="007713EF" w:rsidRPr="00E00F13" w:rsidRDefault="007713EF" w:rsidP="000A2FFC">
      <w:pPr>
        <w:spacing w:after="0" w:line="360" w:lineRule="auto"/>
        <w:jc w:val="both"/>
        <w:rPr>
          <w:rFonts w:ascii="Arial" w:hAnsi="Arial" w:cs="Arial"/>
          <w:sz w:val="24"/>
          <w:szCs w:val="24"/>
        </w:rPr>
      </w:pPr>
    </w:p>
    <w:p w14:paraId="5034BB9C" w14:textId="344F92EF" w:rsidR="00894B4A" w:rsidRPr="00E00F13" w:rsidRDefault="007713EF" w:rsidP="00BE41DB">
      <w:pPr>
        <w:pStyle w:val="Ttulo3"/>
        <w:rPr>
          <w:rFonts w:eastAsia="Segoe UI"/>
          <w:color w:val="auto"/>
        </w:rPr>
      </w:pPr>
      <w:bookmarkStart w:id="101" w:name="_Toc234242830"/>
      <w:r w:rsidRPr="00E00F13">
        <w:rPr>
          <w:rFonts w:eastAsia="Segoe UI"/>
          <w:color w:val="auto"/>
        </w:rPr>
        <w:t xml:space="preserve">2.5.4. </w:t>
      </w:r>
      <w:r w:rsidR="00894B4A" w:rsidRPr="00E00F13">
        <w:rPr>
          <w:rFonts w:eastAsia="Segoe UI"/>
          <w:color w:val="auto"/>
        </w:rPr>
        <w:t>El Decreto 670 de 2025: Basura Cero. La población recicladora de oficio</w:t>
      </w:r>
      <w:bookmarkEnd w:id="101"/>
    </w:p>
    <w:p w14:paraId="4469B79D" w14:textId="3BE3579F" w:rsidR="00894B4A" w:rsidRPr="00E00F13" w:rsidRDefault="00894B4A" w:rsidP="00894B4A">
      <w:pPr>
        <w:spacing w:after="0" w:line="360" w:lineRule="auto"/>
        <w:jc w:val="both"/>
        <w:rPr>
          <w:rFonts w:ascii="Arial" w:eastAsia="Segoe UI" w:hAnsi="Arial" w:cs="Arial"/>
          <w:sz w:val="24"/>
          <w:szCs w:val="24"/>
        </w:rPr>
      </w:pPr>
      <w:r w:rsidRPr="00E00F13">
        <w:rPr>
          <w:rFonts w:ascii="Arial" w:eastAsia="Segoe UI" w:hAnsi="Arial" w:cs="Arial"/>
          <w:sz w:val="24"/>
          <w:szCs w:val="24"/>
        </w:rPr>
        <w:t xml:space="preserve">El Programa Basura Cero </w:t>
      </w:r>
      <w:r w:rsidR="00BE41DB" w:rsidRPr="00E00F13">
        <w:rPr>
          <w:rFonts w:ascii="Arial" w:eastAsia="Segoe UI" w:hAnsi="Arial" w:cs="Arial"/>
          <w:sz w:val="24"/>
          <w:szCs w:val="24"/>
        </w:rPr>
        <w:t>propende</w:t>
      </w:r>
      <w:r w:rsidRPr="00E00F13">
        <w:rPr>
          <w:rFonts w:ascii="Arial" w:eastAsia="Segoe UI" w:hAnsi="Arial" w:cs="Arial"/>
          <w:sz w:val="24"/>
          <w:szCs w:val="24"/>
        </w:rPr>
        <w:t xml:space="preserve"> por la transformación de comportamientos culturales que favorecen el reciclaje, la reutilización y la reducción del consumo.</w:t>
      </w:r>
    </w:p>
    <w:p w14:paraId="26B5ED2F" w14:textId="77777777" w:rsidR="00894B4A" w:rsidRPr="00E00F13" w:rsidRDefault="00894B4A" w:rsidP="00894B4A">
      <w:pPr>
        <w:spacing w:after="0" w:line="360" w:lineRule="auto"/>
        <w:jc w:val="both"/>
        <w:rPr>
          <w:rFonts w:ascii="Arial" w:eastAsia="Segoe UI" w:hAnsi="Arial" w:cs="Arial"/>
          <w:sz w:val="24"/>
          <w:szCs w:val="24"/>
        </w:rPr>
      </w:pPr>
    </w:p>
    <w:p w14:paraId="2C58F42D" w14:textId="77777777" w:rsidR="00894B4A" w:rsidRPr="00E00F13" w:rsidRDefault="00894B4A" w:rsidP="00894B4A">
      <w:pPr>
        <w:spacing w:after="0" w:line="360" w:lineRule="auto"/>
        <w:jc w:val="both"/>
        <w:rPr>
          <w:rFonts w:ascii="Arial" w:hAnsi="Arial" w:cs="Arial"/>
          <w:sz w:val="24"/>
          <w:szCs w:val="24"/>
          <w:shd w:val="clear" w:color="auto" w:fill="FFFFFF"/>
        </w:rPr>
      </w:pPr>
      <w:r w:rsidRPr="00E00F13">
        <w:rPr>
          <w:rFonts w:ascii="Arial" w:eastAsia="Segoe UI" w:hAnsi="Arial" w:cs="Arial"/>
          <w:sz w:val="24"/>
          <w:szCs w:val="24"/>
        </w:rPr>
        <w:t xml:space="preserve">El Decreto 670 reglamenta el artículo 227 de la Ley 2294 de 2023 referente al Programa Basura Cero. </w:t>
      </w:r>
      <w:r w:rsidRPr="00E00F13">
        <w:rPr>
          <w:rFonts w:ascii="Arial" w:hAnsi="Arial" w:cs="Arial"/>
          <w:sz w:val="24"/>
          <w:szCs w:val="24"/>
          <w:shd w:val="clear" w:color="auto" w:fill="FFFFFF"/>
        </w:rPr>
        <w:t>Plantea nuevas estrategias de gestión sostenible de residuos y economía circular en Colombia, con la finalidad de impulsar la economía circular, reducir la disposición final de residuos, fortalecer la inclusión de recicladores de oficio y promover la creación de Parques Tecnológicos y Ambientales (PTA).</w:t>
      </w:r>
    </w:p>
    <w:p w14:paraId="6B9C1C7D" w14:textId="77777777" w:rsidR="00894B4A" w:rsidRPr="00E00F13" w:rsidRDefault="00894B4A" w:rsidP="00894B4A">
      <w:pPr>
        <w:spacing w:after="0" w:line="360" w:lineRule="auto"/>
        <w:jc w:val="both"/>
        <w:rPr>
          <w:rFonts w:ascii="Arial" w:hAnsi="Arial" w:cs="Arial"/>
          <w:sz w:val="24"/>
          <w:szCs w:val="24"/>
          <w:shd w:val="clear" w:color="auto" w:fill="FFFFFF"/>
        </w:rPr>
      </w:pPr>
    </w:p>
    <w:p w14:paraId="5EFDE5D0" w14:textId="77777777" w:rsidR="00894B4A" w:rsidRPr="00E00F13" w:rsidRDefault="00894B4A" w:rsidP="00894B4A">
      <w:pPr>
        <w:spacing w:after="0" w:line="360" w:lineRule="auto"/>
        <w:jc w:val="both"/>
        <w:rPr>
          <w:rFonts w:ascii="Arial" w:eastAsia="Times New Roman" w:hAnsi="Arial" w:cs="Arial"/>
          <w:sz w:val="24"/>
          <w:szCs w:val="24"/>
          <w:lang w:eastAsia="es-CO"/>
        </w:rPr>
      </w:pPr>
      <w:r w:rsidRPr="00E00F13">
        <w:rPr>
          <w:rFonts w:ascii="Arial" w:eastAsia="Times New Roman" w:hAnsi="Arial" w:cs="Arial"/>
          <w:sz w:val="24"/>
          <w:szCs w:val="24"/>
          <w:lang w:eastAsia="es-CO"/>
        </w:rPr>
        <w:t>El Programa Basura Cero se concibe como una política pública integral que busca transformar el modelo tradicional de manejo de residuos en Colombia, pasando de un enfoque centrado en la disposición final hacia uno orientado a la prevención, la reutilización, el reciclaje y la economía circular. Se alinea con los principios de justicia ambiental, transición ecológica, inclusión social y participación comunitaria.</w:t>
      </w:r>
    </w:p>
    <w:p w14:paraId="4D6646E3" w14:textId="77777777" w:rsidR="00894B4A" w:rsidRPr="00E00F13" w:rsidRDefault="00894B4A" w:rsidP="00894B4A">
      <w:pPr>
        <w:spacing w:after="0" w:line="360" w:lineRule="auto"/>
        <w:jc w:val="both"/>
        <w:rPr>
          <w:rFonts w:ascii="Arial" w:eastAsia="Times New Roman" w:hAnsi="Arial" w:cs="Arial"/>
          <w:sz w:val="24"/>
          <w:szCs w:val="24"/>
          <w:lang w:eastAsia="es-CO"/>
        </w:rPr>
      </w:pPr>
    </w:p>
    <w:p w14:paraId="67BA42A3" w14:textId="77777777" w:rsidR="00894B4A" w:rsidRPr="00E00F13" w:rsidRDefault="00894B4A" w:rsidP="00894B4A">
      <w:pPr>
        <w:spacing w:after="0" w:line="360" w:lineRule="auto"/>
        <w:jc w:val="both"/>
        <w:rPr>
          <w:rFonts w:ascii="Arial" w:eastAsia="Times New Roman" w:hAnsi="Arial" w:cs="Arial"/>
          <w:sz w:val="24"/>
          <w:szCs w:val="24"/>
          <w:lang w:eastAsia="es-CO"/>
        </w:rPr>
      </w:pPr>
      <w:r w:rsidRPr="00E00F13">
        <w:rPr>
          <w:rFonts w:ascii="Arial" w:eastAsia="Times New Roman" w:hAnsi="Arial" w:cs="Arial"/>
          <w:sz w:val="24"/>
          <w:szCs w:val="24"/>
          <w:lang w:eastAsia="es-CO"/>
        </w:rPr>
        <w:t>Basura Cero no se limita a la reducción de residuos; implica reorganizar capacidades institucionales y fortalecer actores comunitarios y productivos hacia un modelo sostenible, distributivo y territorialmente diferenciado.</w:t>
      </w:r>
    </w:p>
    <w:p w14:paraId="6F9B4EB0" w14:textId="77777777" w:rsidR="00894B4A" w:rsidRPr="00E00F13" w:rsidRDefault="00894B4A" w:rsidP="00894B4A">
      <w:pPr>
        <w:spacing w:after="0" w:line="360" w:lineRule="auto"/>
        <w:jc w:val="both"/>
        <w:rPr>
          <w:rFonts w:ascii="Arial" w:eastAsia="Times New Roman" w:hAnsi="Arial" w:cs="Arial"/>
          <w:sz w:val="24"/>
          <w:szCs w:val="24"/>
          <w:lang w:eastAsia="es-CO"/>
        </w:rPr>
      </w:pPr>
    </w:p>
    <w:p w14:paraId="3426B039" w14:textId="0D263B0F" w:rsidR="00894B4A" w:rsidRPr="00E00F13" w:rsidRDefault="00F5469C" w:rsidP="00894B4A">
      <w:pPr>
        <w:pStyle w:val="Ttulo3"/>
        <w:rPr>
          <w:rFonts w:eastAsia="Times New Roman"/>
          <w:color w:val="auto"/>
        </w:rPr>
      </w:pPr>
      <w:r w:rsidRPr="00E00F13">
        <w:rPr>
          <w:rFonts w:eastAsia="Times New Roman"/>
          <w:color w:val="auto"/>
        </w:rPr>
        <w:tab/>
      </w:r>
      <w:bookmarkStart w:id="102" w:name="_Toc234242831"/>
      <w:r w:rsidR="00894B4A" w:rsidRPr="00E00F13">
        <w:rPr>
          <w:rFonts w:eastAsia="Times New Roman"/>
          <w:color w:val="auto"/>
        </w:rPr>
        <w:t>Cambio de enfoque: de la disposición final a la economía circular</w:t>
      </w:r>
      <w:bookmarkEnd w:id="102"/>
    </w:p>
    <w:p w14:paraId="4B433EF7" w14:textId="77777777" w:rsidR="00894B4A" w:rsidRPr="00E00F13" w:rsidRDefault="00894B4A" w:rsidP="00894B4A">
      <w:pPr>
        <w:spacing w:after="0" w:line="360" w:lineRule="auto"/>
        <w:jc w:val="both"/>
        <w:rPr>
          <w:rFonts w:ascii="Arial" w:eastAsia="Times New Roman" w:hAnsi="Arial" w:cs="Arial"/>
          <w:sz w:val="24"/>
          <w:szCs w:val="24"/>
          <w:lang w:eastAsia="es-CO"/>
        </w:rPr>
      </w:pPr>
      <w:r w:rsidRPr="00E00F13">
        <w:rPr>
          <w:rFonts w:ascii="Arial" w:eastAsia="Times New Roman" w:hAnsi="Arial" w:cs="Arial"/>
          <w:sz w:val="24"/>
          <w:szCs w:val="24"/>
          <w:lang w:eastAsia="es-CO"/>
        </w:rPr>
        <w:t>La gestión de residuos en Colombia ha estado históricamente condicionada por un enfoque de recolección, transporte y disposición, donde el relleno sanitario es el destino predominante. Este modelo es costoso, ambientalmente insostenible y socialmente injusto. El Programa Basura Cero propone un salto estratégico hacia un sistema basado en:</w:t>
      </w:r>
    </w:p>
    <w:p w14:paraId="6DD375C6" w14:textId="77777777" w:rsidR="00894B4A" w:rsidRPr="00E00F13" w:rsidRDefault="00894B4A" w:rsidP="00894B4A">
      <w:pPr>
        <w:spacing w:after="0" w:line="360" w:lineRule="auto"/>
        <w:jc w:val="both"/>
        <w:rPr>
          <w:rFonts w:ascii="Arial" w:eastAsia="Times New Roman" w:hAnsi="Arial" w:cs="Arial"/>
          <w:sz w:val="24"/>
          <w:szCs w:val="24"/>
          <w:lang w:eastAsia="es-CO"/>
        </w:rPr>
      </w:pPr>
    </w:p>
    <w:p w14:paraId="645A2A48" w14:textId="7ADE6B39" w:rsidR="00894B4A" w:rsidRPr="00E00F13" w:rsidRDefault="00894B4A" w:rsidP="00894B4A">
      <w:pPr>
        <w:spacing w:after="0" w:line="360" w:lineRule="auto"/>
        <w:jc w:val="both"/>
        <w:rPr>
          <w:rFonts w:ascii="Arial" w:eastAsia="Times New Roman" w:hAnsi="Arial" w:cs="Arial"/>
          <w:sz w:val="24"/>
          <w:szCs w:val="24"/>
          <w:lang w:eastAsia="es-CO"/>
        </w:rPr>
      </w:pPr>
      <w:r w:rsidRPr="00E00F13">
        <w:rPr>
          <w:rFonts w:ascii="Arial" w:hAnsi="Arial" w:cs="Arial"/>
          <w:b/>
          <w:bCs/>
          <w:sz w:val="24"/>
          <w:szCs w:val="24"/>
          <w:lang w:eastAsia="es-CO"/>
        </w:rPr>
        <w:t xml:space="preserve">La prevención y reducción en la fuente, </w:t>
      </w:r>
      <w:r w:rsidRPr="00E00F13">
        <w:rPr>
          <w:rFonts w:ascii="Arial" w:hAnsi="Arial" w:cs="Arial"/>
          <w:sz w:val="24"/>
          <w:szCs w:val="24"/>
          <w:lang w:eastAsia="es-CO"/>
        </w:rPr>
        <w:t>para</w:t>
      </w:r>
      <w:r w:rsidRPr="00E00F13">
        <w:rPr>
          <w:rFonts w:ascii="Arial" w:hAnsi="Arial" w:cs="Arial"/>
          <w:b/>
          <w:bCs/>
          <w:sz w:val="24"/>
          <w:szCs w:val="24"/>
          <w:lang w:eastAsia="es-CO"/>
        </w:rPr>
        <w:t xml:space="preserve"> </w:t>
      </w:r>
      <w:r w:rsidRPr="00E00F13">
        <w:rPr>
          <w:rFonts w:ascii="Arial" w:eastAsia="Times New Roman" w:hAnsi="Arial" w:cs="Arial"/>
          <w:sz w:val="24"/>
          <w:szCs w:val="24"/>
          <w:lang w:eastAsia="es-CO"/>
        </w:rPr>
        <w:t>promover cambios de comportamiento, rediseño de productos y mejores prácticas empresariales para disminuir el volumen de residuos generados.</w:t>
      </w:r>
    </w:p>
    <w:p w14:paraId="41C47526" w14:textId="77777777" w:rsidR="00894B4A" w:rsidRPr="00E00F13" w:rsidRDefault="00894B4A" w:rsidP="00894B4A">
      <w:pPr>
        <w:spacing w:after="0" w:line="360" w:lineRule="auto"/>
        <w:jc w:val="both"/>
        <w:rPr>
          <w:rFonts w:ascii="Arial" w:hAnsi="Arial" w:cs="Arial"/>
          <w:b/>
          <w:bCs/>
          <w:sz w:val="24"/>
          <w:szCs w:val="24"/>
          <w:lang w:eastAsia="es-CO"/>
        </w:rPr>
      </w:pPr>
    </w:p>
    <w:p w14:paraId="72150803" w14:textId="28CF0DFF" w:rsidR="00894B4A" w:rsidRPr="00E00F13" w:rsidRDefault="00894B4A" w:rsidP="00894B4A">
      <w:pPr>
        <w:spacing w:after="0" w:line="360" w:lineRule="auto"/>
        <w:jc w:val="both"/>
        <w:rPr>
          <w:rFonts w:ascii="Arial" w:eastAsia="Times New Roman" w:hAnsi="Arial" w:cs="Arial"/>
          <w:sz w:val="24"/>
          <w:szCs w:val="24"/>
          <w:lang w:eastAsia="es-CO"/>
        </w:rPr>
      </w:pPr>
      <w:r w:rsidRPr="00E00F13">
        <w:rPr>
          <w:rFonts w:ascii="Arial" w:hAnsi="Arial" w:cs="Arial"/>
          <w:b/>
          <w:bCs/>
          <w:sz w:val="24"/>
          <w:szCs w:val="24"/>
          <w:lang w:eastAsia="es-CO"/>
        </w:rPr>
        <w:t xml:space="preserve">El reaprovechamiento mediante cadenas de valor sostenibles, </w:t>
      </w:r>
      <w:r w:rsidRPr="00E00F13">
        <w:rPr>
          <w:rFonts w:ascii="Arial" w:hAnsi="Arial" w:cs="Arial"/>
          <w:sz w:val="24"/>
          <w:szCs w:val="24"/>
          <w:lang w:eastAsia="es-CO"/>
        </w:rPr>
        <w:t>para</w:t>
      </w:r>
      <w:r w:rsidRPr="00E00F13">
        <w:rPr>
          <w:rFonts w:ascii="Arial" w:eastAsia="Times New Roman" w:hAnsi="Arial" w:cs="Arial"/>
          <w:sz w:val="24"/>
          <w:szCs w:val="24"/>
          <w:lang w:eastAsia="es-CO"/>
        </w:rPr>
        <w:t xml:space="preserve"> impulsar cadenas productivas de reciclaje, transformación, compostaje y aprovechamiento energético, articulando a recicladores de oficio, organizaciones comunitarias, sectores productivos y gobiernos locales.</w:t>
      </w:r>
    </w:p>
    <w:p w14:paraId="2A58A549" w14:textId="77777777" w:rsidR="00894B4A" w:rsidRPr="00E00F13" w:rsidRDefault="00894B4A" w:rsidP="00894B4A">
      <w:pPr>
        <w:spacing w:after="0" w:line="360" w:lineRule="auto"/>
        <w:jc w:val="both"/>
        <w:rPr>
          <w:rFonts w:ascii="Arial" w:hAnsi="Arial" w:cs="Arial"/>
          <w:b/>
          <w:bCs/>
          <w:sz w:val="24"/>
          <w:szCs w:val="24"/>
          <w:lang w:eastAsia="es-CO"/>
        </w:rPr>
      </w:pPr>
    </w:p>
    <w:p w14:paraId="2BE13E99" w14:textId="25C9BD75" w:rsidR="00894B4A" w:rsidRPr="00E00F13" w:rsidRDefault="00894B4A" w:rsidP="00894B4A">
      <w:pPr>
        <w:spacing w:after="0" w:line="360" w:lineRule="auto"/>
        <w:jc w:val="both"/>
        <w:rPr>
          <w:rFonts w:ascii="Arial" w:eastAsia="Times New Roman" w:hAnsi="Arial" w:cs="Arial"/>
          <w:sz w:val="24"/>
          <w:szCs w:val="24"/>
          <w:lang w:eastAsia="es-CO"/>
        </w:rPr>
      </w:pPr>
      <w:r w:rsidRPr="00E00F13">
        <w:rPr>
          <w:rFonts w:ascii="Arial" w:hAnsi="Arial" w:cs="Arial"/>
          <w:b/>
          <w:bCs/>
          <w:sz w:val="24"/>
          <w:szCs w:val="24"/>
          <w:lang w:eastAsia="es-CO"/>
        </w:rPr>
        <w:t xml:space="preserve">La lógica del ciclo, </w:t>
      </w:r>
      <w:r w:rsidRPr="00E00F13">
        <w:rPr>
          <w:rFonts w:ascii="Arial" w:hAnsi="Arial" w:cs="Arial"/>
          <w:sz w:val="24"/>
          <w:szCs w:val="24"/>
          <w:lang w:eastAsia="es-CO"/>
        </w:rPr>
        <w:t>para</w:t>
      </w:r>
      <w:r w:rsidRPr="00E00F13">
        <w:rPr>
          <w:rFonts w:ascii="Arial" w:eastAsia="Times New Roman" w:hAnsi="Arial" w:cs="Arial"/>
          <w:sz w:val="24"/>
          <w:szCs w:val="24"/>
          <w:lang w:eastAsia="es-CO"/>
        </w:rPr>
        <w:t xml:space="preserve"> establecer el residuo como insumo económico, ambiental y social, cambiando la lógica de desecho por una lógica de ciclo.</w:t>
      </w:r>
    </w:p>
    <w:p w14:paraId="47760679" w14:textId="77777777" w:rsidR="00894B4A" w:rsidRPr="00E00F13" w:rsidRDefault="00894B4A" w:rsidP="00894B4A">
      <w:pPr>
        <w:spacing w:after="0" w:line="360" w:lineRule="auto"/>
        <w:jc w:val="both"/>
        <w:rPr>
          <w:rFonts w:ascii="Arial" w:hAnsi="Arial" w:cs="Arial"/>
          <w:b/>
          <w:bCs/>
          <w:sz w:val="24"/>
          <w:szCs w:val="24"/>
          <w:lang w:eastAsia="es-CO"/>
        </w:rPr>
      </w:pPr>
    </w:p>
    <w:p w14:paraId="7B2B2F72" w14:textId="77777777" w:rsidR="00894B4A" w:rsidRPr="00E00F13" w:rsidRDefault="00894B4A" w:rsidP="00894B4A">
      <w:pPr>
        <w:spacing w:after="0" w:line="360" w:lineRule="auto"/>
        <w:jc w:val="both"/>
        <w:rPr>
          <w:rFonts w:ascii="Arial" w:hAnsi="Arial" w:cs="Arial"/>
          <w:b/>
          <w:bCs/>
          <w:sz w:val="24"/>
          <w:szCs w:val="24"/>
          <w:lang w:eastAsia="es-CO"/>
        </w:rPr>
      </w:pPr>
      <w:r w:rsidRPr="00E00F13">
        <w:rPr>
          <w:rFonts w:ascii="Arial" w:hAnsi="Arial" w:cs="Arial"/>
          <w:b/>
          <w:bCs/>
          <w:sz w:val="24"/>
          <w:szCs w:val="24"/>
          <w:lang w:eastAsia="es-CO"/>
        </w:rPr>
        <w:t>La disminución de cargas sobre el territorio</w:t>
      </w:r>
      <w:r w:rsidRPr="00E00F13">
        <w:rPr>
          <w:rFonts w:ascii="Arial" w:hAnsi="Arial" w:cs="Arial"/>
          <w:sz w:val="24"/>
          <w:szCs w:val="24"/>
          <w:lang w:eastAsia="es-CO"/>
        </w:rPr>
        <w:t>, para r</w:t>
      </w:r>
      <w:r w:rsidRPr="00E00F13">
        <w:rPr>
          <w:rFonts w:ascii="Arial" w:eastAsia="Times New Roman" w:hAnsi="Arial" w:cs="Arial"/>
          <w:sz w:val="24"/>
          <w:szCs w:val="24"/>
          <w:lang w:eastAsia="es-CO"/>
        </w:rPr>
        <w:t>educir la dependencia de rellenos sanitarios y mitigar impactos ambientales, sociales y financieros asociados a su operación.</w:t>
      </w:r>
    </w:p>
    <w:p w14:paraId="42C82DA3" w14:textId="77777777" w:rsidR="00894B4A" w:rsidRPr="00E00F13" w:rsidRDefault="00894B4A" w:rsidP="00894B4A">
      <w:pPr>
        <w:spacing w:after="0" w:line="360" w:lineRule="auto"/>
        <w:jc w:val="both"/>
        <w:rPr>
          <w:rFonts w:ascii="Arial" w:eastAsia="Times New Roman" w:hAnsi="Arial" w:cs="Arial"/>
          <w:sz w:val="24"/>
          <w:szCs w:val="24"/>
          <w:lang w:eastAsia="es-CO"/>
        </w:rPr>
      </w:pPr>
    </w:p>
    <w:p w14:paraId="148B9E8F" w14:textId="0EB469CC" w:rsidR="00894B4A" w:rsidRPr="00E00F13" w:rsidRDefault="00F5469C" w:rsidP="00894B4A">
      <w:pPr>
        <w:pStyle w:val="Ttulo3"/>
        <w:jc w:val="both"/>
        <w:rPr>
          <w:rFonts w:eastAsia="Times New Roman"/>
          <w:color w:val="auto"/>
        </w:rPr>
      </w:pPr>
      <w:r w:rsidRPr="00E00F13">
        <w:rPr>
          <w:rFonts w:eastAsia="Times New Roman"/>
          <w:color w:val="auto"/>
        </w:rPr>
        <w:tab/>
      </w:r>
      <w:bookmarkStart w:id="103" w:name="_Toc234242832"/>
      <w:r w:rsidR="00894B4A" w:rsidRPr="00E00F13">
        <w:rPr>
          <w:rFonts w:eastAsia="Times New Roman"/>
          <w:color w:val="auto"/>
        </w:rPr>
        <w:t>Rol estratégico de los recicladores de oficio y las organizaciones comunitarias</w:t>
      </w:r>
      <w:bookmarkEnd w:id="103"/>
    </w:p>
    <w:p w14:paraId="4B4E8D58" w14:textId="77777777" w:rsidR="00894B4A" w:rsidRPr="00E00F13" w:rsidRDefault="00894B4A" w:rsidP="00894B4A">
      <w:pPr>
        <w:spacing w:after="0" w:line="360" w:lineRule="auto"/>
        <w:jc w:val="both"/>
        <w:rPr>
          <w:rFonts w:ascii="Arial" w:eastAsia="Times New Roman" w:hAnsi="Arial" w:cs="Arial"/>
          <w:sz w:val="24"/>
          <w:szCs w:val="24"/>
          <w:lang w:eastAsia="es-CO"/>
        </w:rPr>
      </w:pPr>
      <w:r w:rsidRPr="00E00F13">
        <w:rPr>
          <w:rFonts w:ascii="Arial" w:eastAsia="Times New Roman" w:hAnsi="Arial" w:cs="Arial"/>
          <w:sz w:val="24"/>
          <w:szCs w:val="24"/>
          <w:lang w:eastAsia="es-CO"/>
        </w:rPr>
        <w:t>En coherencia con la justicia social y ambiental, el programa reconoce a los recicladores de oficio y a las organizaciones comunitarias como actores centrales del modelo. Su rol no es periférico ni asistencial; es estructural en el sistema de aprovechamiento.</w:t>
      </w:r>
    </w:p>
    <w:p w14:paraId="1F91480E" w14:textId="77777777" w:rsidR="00894B4A" w:rsidRPr="00E00F13" w:rsidRDefault="00894B4A" w:rsidP="00894B4A">
      <w:pPr>
        <w:spacing w:after="0" w:line="360" w:lineRule="auto"/>
        <w:jc w:val="both"/>
        <w:rPr>
          <w:rFonts w:ascii="Arial" w:eastAsia="Times New Roman" w:hAnsi="Arial" w:cs="Arial"/>
          <w:sz w:val="24"/>
          <w:szCs w:val="24"/>
          <w:lang w:eastAsia="es-CO"/>
        </w:rPr>
      </w:pPr>
    </w:p>
    <w:p w14:paraId="35BD3C7B" w14:textId="15E3290D" w:rsidR="00E51DAB" w:rsidRPr="00E00F13" w:rsidRDefault="00894B4A" w:rsidP="007713EF">
      <w:pPr>
        <w:spacing w:after="0" w:line="360" w:lineRule="auto"/>
        <w:jc w:val="both"/>
        <w:rPr>
          <w:rFonts w:ascii="Arial" w:eastAsia="Times New Roman" w:hAnsi="Arial" w:cs="Arial"/>
          <w:sz w:val="24"/>
          <w:szCs w:val="24"/>
          <w:lang w:eastAsia="es-CO"/>
        </w:rPr>
      </w:pPr>
      <w:r w:rsidRPr="00E00F13">
        <w:rPr>
          <w:rFonts w:ascii="Arial" w:eastAsia="Times New Roman" w:hAnsi="Arial" w:cs="Arial"/>
          <w:sz w:val="24"/>
          <w:szCs w:val="24"/>
          <w:lang w:eastAsia="es-CO"/>
        </w:rPr>
        <w:t xml:space="preserve">Es por ello </w:t>
      </w:r>
      <w:proofErr w:type="gramStart"/>
      <w:r w:rsidRPr="00E00F13">
        <w:rPr>
          <w:rFonts w:ascii="Arial" w:eastAsia="Times New Roman" w:hAnsi="Arial" w:cs="Arial"/>
          <w:sz w:val="24"/>
          <w:szCs w:val="24"/>
          <w:lang w:eastAsia="es-CO"/>
        </w:rPr>
        <w:t>que</w:t>
      </w:r>
      <w:proofErr w:type="gramEnd"/>
      <w:r w:rsidRPr="00E00F13">
        <w:rPr>
          <w:rFonts w:ascii="Arial" w:eastAsia="Times New Roman" w:hAnsi="Arial" w:cs="Arial"/>
          <w:sz w:val="24"/>
          <w:szCs w:val="24"/>
          <w:lang w:eastAsia="es-CO"/>
        </w:rPr>
        <w:t xml:space="preserve"> su enfoque estratégico contempla integrar a recicladores en rutas selectivas, centros de acopio y procesos de transformación, reconociendo y </w:t>
      </w:r>
      <w:r w:rsidRPr="00E00F13">
        <w:rPr>
          <w:rFonts w:ascii="Arial" w:eastAsia="Times New Roman" w:hAnsi="Arial" w:cs="Arial"/>
          <w:sz w:val="24"/>
          <w:szCs w:val="24"/>
          <w:lang w:eastAsia="es-CO"/>
        </w:rPr>
        <w:lastRenderedPageBreak/>
        <w:t>fortaleciendo sus capacidades empresariales, organizativas y logísticas. Adicionalmente, garantizar condiciones dignas de trabajo estableciendo mecanismos de remuneración justa por el servicio ambiental que prestan y ampliando su participación en la toma de decisiones locales y regionales.</w:t>
      </w:r>
    </w:p>
    <w:p w14:paraId="28406F58" w14:textId="77777777" w:rsidR="00E51DAB" w:rsidRPr="00E00F13" w:rsidRDefault="00E51DAB" w:rsidP="007713EF">
      <w:pPr>
        <w:spacing w:after="0" w:line="360" w:lineRule="auto"/>
        <w:jc w:val="both"/>
        <w:rPr>
          <w:rFonts w:ascii="Arial" w:eastAsia="Segoe UI" w:hAnsi="Arial" w:cs="Arial"/>
          <w:sz w:val="24"/>
          <w:szCs w:val="24"/>
        </w:rPr>
      </w:pPr>
    </w:p>
    <w:p w14:paraId="6C15B3F8" w14:textId="2D44A24C" w:rsidR="002A5CD1" w:rsidRPr="00E00F13" w:rsidRDefault="007713EF" w:rsidP="002A5CD1">
      <w:pPr>
        <w:pStyle w:val="Ttulo3"/>
        <w:rPr>
          <w:rFonts w:eastAsia="Segoe UI"/>
          <w:color w:val="auto"/>
        </w:rPr>
      </w:pPr>
      <w:bookmarkStart w:id="104" w:name="_Toc234242833"/>
      <w:r w:rsidRPr="00E00F13">
        <w:rPr>
          <w:rFonts w:eastAsia="Segoe UI"/>
          <w:color w:val="auto"/>
        </w:rPr>
        <w:t xml:space="preserve">2.5.5. </w:t>
      </w:r>
      <w:r w:rsidR="002A5CD1" w:rsidRPr="00E00F13">
        <w:rPr>
          <w:color w:val="auto"/>
        </w:rPr>
        <w:t>El Grupo de Proyectos Diferenciales y Comunitarios: un cambio institucional estratégico</w:t>
      </w:r>
      <w:bookmarkEnd w:id="104"/>
    </w:p>
    <w:p w14:paraId="17A61F77" w14:textId="2A810889" w:rsidR="002A5CD1" w:rsidRPr="00E00F13" w:rsidRDefault="002A5CD1" w:rsidP="002368F4">
      <w:pPr>
        <w:spacing w:after="0" w:line="360" w:lineRule="auto"/>
        <w:jc w:val="both"/>
        <w:rPr>
          <w:rFonts w:ascii="Arial" w:hAnsi="Arial" w:cs="Arial"/>
          <w:sz w:val="24"/>
          <w:szCs w:val="24"/>
        </w:rPr>
      </w:pPr>
      <w:r w:rsidRPr="00E00F13">
        <w:rPr>
          <w:rFonts w:ascii="Arial" w:hAnsi="Arial" w:cs="Arial"/>
          <w:sz w:val="24"/>
          <w:szCs w:val="24"/>
        </w:rPr>
        <w:t>La presencia del Estado en el territorio no puede depender de solicitudes puntuales: es una obligación intervenir allí donde más se necesita inversión pública. Durante años, la limitada capacidad técnica y administrativa de muchas entidades territoriales —especialmente aquellas con menores recursos— impidió avanzar en la estructuración de proyectos de agua para el consumo humano y saneamiento básico para poblaciones con necesidades diferenciales, como las víctimas del conflicto armado. En este escenario, se hizo necesaria la creación de un equipo especializado que no funcionara como un simple verificador de requisitos, sino como un acompañante técnico permanente.</w:t>
      </w:r>
    </w:p>
    <w:p w14:paraId="5B11E122" w14:textId="77777777" w:rsidR="002A5CD1" w:rsidRPr="00E00F13" w:rsidRDefault="002A5CD1" w:rsidP="002368F4">
      <w:pPr>
        <w:spacing w:after="0" w:line="360" w:lineRule="auto"/>
        <w:jc w:val="both"/>
        <w:rPr>
          <w:rFonts w:ascii="Arial" w:hAnsi="Arial" w:cs="Arial"/>
          <w:sz w:val="24"/>
          <w:szCs w:val="24"/>
        </w:rPr>
      </w:pPr>
    </w:p>
    <w:p w14:paraId="57F6CB70" w14:textId="77777777" w:rsidR="002A5CD1" w:rsidRPr="00E00F13" w:rsidRDefault="002A5CD1" w:rsidP="002368F4">
      <w:pPr>
        <w:spacing w:after="0" w:line="360" w:lineRule="auto"/>
        <w:jc w:val="both"/>
        <w:rPr>
          <w:rFonts w:ascii="Arial" w:hAnsi="Arial" w:cs="Arial"/>
          <w:sz w:val="24"/>
          <w:szCs w:val="24"/>
        </w:rPr>
      </w:pPr>
      <w:r w:rsidRPr="00E00F13">
        <w:rPr>
          <w:rFonts w:ascii="Arial" w:hAnsi="Arial" w:cs="Arial"/>
          <w:sz w:val="24"/>
          <w:szCs w:val="24"/>
        </w:rPr>
        <w:t>Con este propósito, el Viceministerio de Agua y Saneamiento Básico modificó su organigrama y, a finales de 2023, creó el Grupo de Proyectos Diferenciales y Comunitarios, encargado de apoyar la definición y estructuración de proyectos en territorios históricamente marginados. Aunque su puesta en marcha enfrentó desafíos —como la ausencia inicial de una ficha de inversión o la falta de claridad sobre sus funciones—, el Grupo comenzó a consolidarse como uno de los pilares del cambio de enfoque del Ministerio.</w:t>
      </w:r>
    </w:p>
    <w:p w14:paraId="31E76BB8" w14:textId="77777777" w:rsidR="002A5CD1" w:rsidRPr="00E00F13" w:rsidRDefault="002A5CD1" w:rsidP="002A5CD1">
      <w:pPr>
        <w:rPr>
          <w:rFonts w:ascii="Arial" w:hAnsi="Arial" w:cs="Arial"/>
          <w:sz w:val="24"/>
          <w:szCs w:val="24"/>
        </w:rPr>
      </w:pPr>
    </w:p>
    <w:p w14:paraId="161C3821" w14:textId="3A4B6531" w:rsidR="002A5CD1" w:rsidRPr="00E00F13" w:rsidRDefault="00F5469C" w:rsidP="003075E5">
      <w:pPr>
        <w:pStyle w:val="Ttulo3"/>
        <w:rPr>
          <w:color w:val="auto"/>
        </w:rPr>
      </w:pPr>
      <w:r w:rsidRPr="00E00F13">
        <w:rPr>
          <w:color w:val="auto"/>
        </w:rPr>
        <w:tab/>
      </w:r>
      <w:bookmarkStart w:id="105" w:name="_Toc234242834"/>
      <w:r w:rsidR="002A5CD1" w:rsidRPr="00E00F13">
        <w:rPr>
          <w:color w:val="auto"/>
        </w:rPr>
        <w:t>Un nuevo enfoque: del modelo convencional a la gestión comunitaria</w:t>
      </w:r>
      <w:bookmarkEnd w:id="105"/>
    </w:p>
    <w:p w14:paraId="53A20C00" w14:textId="77777777" w:rsidR="002A5CD1" w:rsidRPr="00E00F13" w:rsidRDefault="002A5CD1" w:rsidP="002368F4">
      <w:pPr>
        <w:spacing w:after="0" w:line="360" w:lineRule="auto"/>
        <w:jc w:val="both"/>
        <w:rPr>
          <w:rFonts w:ascii="Arial" w:hAnsi="Arial" w:cs="Arial"/>
          <w:sz w:val="24"/>
          <w:szCs w:val="24"/>
        </w:rPr>
      </w:pPr>
      <w:r w:rsidRPr="00E00F13">
        <w:rPr>
          <w:rFonts w:ascii="Arial" w:hAnsi="Arial" w:cs="Arial"/>
          <w:sz w:val="24"/>
          <w:szCs w:val="24"/>
        </w:rPr>
        <w:t xml:space="preserve">Se ratifica que el cambio de paradigma impulsado por el Gobierno progresista parte de reconocer que los gestores comunitarios de agua y saneamiento básico son actores fundamentales para garantizar el acceso en amplias zonas rurales. </w:t>
      </w:r>
    </w:p>
    <w:p w14:paraId="0AB336D1" w14:textId="77777777" w:rsidR="002A5CD1" w:rsidRPr="00E00F13" w:rsidRDefault="002A5CD1" w:rsidP="002368F4">
      <w:pPr>
        <w:spacing w:after="0" w:line="360" w:lineRule="auto"/>
        <w:jc w:val="both"/>
        <w:rPr>
          <w:rFonts w:ascii="Arial" w:hAnsi="Arial" w:cs="Arial"/>
          <w:sz w:val="24"/>
          <w:szCs w:val="24"/>
        </w:rPr>
      </w:pPr>
    </w:p>
    <w:p w14:paraId="184AA919" w14:textId="77777777" w:rsidR="002A5CD1" w:rsidRPr="00E00F13" w:rsidRDefault="002A5CD1" w:rsidP="002368F4">
      <w:pPr>
        <w:spacing w:after="0" w:line="360" w:lineRule="auto"/>
        <w:jc w:val="both"/>
        <w:rPr>
          <w:rFonts w:ascii="Arial" w:hAnsi="Arial" w:cs="Arial"/>
          <w:sz w:val="24"/>
          <w:szCs w:val="24"/>
        </w:rPr>
      </w:pPr>
      <w:r w:rsidRPr="00E00F13">
        <w:rPr>
          <w:rFonts w:ascii="Arial" w:hAnsi="Arial" w:cs="Arial"/>
          <w:sz w:val="24"/>
          <w:szCs w:val="24"/>
        </w:rPr>
        <w:t xml:space="preserve">Uno de los principales desafíos conceptuales fue cuestionar la idea de que la prestación convencional definida en la Ley 142 constituye la única vía legítima para </w:t>
      </w:r>
      <w:r w:rsidRPr="00E00F13">
        <w:rPr>
          <w:rFonts w:ascii="Arial" w:hAnsi="Arial" w:cs="Arial"/>
          <w:sz w:val="24"/>
          <w:szCs w:val="24"/>
        </w:rPr>
        <w:lastRenderedPageBreak/>
        <w:t xml:space="preserve">garantizar el acceso al agua potable y al saneamiento básico. La apuesta institucional ha sido reconocer </w:t>
      </w:r>
      <w:r w:rsidRPr="00E00F13">
        <w:rPr>
          <w:rFonts w:ascii="Arial" w:hAnsi="Arial" w:cs="Arial"/>
          <w:b/>
          <w:bCs/>
          <w:sz w:val="24"/>
          <w:szCs w:val="24"/>
        </w:rPr>
        <w:t>otras formas de prestación</w:t>
      </w:r>
      <w:r w:rsidRPr="00E00F13">
        <w:rPr>
          <w:rFonts w:ascii="Arial" w:hAnsi="Arial" w:cs="Arial"/>
          <w:sz w:val="24"/>
          <w:szCs w:val="24"/>
        </w:rPr>
        <w:t>, como los esquemas diferenciales, los medios alternos y los sistemas de abastecimiento comunitario, así como reglamentar —por primera vez— mecanismos transitorios como los medios alternos contemplados en el decreto de mínimo vital.</w:t>
      </w:r>
    </w:p>
    <w:p w14:paraId="0345EE44" w14:textId="77777777" w:rsidR="002A5CD1" w:rsidRPr="00E00F13" w:rsidRDefault="002A5CD1" w:rsidP="002368F4">
      <w:pPr>
        <w:spacing w:after="0" w:line="360" w:lineRule="auto"/>
        <w:jc w:val="both"/>
        <w:rPr>
          <w:rFonts w:ascii="Arial" w:hAnsi="Arial" w:cs="Arial"/>
          <w:sz w:val="24"/>
          <w:szCs w:val="24"/>
        </w:rPr>
      </w:pPr>
    </w:p>
    <w:p w14:paraId="2CD25370" w14:textId="77777777" w:rsidR="002A5CD1" w:rsidRPr="00E00F13" w:rsidRDefault="002A5CD1" w:rsidP="002368F4">
      <w:pPr>
        <w:spacing w:after="0" w:line="360" w:lineRule="auto"/>
        <w:jc w:val="both"/>
        <w:rPr>
          <w:rFonts w:ascii="Arial" w:hAnsi="Arial" w:cs="Arial"/>
          <w:sz w:val="24"/>
          <w:szCs w:val="24"/>
        </w:rPr>
      </w:pPr>
      <w:r w:rsidRPr="00E00F13">
        <w:rPr>
          <w:rFonts w:ascii="Arial" w:hAnsi="Arial" w:cs="Arial"/>
          <w:sz w:val="24"/>
          <w:szCs w:val="24"/>
        </w:rPr>
        <w:t>Este giro conceptual se tradujo en acciones concretas: desde la expedición de nuevos decretos y la formulación de proyectos de ley, hasta la creación del Grupo de Proyectos Diferenciales y Comunitarios, diseñado para hacer una lectura territorial con enfoque social, político, diferencial y de conflicto armado.</w:t>
      </w:r>
    </w:p>
    <w:p w14:paraId="1BD7B407" w14:textId="77777777" w:rsidR="002A5CD1" w:rsidRPr="00E00F13" w:rsidRDefault="002A5CD1" w:rsidP="002368F4">
      <w:pPr>
        <w:spacing w:after="0" w:line="360" w:lineRule="auto"/>
        <w:jc w:val="both"/>
        <w:rPr>
          <w:rFonts w:ascii="Arial" w:hAnsi="Arial" w:cs="Arial"/>
          <w:sz w:val="24"/>
          <w:szCs w:val="24"/>
        </w:rPr>
      </w:pPr>
    </w:p>
    <w:p w14:paraId="3D222DD6" w14:textId="77777777" w:rsidR="002A5CD1" w:rsidRPr="00E00F13" w:rsidRDefault="002A5CD1" w:rsidP="002368F4">
      <w:pPr>
        <w:spacing w:after="0" w:line="360" w:lineRule="auto"/>
        <w:jc w:val="both"/>
        <w:rPr>
          <w:rFonts w:ascii="Arial" w:hAnsi="Arial" w:cs="Arial"/>
          <w:sz w:val="24"/>
          <w:szCs w:val="24"/>
        </w:rPr>
      </w:pPr>
      <w:r w:rsidRPr="00E00F13">
        <w:rPr>
          <w:rFonts w:ascii="Arial" w:hAnsi="Arial" w:cs="Arial"/>
          <w:sz w:val="24"/>
          <w:szCs w:val="24"/>
        </w:rPr>
        <w:t>En los territorios de mayor rezago y con mayor presencia de comunidades víctimas, la llegada del Ministerio enfrentaba desconfianza, producto de años de ausencia institucional y de las limitaciones operativas de los gobiernos locales. A ello se suman las dificultades derivadas del conflicto armado: muchos de los municipios con mayor déficit en acceso al agua coinciden con zonas donde persisten actores armados, disputas territoriales y complejas relaciones de poder.</w:t>
      </w:r>
    </w:p>
    <w:p w14:paraId="6345348B" w14:textId="77777777" w:rsidR="002A5CD1" w:rsidRPr="00E00F13" w:rsidRDefault="002A5CD1" w:rsidP="002368F4">
      <w:pPr>
        <w:spacing w:after="0" w:line="360" w:lineRule="auto"/>
        <w:jc w:val="both"/>
        <w:rPr>
          <w:rFonts w:ascii="Arial" w:hAnsi="Arial" w:cs="Arial"/>
          <w:sz w:val="24"/>
          <w:szCs w:val="24"/>
        </w:rPr>
      </w:pPr>
    </w:p>
    <w:p w14:paraId="70FDB579" w14:textId="77777777" w:rsidR="002A5CD1" w:rsidRPr="00E00F13" w:rsidRDefault="002A5CD1" w:rsidP="002368F4">
      <w:pPr>
        <w:spacing w:after="0" w:line="360" w:lineRule="auto"/>
        <w:jc w:val="both"/>
        <w:rPr>
          <w:rFonts w:ascii="Arial" w:hAnsi="Arial" w:cs="Arial"/>
          <w:sz w:val="24"/>
          <w:szCs w:val="24"/>
        </w:rPr>
      </w:pPr>
      <w:r w:rsidRPr="00E00F13">
        <w:rPr>
          <w:rFonts w:ascii="Arial" w:hAnsi="Arial" w:cs="Arial"/>
          <w:sz w:val="24"/>
          <w:szCs w:val="24"/>
        </w:rPr>
        <w:t>El Grupo de Proyectos Diferenciales y Comunitarios fue creado precisamente para llegar a esos lugares donde históricamente el Estado no había estado. Su labor implica coordinarse con los actores territoriales, evaluar las condiciones de seguridad, comprender dinámicas comunitarias y garantizar que las obras puedan ejecutarse sin riesgos para las comunidades ni para los equipos técnicos.</w:t>
      </w:r>
    </w:p>
    <w:p w14:paraId="5027E242" w14:textId="77777777" w:rsidR="002A5CD1" w:rsidRPr="00E00F13" w:rsidRDefault="002A5CD1" w:rsidP="002368F4">
      <w:pPr>
        <w:spacing w:after="0" w:line="360" w:lineRule="auto"/>
        <w:rPr>
          <w:sz w:val="24"/>
          <w:szCs w:val="24"/>
        </w:rPr>
      </w:pPr>
    </w:p>
    <w:p w14:paraId="251FEF32" w14:textId="7975D779" w:rsidR="002A5CD1" w:rsidRPr="00E00F13" w:rsidRDefault="00F5469C" w:rsidP="002A5CD1">
      <w:pPr>
        <w:pStyle w:val="Ttulo3"/>
        <w:rPr>
          <w:color w:val="auto"/>
        </w:rPr>
      </w:pPr>
      <w:r w:rsidRPr="00E00F13">
        <w:rPr>
          <w:color w:val="auto"/>
        </w:rPr>
        <w:tab/>
      </w:r>
      <w:bookmarkStart w:id="106" w:name="_Toc234242835"/>
      <w:r w:rsidR="002A5CD1" w:rsidRPr="00E00F13">
        <w:rPr>
          <w:color w:val="auto"/>
        </w:rPr>
        <w:t>Capacidades territoriales y soluciones no convencionales</w:t>
      </w:r>
      <w:bookmarkEnd w:id="106"/>
    </w:p>
    <w:p w14:paraId="5528163F" w14:textId="77777777" w:rsidR="002A5CD1" w:rsidRPr="00E00F13" w:rsidRDefault="002A5CD1" w:rsidP="002368F4">
      <w:pPr>
        <w:spacing w:after="0" w:line="360" w:lineRule="auto"/>
        <w:jc w:val="both"/>
        <w:rPr>
          <w:rFonts w:ascii="Arial" w:hAnsi="Arial" w:cs="Arial"/>
          <w:sz w:val="24"/>
          <w:szCs w:val="24"/>
        </w:rPr>
      </w:pPr>
      <w:r w:rsidRPr="00E00F13">
        <w:rPr>
          <w:rFonts w:ascii="Arial" w:hAnsi="Arial" w:cs="Arial"/>
          <w:sz w:val="24"/>
          <w:szCs w:val="24"/>
        </w:rPr>
        <w:t xml:space="preserve">Una de las apuestas del Gobierno nacional es cerrar las brechas que afectan a los municipios de categorías 4, 5 y 6, que no cuentan con equipos técnicos, administrativos o financieros para estructurar proyectos. El Grupo de Proyectos Diferenciales y Comunitarios actúa como un equipo consultor puesto al servicio de estas entidades y de las comunidades organizadas: ingenieros, arquitectos, </w:t>
      </w:r>
      <w:r w:rsidRPr="00E00F13">
        <w:rPr>
          <w:rFonts w:ascii="Arial" w:hAnsi="Arial" w:cs="Arial"/>
          <w:sz w:val="24"/>
          <w:szCs w:val="24"/>
        </w:rPr>
        <w:lastRenderedPageBreak/>
        <w:t>profesionales de las ciencias sociales, trabajadores sociales, especialistas en conflicto, expertos en formulación y estructuración de soluciones diferenciales.</w:t>
      </w:r>
    </w:p>
    <w:p w14:paraId="7DEA5ADB" w14:textId="77777777" w:rsidR="002A5CD1" w:rsidRPr="00E00F13" w:rsidRDefault="002A5CD1" w:rsidP="002368F4">
      <w:pPr>
        <w:spacing w:after="0" w:line="360" w:lineRule="auto"/>
        <w:jc w:val="both"/>
        <w:rPr>
          <w:rFonts w:ascii="Arial" w:hAnsi="Arial" w:cs="Arial"/>
          <w:sz w:val="24"/>
          <w:szCs w:val="24"/>
        </w:rPr>
      </w:pPr>
    </w:p>
    <w:p w14:paraId="4DCF1274" w14:textId="566706DA" w:rsidR="002A5CD1" w:rsidRPr="00E00F13" w:rsidRDefault="002A5CD1" w:rsidP="002368F4">
      <w:pPr>
        <w:spacing w:after="0" w:line="360" w:lineRule="auto"/>
        <w:jc w:val="both"/>
        <w:rPr>
          <w:rFonts w:ascii="Arial" w:hAnsi="Arial" w:cs="Arial"/>
          <w:sz w:val="24"/>
          <w:szCs w:val="24"/>
        </w:rPr>
      </w:pPr>
      <w:r w:rsidRPr="00E00F13">
        <w:rPr>
          <w:rFonts w:ascii="Arial" w:hAnsi="Arial" w:cs="Arial"/>
          <w:sz w:val="24"/>
          <w:szCs w:val="24"/>
        </w:rPr>
        <w:t>Gracias a esta capacidad, el Ministerio ha podido llegar a territorios rurales apartados apoyando proyectos asociados a procesos de retorno, reubicación y reparación a víctimas del conflicto armado. Estos proyectos contribuyen simultáneamente al acceso al agua y al saneamiento y a la reconstrucción del tejido social, articulándose con entidades como la Jurisdicción Especial para la Paz y posibilitando obras con contenido reparador.</w:t>
      </w:r>
    </w:p>
    <w:p w14:paraId="497EB5E2" w14:textId="77777777" w:rsidR="002368F4" w:rsidRPr="00E00F13" w:rsidRDefault="002368F4" w:rsidP="002368F4">
      <w:pPr>
        <w:spacing w:after="0" w:line="360" w:lineRule="auto"/>
        <w:jc w:val="both"/>
        <w:rPr>
          <w:rFonts w:ascii="Arial" w:hAnsi="Arial" w:cs="Arial"/>
          <w:sz w:val="24"/>
          <w:szCs w:val="24"/>
        </w:rPr>
      </w:pPr>
    </w:p>
    <w:p w14:paraId="1C03C84E" w14:textId="77777777" w:rsidR="002A5CD1" w:rsidRPr="00E00F13" w:rsidRDefault="002A5CD1" w:rsidP="002368F4">
      <w:pPr>
        <w:spacing w:after="0" w:line="360" w:lineRule="auto"/>
        <w:jc w:val="both"/>
        <w:rPr>
          <w:rFonts w:ascii="Arial" w:hAnsi="Arial" w:cs="Arial"/>
          <w:sz w:val="24"/>
          <w:szCs w:val="24"/>
        </w:rPr>
      </w:pPr>
      <w:r w:rsidRPr="00E00F13">
        <w:rPr>
          <w:rFonts w:ascii="Arial" w:hAnsi="Arial" w:cs="Arial"/>
          <w:sz w:val="24"/>
          <w:szCs w:val="24"/>
        </w:rPr>
        <w:t>Este cambio se refleja tanto en el rediseño institucional como en los avances en inversión y política pública:</w:t>
      </w:r>
    </w:p>
    <w:p w14:paraId="58281BD8" w14:textId="77777777" w:rsidR="002A5CD1" w:rsidRPr="00E00F13" w:rsidRDefault="002A5CD1" w:rsidP="002A5CD1">
      <w:pPr>
        <w:spacing w:after="0" w:line="360" w:lineRule="auto"/>
        <w:jc w:val="both"/>
        <w:rPr>
          <w:rFonts w:ascii="Arial" w:hAnsi="Arial" w:cs="Arial"/>
          <w:sz w:val="24"/>
          <w:szCs w:val="24"/>
        </w:rPr>
      </w:pPr>
    </w:p>
    <w:p w14:paraId="2D0AE7CA" w14:textId="5EAA8A6A" w:rsidR="002A5CD1" w:rsidRPr="00E00F13" w:rsidRDefault="002A5CD1" w:rsidP="005E33C6">
      <w:pPr>
        <w:numPr>
          <w:ilvl w:val="0"/>
          <w:numId w:val="39"/>
        </w:numPr>
        <w:spacing w:line="360" w:lineRule="auto"/>
        <w:jc w:val="both"/>
        <w:rPr>
          <w:rFonts w:ascii="Arial" w:hAnsi="Arial" w:cs="Arial"/>
          <w:b/>
          <w:bCs/>
          <w:sz w:val="24"/>
          <w:szCs w:val="24"/>
        </w:rPr>
      </w:pPr>
      <w:r w:rsidRPr="00E00F13">
        <w:rPr>
          <w:rFonts w:ascii="Arial" w:hAnsi="Arial" w:cs="Arial"/>
          <w:b/>
          <w:bCs/>
          <w:sz w:val="24"/>
          <w:szCs w:val="24"/>
        </w:rPr>
        <w:t>Transformación institucional</w:t>
      </w:r>
      <w:r w:rsidR="002368F4" w:rsidRPr="00E00F13">
        <w:rPr>
          <w:rFonts w:ascii="Arial" w:hAnsi="Arial" w:cs="Arial"/>
          <w:b/>
          <w:bCs/>
          <w:sz w:val="24"/>
          <w:szCs w:val="24"/>
        </w:rPr>
        <w:t xml:space="preserve">. </w:t>
      </w:r>
      <w:r w:rsidRPr="00E00F13">
        <w:rPr>
          <w:rFonts w:ascii="Arial" w:hAnsi="Arial" w:cs="Arial"/>
          <w:sz w:val="24"/>
          <w:szCs w:val="24"/>
        </w:rPr>
        <w:t xml:space="preserve">La creación del Grupo de Proyectos Diferenciales y Comunitarios como equipo interno del Viceministerio marca un cambio profundo en la forma de intervenir. En menos de un año desde su creación, en 2024 ya se habían estructurado e invertido numerosos recursos y proyectos en Guaviare, Vaupés, Puerto </w:t>
      </w:r>
      <w:proofErr w:type="spellStart"/>
      <w:r w:rsidRPr="00E00F13">
        <w:rPr>
          <w:rFonts w:ascii="Arial" w:hAnsi="Arial" w:cs="Arial"/>
          <w:sz w:val="24"/>
          <w:szCs w:val="24"/>
        </w:rPr>
        <w:t>Leguízamo</w:t>
      </w:r>
      <w:proofErr w:type="spellEnd"/>
      <w:r w:rsidRPr="00E00F13">
        <w:rPr>
          <w:rFonts w:ascii="Arial" w:hAnsi="Arial" w:cs="Arial"/>
          <w:sz w:val="24"/>
          <w:szCs w:val="24"/>
        </w:rPr>
        <w:t>, Nariño, Putumayo y Casanare.</w:t>
      </w:r>
    </w:p>
    <w:p w14:paraId="166B020F" w14:textId="77777777" w:rsidR="002A5CD1" w:rsidRPr="00E00F13" w:rsidRDefault="002A5CD1" w:rsidP="002A5CD1">
      <w:pPr>
        <w:spacing w:after="0" w:line="360" w:lineRule="auto"/>
        <w:jc w:val="both"/>
        <w:rPr>
          <w:rFonts w:ascii="Arial" w:hAnsi="Arial" w:cs="Arial"/>
          <w:sz w:val="24"/>
          <w:szCs w:val="24"/>
        </w:rPr>
      </w:pPr>
    </w:p>
    <w:p w14:paraId="3FF7928C" w14:textId="1C9ECEB1" w:rsidR="002A5CD1" w:rsidRPr="00E00F13" w:rsidRDefault="002A5CD1" w:rsidP="005E33C6">
      <w:pPr>
        <w:numPr>
          <w:ilvl w:val="0"/>
          <w:numId w:val="40"/>
        </w:numPr>
        <w:spacing w:line="360" w:lineRule="auto"/>
        <w:jc w:val="both"/>
        <w:rPr>
          <w:rFonts w:ascii="Arial" w:hAnsi="Arial" w:cs="Arial"/>
          <w:b/>
          <w:bCs/>
          <w:sz w:val="24"/>
          <w:szCs w:val="24"/>
        </w:rPr>
      </w:pPr>
      <w:r w:rsidRPr="00E00F13">
        <w:rPr>
          <w:rFonts w:ascii="Arial" w:hAnsi="Arial" w:cs="Arial"/>
          <w:b/>
          <w:bCs/>
          <w:sz w:val="24"/>
          <w:szCs w:val="24"/>
        </w:rPr>
        <w:t>Hito político y normativo</w:t>
      </w:r>
      <w:r w:rsidR="002368F4" w:rsidRPr="00E00F13">
        <w:rPr>
          <w:rFonts w:ascii="Arial" w:hAnsi="Arial" w:cs="Arial"/>
          <w:b/>
          <w:bCs/>
          <w:sz w:val="24"/>
          <w:szCs w:val="24"/>
        </w:rPr>
        <w:t xml:space="preserve">. </w:t>
      </w:r>
      <w:r w:rsidRPr="00E00F13">
        <w:rPr>
          <w:rFonts w:ascii="Arial" w:hAnsi="Arial" w:cs="Arial"/>
          <w:sz w:val="24"/>
          <w:szCs w:val="24"/>
        </w:rPr>
        <w:t>El lanzamiento del Decreto 0960 de 2025, que institucionaliza la Política Pública de Gestión Comunitaria del Agua y Saneamiento Básico para los próximos 12 años, constituye el paso definitivo del modelo. Por primera vez, los gestores comunitarios pueden acceder directamente a recursos del Viceministerio y celebrar convenios solidarios de mínima cuantía para ejecutar obras de rehabilitación, optimización o compra de repuestos.</w:t>
      </w:r>
    </w:p>
    <w:p w14:paraId="17BDD09D" w14:textId="77777777" w:rsidR="002A5CD1" w:rsidRPr="00E00F13" w:rsidRDefault="002A5CD1" w:rsidP="002A5CD1">
      <w:pPr>
        <w:spacing w:after="0" w:line="360" w:lineRule="auto"/>
        <w:jc w:val="both"/>
        <w:rPr>
          <w:rFonts w:ascii="Arial" w:hAnsi="Arial" w:cs="Arial"/>
          <w:sz w:val="24"/>
          <w:szCs w:val="24"/>
        </w:rPr>
      </w:pPr>
    </w:p>
    <w:p w14:paraId="5229CAF9" w14:textId="0854D4B0" w:rsidR="002A5CD1" w:rsidRPr="00E00F13" w:rsidRDefault="002A5CD1" w:rsidP="005E33C6">
      <w:pPr>
        <w:numPr>
          <w:ilvl w:val="0"/>
          <w:numId w:val="40"/>
        </w:numPr>
        <w:spacing w:line="360" w:lineRule="auto"/>
        <w:jc w:val="both"/>
        <w:rPr>
          <w:rFonts w:ascii="Arial" w:hAnsi="Arial" w:cs="Arial"/>
          <w:b/>
          <w:bCs/>
          <w:sz w:val="24"/>
          <w:szCs w:val="24"/>
        </w:rPr>
      </w:pPr>
      <w:r w:rsidRPr="00E00F13">
        <w:rPr>
          <w:rFonts w:ascii="Arial" w:hAnsi="Arial" w:cs="Arial"/>
          <w:b/>
          <w:bCs/>
          <w:sz w:val="24"/>
          <w:szCs w:val="24"/>
        </w:rPr>
        <w:t>Descentralización activa</w:t>
      </w:r>
      <w:r w:rsidR="002368F4" w:rsidRPr="00E00F13">
        <w:rPr>
          <w:rFonts w:ascii="Arial" w:hAnsi="Arial" w:cs="Arial"/>
          <w:b/>
          <w:bCs/>
          <w:sz w:val="24"/>
          <w:szCs w:val="24"/>
        </w:rPr>
        <w:t xml:space="preserve">. </w:t>
      </w:r>
      <w:r w:rsidRPr="00E00F13">
        <w:rPr>
          <w:rFonts w:ascii="Arial" w:hAnsi="Arial" w:cs="Arial"/>
          <w:sz w:val="24"/>
          <w:szCs w:val="24"/>
        </w:rPr>
        <w:t xml:space="preserve">Dado el centralismo histórico del país, la política obliga al Ministerio a llevar su oferta institucional a los municipios de </w:t>
      </w:r>
      <w:r w:rsidRPr="00E00F13">
        <w:rPr>
          <w:rFonts w:ascii="Arial" w:hAnsi="Arial" w:cs="Arial"/>
          <w:sz w:val="24"/>
          <w:szCs w:val="24"/>
        </w:rPr>
        <w:lastRenderedPageBreak/>
        <w:t>categorías 5 y 6 y a los gestores comunitarios en, por lo menos, cuatro departamentos cada año, seleccionados según los mayores déficits en acceso al agua.</w:t>
      </w:r>
    </w:p>
    <w:p w14:paraId="285C86FA" w14:textId="77777777" w:rsidR="002A5CD1" w:rsidRPr="00E00F13" w:rsidRDefault="002A5CD1" w:rsidP="002A5CD1">
      <w:pPr>
        <w:spacing w:after="0" w:line="360" w:lineRule="auto"/>
        <w:jc w:val="both"/>
        <w:rPr>
          <w:rFonts w:ascii="Arial" w:hAnsi="Arial" w:cs="Arial"/>
          <w:sz w:val="24"/>
          <w:szCs w:val="24"/>
        </w:rPr>
      </w:pPr>
    </w:p>
    <w:p w14:paraId="00B2FA78" w14:textId="77777777" w:rsidR="002A5CD1" w:rsidRPr="00E00F13" w:rsidRDefault="002A5CD1" w:rsidP="002A5CD1">
      <w:pPr>
        <w:spacing w:line="360" w:lineRule="auto"/>
        <w:jc w:val="both"/>
        <w:rPr>
          <w:rFonts w:ascii="Arial" w:hAnsi="Arial" w:cs="Arial"/>
          <w:sz w:val="24"/>
          <w:szCs w:val="24"/>
        </w:rPr>
      </w:pPr>
      <w:r w:rsidRPr="00E00F13">
        <w:rPr>
          <w:rFonts w:ascii="Arial" w:hAnsi="Arial" w:cs="Arial"/>
          <w:sz w:val="24"/>
          <w:szCs w:val="24"/>
        </w:rPr>
        <w:t>Uno de los principales desafíos continúa siendo la sostenibilidad de los sistemas implementados. Para enfrentar este desafío, el Grupo de Proyectos Diferenciales y Comunitarios está desarrollando Planes de Fortalecimiento Comunitario, donde se capacita a las comunidades desde la fase de estructuración sobre la operación, el mantenimiento y la responsabilidad compartida en la sostenibilidad.</w:t>
      </w:r>
    </w:p>
    <w:p w14:paraId="6D3F724E" w14:textId="77777777" w:rsidR="002A5CD1" w:rsidRPr="00E00F13" w:rsidRDefault="002A5CD1" w:rsidP="002A5CD1">
      <w:pPr>
        <w:spacing w:after="0" w:line="360" w:lineRule="auto"/>
        <w:jc w:val="both"/>
        <w:rPr>
          <w:rFonts w:ascii="Arial" w:hAnsi="Arial" w:cs="Arial"/>
          <w:sz w:val="24"/>
          <w:szCs w:val="24"/>
        </w:rPr>
      </w:pPr>
    </w:p>
    <w:p w14:paraId="604EFA76" w14:textId="6E80A7A6" w:rsidR="00F5469C" w:rsidRPr="00E00F13" w:rsidRDefault="002A5CD1" w:rsidP="002368F4">
      <w:pPr>
        <w:spacing w:line="360" w:lineRule="auto"/>
        <w:jc w:val="both"/>
        <w:rPr>
          <w:rFonts w:ascii="Arial" w:hAnsi="Arial" w:cs="Arial"/>
          <w:sz w:val="24"/>
          <w:szCs w:val="24"/>
        </w:rPr>
      </w:pPr>
      <w:r w:rsidRPr="00E00F13">
        <w:rPr>
          <w:rFonts w:ascii="Arial" w:hAnsi="Arial" w:cs="Arial"/>
          <w:sz w:val="24"/>
          <w:szCs w:val="24"/>
        </w:rPr>
        <w:t>Este enfoque reconoce que la operación puede estar en manos de la propia comunidad —no necesariamente del municipio o de una empresa de servicios públicos—.</w:t>
      </w:r>
      <w:r w:rsidRPr="00E00F13">
        <w:rPr>
          <w:rFonts w:ascii="Arial" w:hAnsi="Arial" w:cs="Arial"/>
          <w:b/>
          <w:bCs/>
          <w:kern w:val="36"/>
          <w:sz w:val="48"/>
          <w:szCs w:val="48"/>
        </w:rPr>
        <w:t xml:space="preserve"> </w:t>
      </w:r>
      <w:r w:rsidRPr="00E00F13">
        <w:rPr>
          <w:rFonts w:ascii="Arial" w:hAnsi="Arial" w:cs="Arial"/>
          <w:sz w:val="24"/>
          <w:szCs w:val="24"/>
        </w:rPr>
        <w:t>Por ello, además de la estructuración de proyectos de infraestructura, el Grupo adelanta procesos de formación dirigidos a gestores comunitarios en temas como calidad del agua, uso eficiente, ahorro del recurso, gestión del riesgo y formulación de proyectos diferenciales. Estas acciones corresponden a metas del Plan Nacional de Desarrollo 2022–2026.</w:t>
      </w:r>
    </w:p>
    <w:p w14:paraId="1419A97C" w14:textId="71F3C87A" w:rsidR="002A5CD1" w:rsidRPr="00E00F13" w:rsidRDefault="002A5CD1" w:rsidP="002A5CD1">
      <w:pPr>
        <w:spacing w:after="0" w:line="360" w:lineRule="auto"/>
        <w:jc w:val="both"/>
        <w:rPr>
          <w:rFonts w:ascii="Arial" w:hAnsi="Arial" w:cs="Arial"/>
          <w:sz w:val="24"/>
          <w:szCs w:val="24"/>
        </w:rPr>
      </w:pPr>
      <w:r w:rsidRPr="00E00F13">
        <w:rPr>
          <w:rFonts w:ascii="Arial" w:hAnsi="Arial" w:cs="Arial"/>
          <w:sz w:val="24"/>
          <w:szCs w:val="24"/>
        </w:rPr>
        <w:t>Con este enfoque integral —técnico, social, territorial y comunitario— el Grupo de Proyectos Diferenciales y Comunitarios se ha consolidado como un instrumento estratégico del cambio de enfoque del Ministerio hacia lo comunitario y lo diferencial, una forma distinta de hacer Estado en los territorios, basada en la confianza, el reconocimiento de las capacidades locales, la inclusión de formas no convencionales de prestación y la centralidad de las comunidades en la garantía del derecho al agua para el consumo</w:t>
      </w:r>
      <w:r w:rsidR="37552FE7" w:rsidRPr="00E00F13">
        <w:rPr>
          <w:rFonts w:ascii="Arial" w:hAnsi="Arial" w:cs="Arial"/>
          <w:sz w:val="24"/>
          <w:szCs w:val="24"/>
        </w:rPr>
        <w:t xml:space="preserve"> </w:t>
      </w:r>
      <w:r w:rsidRPr="00E00F13">
        <w:rPr>
          <w:rFonts w:ascii="Arial" w:hAnsi="Arial" w:cs="Arial"/>
          <w:sz w:val="24"/>
          <w:szCs w:val="24"/>
        </w:rPr>
        <w:t xml:space="preserve"> humano y saneamiento básico.</w:t>
      </w:r>
    </w:p>
    <w:p w14:paraId="62C460E6" w14:textId="77777777" w:rsidR="0099250F" w:rsidRPr="00E00F13" w:rsidRDefault="0099250F" w:rsidP="00E372F2">
      <w:pPr>
        <w:spacing w:after="0" w:line="360" w:lineRule="auto"/>
        <w:ind w:firstLine="708"/>
        <w:jc w:val="both"/>
        <w:rPr>
          <w:rFonts w:ascii="Arial" w:hAnsi="Arial" w:cs="Arial"/>
          <w:sz w:val="24"/>
          <w:szCs w:val="24"/>
        </w:rPr>
      </w:pPr>
    </w:p>
    <w:p w14:paraId="38A96F09" w14:textId="2B7A9980" w:rsidR="000601F6" w:rsidRPr="00E00F13" w:rsidRDefault="00D905BA" w:rsidP="000601F6">
      <w:pPr>
        <w:pStyle w:val="Ttulo2"/>
        <w:rPr>
          <w:color w:val="auto"/>
        </w:rPr>
      </w:pPr>
      <w:bookmarkStart w:id="107" w:name="_Toc213341858"/>
      <w:bookmarkStart w:id="108" w:name="_Toc234242836"/>
      <w:r w:rsidRPr="00E00F13">
        <w:rPr>
          <w:rStyle w:val="Ttulo2Car"/>
          <w:color w:val="auto"/>
        </w:rPr>
        <w:t>2.6</w:t>
      </w:r>
      <w:r w:rsidR="00E372F2" w:rsidRPr="00E00F13">
        <w:rPr>
          <w:rStyle w:val="Ttulo2Car"/>
          <w:color w:val="auto"/>
        </w:rPr>
        <w:t xml:space="preserve">. </w:t>
      </w:r>
      <w:r w:rsidR="000601F6" w:rsidRPr="00E00F13">
        <w:rPr>
          <w:color w:val="auto"/>
          <w:lang w:val="es-ES_tradnl"/>
        </w:rPr>
        <w:t>Lineamiento sobre el Ordenamiento Territorial Alrededor del Agua (OTAA)</w:t>
      </w:r>
      <w:bookmarkEnd w:id="108"/>
    </w:p>
    <w:p w14:paraId="57157A45" w14:textId="77777777" w:rsidR="000601F6" w:rsidRPr="00E00F13" w:rsidRDefault="000601F6" w:rsidP="000601F6">
      <w:pPr>
        <w:spacing w:after="0" w:line="360" w:lineRule="auto"/>
        <w:jc w:val="both"/>
        <w:rPr>
          <w:rFonts w:ascii="Arial" w:hAnsi="Arial" w:cs="Arial"/>
          <w:sz w:val="24"/>
          <w:szCs w:val="24"/>
          <w:lang w:val="es-ES_tradnl"/>
        </w:rPr>
      </w:pPr>
      <w:r w:rsidRPr="00E00F13">
        <w:rPr>
          <w:rFonts w:ascii="Arial" w:hAnsi="Arial" w:cs="Arial"/>
          <w:sz w:val="24"/>
          <w:szCs w:val="24"/>
          <w:lang w:val="es-ES_tradnl"/>
        </w:rPr>
        <w:t xml:space="preserve">El artículo 3 del Plan Nacional de Desarrollo 2022-2026 establece cinco ejes de trasformación, el primero de ellos es el Ordenamiento del territorio alrededor del agua (OTAA). En este sentido, en 2025 la ministra de vivienda, ciudad y territorio señaló que «Nuestro objetivo es recalcar la importancia del ordenamiento alrededor </w:t>
      </w:r>
      <w:r w:rsidRPr="00E00F13">
        <w:rPr>
          <w:rFonts w:ascii="Arial" w:hAnsi="Arial" w:cs="Arial"/>
          <w:sz w:val="24"/>
          <w:szCs w:val="24"/>
          <w:lang w:val="es-ES_tradnl"/>
        </w:rPr>
        <w:lastRenderedPageBreak/>
        <w:t>del agua como un elemento que nos permite el diálogo y un trabajo articulado, no solamente por municipios, sino por regiones, en función de esta importante visión de nuestro Plan Nacional de Desarrollo del presidente Gustavo Petro».</w:t>
      </w:r>
      <w:r w:rsidRPr="00E00F13">
        <w:rPr>
          <w:rFonts w:ascii="Arial" w:hAnsi="Arial" w:cs="Arial"/>
          <w:sz w:val="24"/>
          <w:szCs w:val="24"/>
        </w:rPr>
        <w:t xml:space="preserve"> El agua es un derecho fundamental y un bien común.</w:t>
      </w:r>
    </w:p>
    <w:p w14:paraId="6E008646" w14:textId="77777777" w:rsidR="000601F6" w:rsidRPr="00E00F13" w:rsidRDefault="000601F6" w:rsidP="000601F6">
      <w:pPr>
        <w:spacing w:after="0" w:line="360" w:lineRule="auto"/>
        <w:jc w:val="both"/>
        <w:rPr>
          <w:rFonts w:ascii="Arial" w:hAnsi="Arial" w:cs="Arial"/>
          <w:sz w:val="24"/>
          <w:szCs w:val="24"/>
          <w:lang w:val="es-ES_tradnl"/>
        </w:rPr>
      </w:pPr>
    </w:p>
    <w:p w14:paraId="252C2A23" w14:textId="77777777" w:rsidR="000601F6" w:rsidRPr="00E00F13" w:rsidRDefault="000601F6" w:rsidP="000601F6">
      <w:pPr>
        <w:spacing w:after="0" w:line="360" w:lineRule="auto"/>
        <w:jc w:val="both"/>
        <w:rPr>
          <w:rFonts w:ascii="Arial" w:hAnsi="Arial" w:cs="Arial"/>
          <w:sz w:val="24"/>
          <w:szCs w:val="24"/>
          <w:lang w:val="es-ES_tradnl"/>
        </w:rPr>
      </w:pPr>
      <w:r w:rsidRPr="00E00F13">
        <w:rPr>
          <w:rFonts w:ascii="Arial" w:hAnsi="Arial" w:cs="Arial"/>
          <w:sz w:val="24"/>
          <w:szCs w:val="24"/>
          <w:lang w:val="es-ES_tradnl"/>
        </w:rPr>
        <w:t>La Resolución 0137 del 10 de marzo de 2025 es el resultado de la importancia que para este Ministerio significa el ordenamiento del territorio alrededor del agua. Esta resolución, «Por la cual se crea y conforma el Comité de Gestión Estratégica de proyectos de ordenamiento territorial alrededor del agua</w:t>
      </w:r>
      <w:r w:rsidRPr="00E00F13">
        <w:rPr>
          <w:rFonts w:ascii="Arial" w:eastAsia="MingLiU-ExtB" w:hAnsi="Arial" w:cs="Arial"/>
          <w:sz w:val="24"/>
          <w:szCs w:val="24"/>
          <w:lang w:val="es-ES_tradnl"/>
        </w:rPr>
        <w:t>»</w:t>
      </w:r>
      <w:r w:rsidRPr="00E00F13">
        <w:rPr>
          <w:rFonts w:ascii="Arial" w:hAnsi="Arial" w:cs="Arial"/>
          <w:sz w:val="24"/>
          <w:szCs w:val="24"/>
          <w:lang w:val="es-ES_tradnl"/>
        </w:rPr>
        <w:t>, se enmarca en el plan estratégico institucional. En el plan estratégico se estableció que la visión del MVCT es fortalecer la política de hábitat integral que permita «(…) el ordenamiento territorial alrededor del agua, ampliar la cobertura de acceso a los servicios públicos de agua y saneamiento básico y la gestión integral de los residuos sólidos, así como el acceso a soluciones de vivienda mejorando la calidad de vida de la población, atendiendo de esta forma las necesidades de los territorios, y fortaleciendo las capacidades institucionales de los mismos».</w:t>
      </w:r>
      <w:r w:rsidRPr="00E00F13">
        <w:rPr>
          <w:rFonts w:ascii="Arial" w:hAnsi="Arial" w:cs="Arial"/>
          <w:sz w:val="24"/>
          <w:szCs w:val="24"/>
        </w:rPr>
        <w:t xml:space="preserve"> </w:t>
      </w:r>
    </w:p>
    <w:p w14:paraId="2A593A30" w14:textId="77777777" w:rsidR="000601F6" w:rsidRPr="00E00F13" w:rsidRDefault="000601F6" w:rsidP="000601F6">
      <w:pPr>
        <w:spacing w:after="0" w:line="360" w:lineRule="auto"/>
        <w:jc w:val="both"/>
        <w:rPr>
          <w:rFonts w:ascii="Arial" w:hAnsi="Arial" w:cs="Arial"/>
          <w:sz w:val="24"/>
          <w:szCs w:val="24"/>
          <w:lang w:val="es-ES_tradnl"/>
        </w:rPr>
      </w:pPr>
    </w:p>
    <w:p w14:paraId="3C1A0321" w14:textId="77777777" w:rsidR="000601F6" w:rsidRPr="00E00F13" w:rsidRDefault="000601F6" w:rsidP="000601F6">
      <w:pPr>
        <w:spacing w:after="0" w:line="360" w:lineRule="auto"/>
        <w:jc w:val="both"/>
        <w:rPr>
          <w:rFonts w:ascii="Arial" w:hAnsi="Arial" w:cs="Arial"/>
          <w:sz w:val="24"/>
          <w:szCs w:val="24"/>
        </w:rPr>
      </w:pPr>
      <w:r w:rsidRPr="00E00F13">
        <w:rPr>
          <w:rFonts w:ascii="Arial" w:hAnsi="Arial" w:cs="Arial"/>
          <w:sz w:val="24"/>
          <w:szCs w:val="24"/>
          <w:lang w:val="es-ES_tradnl"/>
        </w:rPr>
        <w:t xml:space="preserve">Es por ello </w:t>
      </w:r>
      <w:proofErr w:type="gramStart"/>
      <w:r w:rsidRPr="00E00F13">
        <w:rPr>
          <w:rFonts w:ascii="Arial" w:hAnsi="Arial" w:cs="Arial"/>
          <w:sz w:val="24"/>
          <w:szCs w:val="24"/>
          <w:lang w:val="es-ES_tradnl"/>
        </w:rPr>
        <w:t>que</w:t>
      </w:r>
      <w:proofErr w:type="gramEnd"/>
      <w:r w:rsidRPr="00E00F13">
        <w:rPr>
          <w:rFonts w:ascii="Arial" w:hAnsi="Arial" w:cs="Arial"/>
          <w:sz w:val="24"/>
          <w:szCs w:val="24"/>
          <w:lang w:val="es-ES_tradnl"/>
        </w:rPr>
        <w:t xml:space="preserve"> uno de los lineamientos fundamentales del hábitat biodiverso es el reconocimiento del ordenamiento social, popular y democrático del territorio. Dicho ordenamiento se fundamenta, a su vez, en el reconocimiento de los cuerpos de agua y de su ciclo vital. Es decir, como criterio unificador de todo arreglo socioespacial que busque transformar, mejorar, crear o construir hábitats. </w:t>
      </w:r>
      <w:r w:rsidRPr="00E00F13">
        <w:rPr>
          <w:rFonts w:ascii="Arial" w:hAnsi="Arial" w:cs="Arial"/>
          <w:sz w:val="24"/>
          <w:szCs w:val="24"/>
        </w:rPr>
        <w:t xml:space="preserve">Se fortalecen las nociones de lo público, lo común y lo comunitario como referentes de sentido de las prácticas sociales e institucionales en los procesos de ordenamiento territorial y construcción del hábitat. El OTAA concibe al agua como punto de partida para repensar las dinámicas rurales, urbanas y urbano regionales; las transiciones energéticas y los sistemas de producción. </w:t>
      </w:r>
    </w:p>
    <w:p w14:paraId="4CF6CB99" w14:textId="77777777" w:rsidR="000601F6" w:rsidRPr="00E00F13" w:rsidRDefault="000601F6" w:rsidP="000601F6">
      <w:pPr>
        <w:spacing w:after="0" w:line="360" w:lineRule="auto"/>
        <w:jc w:val="both"/>
        <w:rPr>
          <w:rFonts w:ascii="Arial" w:hAnsi="Arial" w:cs="Arial"/>
          <w:sz w:val="24"/>
          <w:szCs w:val="24"/>
        </w:rPr>
      </w:pPr>
    </w:p>
    <w:p w14:paraId="32ED98C8" w14:textId="77777777" w:rsidR="000601F6" w:rsidRPr="00E00F13" w:rsidRDefault="000601F6" w:rsidP="000601F6">
      <w:pPr>
        <w:spacing w:after="0" w:line="360" w:lineRule="auto"/>
        <w:jc w:val="both"/>
        <w:rPr>
          <w:rFonts w:ascii="Arial" w:eastAsia="Microsoft JhengHei UI" w:hAnsi="Arial" w:cs="Arial"/>
          <w:kern w:val="2"/>
          <w:sz w:val="24"/>
          <w:szCs w:val="24"/>
          <w14:ligatures w14:val="standardContextual"/>
        </w:rPr>
      </w:pPr>
      <w:r w:rsidRPr="00E00F13">
        <w:rPr>
          <w:rFonts w:ascii="Arial" w:eastAsia="Microsoft JhengHei UI" w:hAnsi="Arial" w:cs="Arial"/>
          <w:kern w:val="2"/>
          <w:sz w:val="24"/>
          <w:szCs w:val="24"/>
          <w14:ligatures w14:val="standardContextual"/>
        </w:rPr>
        <w:t xml:space="preserve">El OTAA está orientado a propiciar el desarrollo sostenible a través de la transformación del uso y ocupación del territorio hacia el sostenimiento de la vida </w:t>
      </w:r>
      <w:r w:rsidRPr="00E00F13">
        <w:rPr>
          <w:rFonts w:ascii="Arial" w:eastAsia="Microsoft JhengHei UI" w:hAnsi="Arial" w:cs="Arial"/>
          <w:kern w:val="2"/>
          <w:sz w:val="24"/>
          <w:szCs w:val="24"/>
          <w14:ligatures w14:val="standardContextual"/>
        </w:rPr>
        <w:lastRenderedPageBreak/>
        <w:t xml:space="preserve">de forma diversa y justa, en un contexto de crisis ambiental. </w:t>
      </w:r>
      <w:r w:rsidRPr="00E00F13">
        <w:rPr>
          <w:rFonts w:ascii="Arial" w:hAnsi="Arial" w:cs="Arial"/>
          <w:sz w:val="24"/>
          <w:szCs w:val="24"/>
        </w:rPr>
        <w:t xml:space="preserve">Esta apuesta pasa a ser referente de la operativización y la acción del Ministerio. </w:t>
      </w:r>
      <w:r w:rsidRPr="00E00F13">
        <w:rPr>
          <w:rFonts w:ascii="Arial" w:eastAsia="Microsoft JhengHei UI" w:hAnsi="Arial" w:cs="Arial"/>
          <w:kern w:val="2"/>
          <w:sz w:val="24"/>
          <w:szCs w:val="24"/>
          <w14:ligatures w14:val="standardContextual"/>
        </w:rPr>
        <w:t xml:space="preserve"> </w:t>
      </w:r>
    </w:p>
    <w:p w14:paraId="600AEF38" w14:textId="77777777" w:rsidR="000601F6" w:rsidRPr="00E00F13" w:rsidRDefault="000601F6" w:rsidP="000601F6">
      <w:pPr>
        <w:spacing w:after="0" w:line="360" w:lineRule="auto"/>
        <w:jc w:val="both"/>
        <w:rPr>
          <w:rFonts w:ascii="Arial" w:eastAsia="Microsoft JhengHei UI" w:hAnsi="Arial" w:cs="Arial"/>
          <w:kern w:val="2"/>
          <w:sz w:val="24"/>
          <w:szCs w:val="24"/>
          <w14:ligatures w14:val="standardContextual"/>
        </w:rPr>
      </w:pPr>
    </w:p>
    <w:p w14:paraId="1E882AE3" w14:textId="41C9F7CC" w:rsidR="000601F6" w:rsidRPr="00E00F13" w:rsidRDefault="000601F6" w:rsidP="000601F6">
      <w:pPr>
        <w:spacing w:after="0" w:line="360" w:lineRule="auto"/>
        <w:jc w:val="both"/>
        <w:rPr>
          <w:rFonts w:ascii="Arial" w:eastAsia="Microsoft JhengHei UI" w:hAnsi="Arial" w:cs="Arial"/>
          <w:kern w:val="2"/>
          <w:sz w:val="24"/>
          <w:szCs w:val="24"/>
          <w14:ligatures w14:val="standardContextual"/>
        </w:rPr>
      </w:pPr>
      <w:r w:rsidRPr="00E00F13">
        <w:rPr>
          <w:rFonts w:ascii="Arial" w:eastAsia="Microsoft JhengHei UI" w:hAnsi="Arial" w:cs="Arial"/>
          <w:kern w:val="2"/>
          <w:sz w:val="24"/>
          <w:szCs w:val="24"/>
          <w14:ligatures w14:val="standardContextual"/>
        </w:rPr>
        <w:t xml:space="preserve">Los </w:t>
      </w:r>
      <w:r w:rsidR="00BA6B1A" w:rsidRPr="00E00F13">
        <w:rPr>
          <w:rFonts w:ascii="Arial" w:eastAsia="Microsoft JhengHei UI" w:hAnsi="Arial" w:cs="Arial"/>
          <w:kern w:val="2"/>
          <w:sz w:val="24"/>
          <w:szCs w:val="24"/>
          <w14:ligatures w14:val="standardContextual"/>
        </w:rPr>
        <w:t>dieciocho</w:t>
      </w:r>
      <w:r w:rsidRPr="00E00F13">
        <w:rPr>
          <w:rFonts w:ascii="Arial" w:eastAsia="Microsoft JhengHei UI" w:hAnsi="Arial" w:cs="Arial"/>
          <w:kern w:val="2"/>
          <w:sz w:val="24"/>
          <w:szCs w:val="24"/>
          <w14:ligatures w14:val="standardContextual"/>
        </w:rPr>
        <w:t xml:space="preserve"> decretos y los enfoques diferenciales se han desarrollado bajo el principio fundamental del ordenamiento territorial alrededor del agua. Es así </w:t>
      </w:r>
      <w:proofErr w:type="gramStart"/>
      <w:r w:rsidRPr="00E00F13">
        <w:rPr>
          <w:rFonts w:ascii="Arial" w:eastAsia="Microsoft JhengHei UI" w:hAnsi="Arial" w:cs="Arial"/>
          <w:kern w:val="2"/>
          <w:sz w:val="24"/>
          <w:szCs w:val="24"/>
          <w14:ligatures w14:val="standardContextual"/>
        </w:rPr>
        <w:t>que</w:t>
      </w:r>
      <w:proofErr w:type="gramEnd"/>
      <w:r w:rsidRPr="00E00F13">
        <w:rPr>
          <w:rFonts w:ascii="Arial" w:eastAsia="Microsoft JhengHei UI" w:hAnsi="Arial" w:cs="Arial"/>
          <w:kern w:val="2"/>
          <w:sz w:val="24"/>
          <w:szCs w:val="24"/>
          <w14:ligatures w14:val="standardContextual"/>
        </w:rPr>
        <w:t xml:space="preserve"> las acciones del MVCT, tanto en agua para el consumo humano</w:t>
      </w:r>
      <w:r w:rsidR="000A10AF" w:rsidRPr="00E00F13">
        <w:rPr>
          <w:rFonts w:ascii="Arial" w:eastAsia="Microsoft JhengHei UI" w:hAnsi="Arial" w:cs="Arial"/>
          <w:kern w:val="2"/>
          <w:sz w:val="24"/>
          <w:szCs w:val="24"/>
          <w14:ligatures w14:val="standardContextual"/>
        </w:rPr>
        <w:t xml:space="preserve"> </w:t>
      </w:r>
      <w:r w:rsidRPr="00E00F13">
        <w:rPr>
          <w:rFonts w:ascii="Arial" w:eastAsia="Microsoft JhengHei UI" w:hAnsi="Arial" w:cs="Arial"/>
          <w:kern w:val="2"/>
          <w:sz w:val="24"/>
          <w:szCs w:val="24"/>
          <w14:ligatures w14:val="standardContextual"/>
        </w:rPr>
        <w:t xml:space="preserve">como en saneamiento básico y en vivienda, están determinadas por los enfoques diferenciales y por el lineamiento del ordenamiento del territorio alrededor del agua en todo su ciclo, estados y espacios. </w:t>
      </w:r>
    </w:p>
    <w:p w14:paraId="68E1FD63" w14:textId="77777777" w:rsidR="000601F6" w:rsidRPr="00E00F13" w:rsidRDefault="000601F6" w:rsidP="000601F6">
      <w:pPr>
        <w:spacing w:after="0" w:line="360" w:lineRule="auto"/>
        <w:jc w:val="both"/>
        <w:rPr>
          <w:rFonts w:ascii="Arial" w:eastAsia="Microsoft JhengHei UI" w:hAnsi="Arial" w:cs="Arial"/>
          <w:kern w:val="2"/>
          <w:sz w:val="24"/>
          <w:szCs w:val="24"/>
          <w14:ligatures w14:val="standardContextual"/>
        </w:rPr>
      </w:pPr>
    </w:p>
    <w:p w14:paraId="053EBF12" w14:textId="719D61C1" w:rsidR="000601F6" w:rsidRPr="00E00F13" w:rsidRDefault="000601F6" w:rsidP="000601F6">
      <w:pPr>
        <w:spacing w:after="0" w:line="360" w:lineRule="auto"/>
        <w:jc w:val="both"/>
        <w:rPr>
          <w:rFonts w:ascii="Arial" w:eastAsia="Microsoft JhengHei UI" w:hAnsi="Arial" w:cs="Arial"/>
          <w:kern w:val="2"/>
          <w:sz w:val="24"/>
          <w:szCs w:val="24"/>
          <w14:ligatures w14:val="standardContextual"/>
        </w:rPr>
      </w:pPr>
      <w:r w:rsidRPr="00E00F13">
        <w:rPr>
          <w:rFonts w:ascii="Arial" w:eastAsia="Microsoft JhengHei UI" w:hAnsi="Arial" w:cs="Arial"/>
          <w:kern w:val="2"/>
          <w:sz w:val="24"/>
          <w:szCs w:val="24"/>
          <w14:ligatures w14:val="standardContextual"/>
        </w:rPr>
        <w:t>Aun cuando ha habido avances estructurales sobre el ordenamiento y su relación con el agua, el saneamiento básico, la vivienda y el hábitat biodiverso impulsado por este Ministerio, hace falta desarrollar acciones más concretas. Uno de los retos para la implementación es fortalecer la articulación entre el Ministerio, las territorialidades y las organizaciones comunitarias para la formulación y desarrollo coherente de las políticas, los instrumentos de planificación y las capacidades institucionales y sociales con una visión integral, multiescalar y de largo plazo. Esto en procura del sostenimiento de la calidad de vida justa y digna de las comunidades.</w:t>
      </w:r>
    </w:p>
    <w:p w14:paraId="51BEC576" w14:textId="77777777" w:rsidR="003A01CD" w:rsidRPr="00E00F13" w:rsidRDefault="003A01CD" w:rsidP="00E372F2">
      <w:pPr>
        <w:spacing w:after="0" w:line="360" w:lineRule="auto"/>
        <w:jc w:val="both"/>
        <w:rPr>
          <w:rStyle w:val="Ttulo2Car"/>
          <w:color w:val="auto"/>
        </w:rPr>
      </w:pPr>
    </w:p>
    <w:p w14:paraId="7E253F01" w14:textId="5EFA987B" w:rsidR="00E372F2" w:rsidRPr="00E00F13" w:rsidRDefault="003A01CD" w:rsidP="003075E5">
      <w:pPr>
        <w:pStyle w:val="Ttulo2"/>
        <w:rPr>
          <w:rFonts w:ascii="Arial" w:hAnsi="Arial" w:cs="Arial"/>
          <w:color w:val="auto"/>
          <w:sz w:val="24"/>
          <w:szCs w:val="24"/>
        </w:rPr>
      </w:pPr>
      <w:bookmarkStart w:id="109" w:name="_Toc234242837"/>
      <w:r w:rsidRPr="00E00F13">
        <w:rPr>
          <w:rStyle w:val="Ttulo2Car"/>
          <w:color w:val="auto"/>
        </w:rPr>
        <w:t xml:space="preserve">2.7. </w:t>
      </w:r>
      <w:r w:rsidR="00F5469C" w:rsidRPr="00E00F13">
        <w:rPr>
          <w:rStyle w:val="Ttulo2Car"/>
          <w:color w:val="auto"/>
        </w:rPr>
        <w:t>L</w:t>
      </w:r>
      <w:r w:rsidR="00D905BA" w:rsidRPr="00E00F13">
        <w:rPr>
          <w:rStyle w:val="Ttulo2Car"/>
          <w:color w:val="auto"/>
        </w:rPr>
        <w:t>a importancia de generar confianza: las e</w:t>
      </w:r>
      <w:r w:rsidR="00E372F2" w:rsidRPr="00E00F13">
        <w:rPr>
          <w:rStyle w:val="Ttulo2Car"/>
          <w:color w:val="auto"/>
        </w:rPr>
        <w:t>xperiencias territoriales</w:t>
      </w:r>
      <w:bookmarkEnd w:id="109"/>
      <w:r w:rsidR="00E372F2" w:rsidRPr="00E00F13">
        <w:rPr>
          <w:rStyle w:val="Ttulo2Car"/>
          <w:color w:val="auto"/>
        </w:rPr>
        <w:t xml:space="preserve"> </w:t>
      </w:r>
      <w:bookmarkEnd w:id="107"/>
    </w:p>
    <w:p w14:paraId="36ADF23C" w14:textId="4EB9BF08" w:rsidR="00CD0E87" w:rsidRPr="00E00F13" w:rsidRDefault="00CD0E87" w:rsidP="00CD0E87">
      <w:pPr>
        <w:spacing w:after="0" w:line="360" w:lineRule="auto"/>
        <w:jc w:val="both"/>
        <w:rPr>
          <w:rFonts w:ascii="Arial" w:hAnsi="Arial" w:cs="Arial"/>
          <w:sz w:val="24"/>
          <w:szCs w:val="24"/>
        </w:rPr>
      </w:pPr>
      <w:r w:rsidRPr="00E00F13">
        <w:rPr>
          <w:rFonts w:ascii="Arial" w:hAnsi="Arial" w:cs="Arial"/>
          <w:sz w:val="24"/>
          <w:szCs w:val="24"/>
        </w:rPr>
        <w:t xml:space="preserve">Uno de los cambios de paradigma más importantes que ha concebido y gestionado el Ministerio de Vivienda, Ciudad y Territorio en estos últimos tres años ha sido adoptar, de forma y fondo, el enfoque territorial en su agenda. </w:t>
      </w:r>
      <w:r w:rsidR="002368F4" w:rsidRPr="00E00F13">
        <w:rPr>
          <w:rFonts w:ascii="Arial" w:hAnsi="Arial" w:cs="Arial"/>
          <w:sz w:val="24"/>
          <w:szCs w:val="24"/>
        </w:rPr>
        <w:t>Previo a</w:t>
      </w:r>
      <w:r w:rsidRPr="00E00F13">
        <w:rPr>
          <w:rFonts w:ascii="Arial" w:hAnsi="Arial" w:cs="Arial"/>
          <w:sz w:val="24"/>
          <w:szCs w:val="24"/>
        </w:rPr>
        <w:t xml:space="preserve"> 2022, </w:t>
      </w:r>
      <w:r w:rsidR="002368F4" w:rsidRPr="00E00F13">
        <w:rPr>
          <w:rFonts w:ascii="Arial" w:hAnsi="Arial" w:cs="Arial"/>
          <w:sz w:val="24"/>
          <w:szCs w:val="24"/>
        </w:rPr>
        <w:t xml:space="preserve">la </w:t>
      </w:r>
      <w:r w:rsidRPr="00E00F13">
        <w:rPr>
          <w:rFonts w:ascii="Arial" w:hAnsi="Arial" w:cs="Arial"/>
          <w:sz w:val="24"/>
          <w:szCs w:val="24"/>
        </w:rPr>
        <w:t>base de relacionamiento con los actores locales</w:t>
      </w:r>
      <w:r w:rsidR="002368F4" w:rsidRPr="00E00F13">
        <w:rPr>
          <w:rFonts w:ascii="Arial" w:hAnsi="Arial" w:cs="Arial"/>
          <w:sz w:val="24"/>
          <w:szCs w:val="24"/>
        </w:rPr>
        <w:t xml:space="preserve"> era muy débil</w:t>
      </w:r>
      <w:r w:rsidRPr="00E00F13">
        <w:rPr>
          <w:rFonts w:ascii="Arial" w:hAnsi="Arial" w:cs="Arial"/>
          <w:sz w:val="24"/>
          <w:szCs w:val="24"/>
        </w:rPr>
        <w:t xml:space="preserve">. Y este fue el primer cambio de paradigma.  </w:t>
      </w:r>
    </w:p>
    <w:p w14:paraId="4A32ACBB" w14:textId="77777777" w:rsidR="00CD0E87" w:rsidRPr="00E00F13" w:rsidRDefault="00CD0E87" w:rsidP="00CD0E87">
      <w:pPr>
        <w:spacing w:after="0" w:line="360" w:lineRule="auto"/>
        <w:jc w:val="both"/>
        <w:rPr>
          <w:rFonts w:ascii="Arial" w:hAnsi="Arial" w:cs="Arial"/>
          <w:sz w:val="24"/>
          <w:szCs w:val="24"/>
        </w:rPr>
      </w:pPr>
    </w:p>
    <w:p w14:paraId="15195FF9" w14:textId="5F8405D6" w:rsidR="00CD0E87" w:rsidRPr="00E00F13" w:rsidRDefault="00CD0E87" w:rsidP="00CD0E87">
      <w:pPr>
        <w:spacing w:after="0" w:line="360" w:lineRule="auto"/>
        <w:jc w:val="both"/>
        <w:rPr>
          <w:rFonts w:ascii="Arial" w:hAnsi="Arial" w:cs="Arial"/>
          <w:sz w:val="24"/>
          <w:szCs w:val="24"/>
        </w:rPr>
      </w:pPr>
      <w:r w:rsidRPr="00E00F13">
        <w:rPr>
          <w:rFonts w:ascii="Arial" w:hAnsi="Arial" w:cs="Arial"/>
          <w:sz w:val="24"/>
          <w:szCs w:val="24"/>
        </w:rPr>
        <w:t>Antes del Plan Nacional de Desarrollo 2022-2026 el Ministerio tenía una relación distante con las regiones. No existían</w:t>
      </w:r>
      <w:r w:rsidR="0004411D" w:rsidRPr="00E00F13">
        <w:rPr>
          <w:rFonts w:ascii="Arial" w:hAnsi="Arial" w:cs="Arial"/>
          <w:sz w:val="24"/>
          <w:szCs w:val="24"/>
        </w:rPr>
        <w:t xml:space="preserve"> o no eran tan relevantes</w:t>
      </w:r>
      <w:r w:rsidRPr="00E00F13">
        <w:rPr>
          <w:rFonts w:ascii="Arial" w:hAnsi="Arial" w:cs="Arial"/>
          <w:sz w:val="24"/>
          <w:szCs w:val="24"/>
        </w:rPr>
        <w:t>:</w:t>
      </w:r>
    </w:p>
    <w:p w14:paraId="0983855D" w14:textId="77777777" w:rsidR="00CD0E87" w:rsidRPr="00E00F13" w:rsidRDefault="00CD0E87" w:rsidP="005E33C6">
      <w:pPr>
        <w:numPr>
          <w:ilvl w:val="0"/>
          <w:numId w:val="14"/>
        </w:numPr>
        <w:spacing w:after="0" w:line="360" w:lineRule="auto"/>
        <w:jc w:val="both"/>
        <w:rPr>
          <w:rFonts w:ascii="Arial" w:hAnsi="Arial" w:cs="Arial"/>
          <w:sz w:val="24"/>
          <w:szCs w:val="24"/>
        </w:rPr>
      </w:pPr>
      <w:r w:rsidRPr="00E00F13">
        <w:rPr>
          <w:rFonts w:ascii="Arial" w:hAnsi="Arial" w:cs="Arial"/>
          <w:sz w:val="24"/>
          <w:szCs w:val="24"/>
        </w:rPr>
        <w:t>Mapas de actores</w:t>
      </w:r>
    </w:p>
    <w:p w14:paraId="159FF337" w14:textId="77777777" w:rsidR="00CD0E87" w:rsidRPr="00E00F13" w:rsidRDefault="00CD0E87" w:rsidP="005E33C6">
      <w:pPr>
        <w:numPr>
          <w:ilvl w:val="0"/>
          <w:numId w:val="14"/>
        </w:numPr>
        <w:spacing w:after="0" w:line="360" w:lineRule="auto"/>
        <w:jc w:val="both"/>
        <w:rPr>
          <w:rFonts w:ascii="Arial" w:hAnsi="Arial" w:cs="Arial"/>
          <w:sz w:val="24"/>
          <w:szCs w:val="24"/>
        </w:rPr>
      </w:pPr>
      <w:r w:rsidRPr="00E00F13">
        <w:rPr>
          <w:rFonts w:ascii="Arial" w:hAnsi="Arial" w:cs="Arial"/>
          <w:sz w:val="24"/>
          <w:szCs w:val="24"/>
        </w:rPr>
        <w:t>Diagnósticos territoriales</w:t>
      </w:r>
    </w:p>
    <w:p w14:paraId="344241D3" w14:textId="77777777" w:rsidR="00CD0E87" w:rsidRPr="00E00F13" w:rsidRDefault="00CD0E87" w:rsidP="005E33C6">
      <w:pPr>
        <w:numPr>
          <w:ilvl w:val="0"/>
          <w:numId w:val="14"/>
        </w:numPr>
        <w:spacing w:after="0" w:line="360" w:lineRule="auto"/>
        <w:jc w:val="both"/>
        <w:rPr>
          <w:rFonts w:ascii="Arial" w:hAnsi="Arial" w:cs="Arial"/>
          <w:sz w:val="24"/>
          <w:szCs w:val="24"/>
        </w:rPr>
      </w:pPr>
      <w:r w:rsidRPr="00E00F13">
        <w:rPr>
          <w:rFonts w:ascii="Arial" w:hAnsi="Arial" w:cs="Arial"/>
          <w:sz w:val="24"/>
          <w:szCs w:val="24"/>
        </w:rPr>
        <w:t>Procesos sostenidos de diálogo</w:t>
      </w:r>
    </w:p>
    <w:p w14:paraId="6CE40202" w14:textId="77777777" w:rsidR="00CD0E87" w:rsidRPr="00E00F13" w:rsidRDefault="00CD0E87" w:rsidP="005E33C6">
      <w:pPr>
        <w:numPr>
          <w:ilvl w:val="0"/>
          <w:numId w:val="14"/>
        </w:numPr>
        <w:spacing w:after="0" w:line="360" w:lineRule="auto"/>
        <w:jc w:val="both"/>
        <w:rPr>
          <w:rFonts w:ascii="Arial" w:hAnsi="Arial" w:cs="Arial"/>
          <w:sz w:val="24"/>
          <w:szCs w:val="24"/>
        </w:rPr>
      </w:pPr>
      <w:r w:rsidRPr="00E00F13">
        <w:rPr>
          <w:rFonts w:ascii="Arial" w:hAnsi="Arial" w:cs="Arial"/>
          <w:sz w:val="24"/>
          <w:szCs w:val="24"/>
        </w:rPr>
        <w:lastRenderedPageBreak/>
        <w:t>Lineamientos claros del enfoque territorial</w:t>
      </w:r>
    </w:p>
    <w:p w14:paraId="022DF613" w14:textId="77777777" w:rsidR="00CD0E87" w:rsidRPr="00E00F13" w:rsidRDefault="00CD0E87" w:rsidP="005E33C6">
      <w:pPr>
        <w:numPr>
          <w:ilvl w:val="0"/>
          <w:numId w:val="14"/>
        </w:numPr>
        <w:spacing w:after="0" w:line="360" w:lineRule="auto"/>
        <w:jc w:val="both"/>
        <w:rPr>
          <w:rFonts w:ascii="Arial" w:hAnsi="Arial" w:cs="Arial"/>
          <w:sz w:val="24"/>
          <w:szCs w:val="24"/>
        </w:rPr>
      </w:pPr>
      <w:r w:rsidRPr="00E00F13">
        <w:rPr>
          <w:rFonts w:ascii="Arial" w:hAnsi="Arial" w:cs="Arial"/>
          <w:sz w:val="24"/>
          <w:szCs w:val="24"/>
        </w:rPr>
        <w:t>Criterios para el relacionamiento</w:t>
      </w:r>
    </w:p>
    <w:p w14:paraId="3845E762" w14:textId="77777777" w:rsidR="00CD0E87" w:rsidRPr="00E00F13" w:rsidRDefault="00CD0E87" w:rsidP="005E33C6">
      <w:pPr>
        <w:numPr>
          <w:ilvl w:val="0"/>
          <w:numId w:val="14"/>
        </w:numPr>
        <w:spacing w:after="0" w:line="360" w:lineRule="auto"/>
        <w:jc w:val="both"/>
        <w:rPr>
          <w:rFonts w:ascii="Arial" w:hAnsi="Arial" w:cs="Arial"/>
          <w:sz w:val="24"/>
          <w:szCs w:val="24"/>
        </w:rPr>
      </w:pPr>
      <w:r w:rsidRPr="00E00F13">
        <w:rPr>
          <w:rFonts w:ascii="Arial" w:hAnsi="Arial" w:cs="Arial"/>
          <w:sz w:val="24"/>
          <w:szCs w:val="24"/>
        </w:rPr>
        <w:t>Mecanismos para armonizar lo nuevo (como la autogestión) con deudas pasadas</w:t>
      </w:r>
    </w:p>
    <w:p w14:paraId="6CCA6215" w14:textId="77777777" w:rsidR="00CD0E87" w:rsidRPr="00E00F13" w:rsidRDefault="00CD0E87" w:rsidP="00CD0E87">
      <w:pPr>
        <w:spacing w:after="0" w:line="360" w:lineRule="auto"/>
        <w:jc w:val="both"/>
        <w:rPr>
          <w:rFonts w:ascii="Arial" w:hAnsi="Arial" w:cs="Arial"/>
          <w:sz w:val="24"/>
          <w:szCs w:val="24"/>
        </w:rPr>
      </w:pPr>
    </w:p>
    <w:p w14:paraId="2B21BB69" w14:textId="5AD77FAA" w:rsidR="00CD0E87" w:rsidRPr="00E00F13" w:rsidRDefault="00CD0E87" w:rsidP="00CD0E87">
      <w:pPr>
        <w:spacing w:after="0" w:line="360" w:lineRule="auto"/>
        <w:jc w:val="both"/>
        <w:rPr>
          <w:rFonts w:ascii="Segoe UI" w:eastAsia="Segoe UI" w:hAnsi="Segoe UI" w:cs="Segoe UI"/>
          <w:sz w:val="24"/>
          <w:szCs w:val="24"/>
        </w:rPr>
      </w:pPr>
      <w:r w:rsidRPr="00E00F13">
        <w:rPr>
          <w:rFonts w:ascii="Arial" w:eastAsia="Segoe UI" w:hAnsi="Arial" w:cs="Arial"/>
          <w:sz w:val="24"/>
          <w:szCs w:val="24"/>
        </w:rPr>
        <w:t>Es importante reiterar que al inicio del Plan Nacional de Desarrollo 2022-2026 es cuando se abre una posibilidad importante en la nueva lógica del cambio de paradigma, ya que las relaciones</w:t>
      </w:r>
      <w:r w:rsidR="0004411D" w:rsidRPr="00E00F13">
        <w:rPr>
          <w:rFonts w:ascii="Arial" w:eastAsia="Segoe UI" w:hAnsi="Arial" w:cs="Arial"/>
          <w:sz w:val="24"/>
          <w:szCs w:val="24"/>
        </w:rPr>
        <w:t xml:space="preserve"> estrechas</w:t>
      </w:r>
      <w:r w:rsidRPr="00E00F13">
        <w:rPr>
          <w:rFonts w:ascii="Arial" w:eastAsia="Segoe UI" w:hAnsi="Arial" w:cs="Arial"/>
          <w:sz w:val="24"/>
          <w:szCs w:val="24"/>
        </w:rPr>
        <w:t xml:space="preserve"> con las comunidades comenzaron a </w:t>
      </w:r>
      <w:r w:rsidRPr="00E00F13">
        <w:rPr>
          <w:rFonts w:ascii="Arial" w:hAnsi="Arial" w:cs="Arial"/>
          <w:sz w:val="24"/>
          <w:szCs w:val="24"/>
        </w:rPr>
        <w:t>vislumbrarse desde el lineamiento político y estratégico esgrimido en el Plan Nacional de Desarrollo 2022-2026, especialmente a partir de los Encuentros Regionales realizados en el marco de este Plan. Este fue el primer insumo real para construir una política con anclaje territorial.</w:t>
      </w:r>
    </w:p>
    <w:p w14:paraId="481F87AE" w14:textId="77777777" w:rsidR="00CD0E87" w:rsidRPr="00E00F13" w:rsidRDefault="00CD0E87" w:rsidP="00CD0E87">
      <w:pPr>
        <w:spacing w:after="0" w:line="360" w:lineRule="auto"/>
        <w:jc w:val="both"/>
        <w:rPr>
          <w:rFonts w:ascii="Arial" w:hAnsi="Arial" w:cs="Arial"/>
          <w:sz w:val="24"/>
          <w:szCs w:val="24"/>
        </w:rPr>
      </w:pPr>
    </w:p>
    <w:p w14:paraId="7CA5048F" w14:textId="06E957BF" w:rsidR="00CD0E87" w:rsidRPr="00E00F13" w:rsidRDefault="00CD0E87" w:rsidP="00CD0E87">
      <w:pPr>
        <w:spacing w:after="0" w:line="360" w:lineRule="auto"/>
        <w:jc w:val="both"/>
        <w:rPr>
          <w:rFonts w:ascii="Arial" w:eastAsia="Segoe UI" w:hAnsi="Arial" w:cs="Arial"/>
          <w:sz w:val="24"/>
          <w:szCs w:val="24"/>
        </w:rPr>
      </w:pPr>
      <w:r w:rsidRPr="00E00F13">
        <w:rPr>
          <w:rFonts w:ascii="Arial" w:hAnsi="Arial" w:cs="Arial"/>
          <w:sz w:val="24"/>
          <w:szCs w:val="24"/>
        </w:rPr>
        <w:t>El Ministerio ahora reconoce las experiencias territoriales como aquellos casos o relaciones que entabla directamente en las regiones a través de actores locales, entidades territoriales, organizaciones sociales, entidades étnicas, asociaciones, procesos comunitarios organizados, entre otros</w:t>
      </w:r>
      <w:r w:rsidR="0004411D" w:rsidRPr="00E00F13">
        <w:rPr>
          <w:rFonts w:ascii="Arial" w:eastAsia="Segoe UI" w:hAnsi="Arial" w:cs="Arial"/>
          <w:sz w:val="24"/>
          <w:szCs w:val="24"/>
        </w:rPr>
        <w:t xml:space="preserve"> de carácter organizativo comunitario</w:t>
      </w:r>
      <w:r w:rsidR="00037202" w:rsidRPr="00E00F13">
        <w:rPr>
          <w:rFonts w:ascii="Arial" w:eastAsia="Segoe UI" w:hAnsi="Arial" w:cs="Arial"/>
          <w:sz w:val="24"/>
          <w:szCs w:val="24"/>
        </w:rPr>
        <w:t>, con la finalidad de desarrollar sus proyectos tanto en agua para el consumo humano y saneamiento básico como en vivienda.</w:t>
      </w:r>
    </w:p>
    <w:p w14:paraId="61ACE6CC" w14:textId="77777777" w:rsidR="00CD0E87" w:rsidRPr="00E00F13" w:rsidRDefault="00CD0E87" w:rsidP="00CD0E87">
      <w:pPr>
        <w:spacing w:after="0" w:line="360" w:lineRule="auto"/>
        <w:jc w:val="both"/>
        <w:rPr>
          <w:rFonts w:ascii="Arial" w:eastAsia="Segoe UI" w:hAnsi="Arial" w:cs="Arial"/>
          <w:sz w:val="24"/>
          <w:szCs w:val="24"/>
        </w:rPr>
      </w:pPr>
    </w:p>
    <w:p w14:paraId="411EFBE6" w14:textId="71899D23" w:rsidR="00CD0E87" w:rsidRPr="00E00F13" w:rsidRDefault="00CD0E87" w:rsidP="00CD0E87">
      <w:pPr>
        <w:spacing w:after="0" w:line="360" w:lineRule="auto"/>
        <w:jc w:val="both"/>
        <w:rPr>
          <w:rFonts w:ascii="Arial" w:hAnsi="Arial" w:cs="Arial"/>
          <w:sz w:val="24"/>
          <w:szCs w:val="24"/>
        </w:rPr>
      </w:pPr>
      <w:r w:rsidRPr="00E00F13">
        <w:rPr>
          <w:rFonts w:ascii="Arial" w:hAnsi="Arial" w:cs="Arial"/>
          <w:sz w:val="24"/>
          <w:szCs w:val="24"/>
        </w:rPr>
        <w:t xml:space="preserve">Estos </w:t>
      </w:r>
      <w:r w:rsidR="000A10AF" w:rsidRPr="00E00F13">
        <w:rPr>
          <w:rFonts w:ascii="Arial" w:hAnsi="Arial" w:cs="Arial"/>
          <w:sz w:val="24"/>
          <w:szCs w:val="24"/>
        </w:rPr>
        <w:t>e</w:t>
      </w:r>
      <w:r w:rsidRPr="00E00F13">
        <w:rPr>
          <w:rFonts w:ascii="Arial" w:hAnsi="Arial" w:cs="Arial"/>
          <w:sz w:val="24"/>
          <w:szCs w:val="24"/>
        </w:rPr>
        <w:t xml:space="preserve">ncuentros </w:t>
      </w:r>
      <w:r w:rsidR="000A10AF" w:rsidRPr="00E00F13">
        <w:rPr>
          <w:rFonts w:ascii="Arial" w:hAnsi="Arial" w:cs="Arial"/>
          <w:sz w:val="24"/>
          <w:szCs w:val="24"/>
        </w:rPr>
        <w:t>r</w:t>
      </w:r>
      <w:r w:rsidRPr="00E00F13">
        <w:rPr>
          <w:rFonts w:ascii="Arial" w:hAnsi="Arial" w:cs="Arial"/>
          <w:sz w:val="24"/>
          <w:szCs w:val="24"/>
        </w:rPr>
        <w:t>egionales permitieron, entre otros lineamientos:</w:t>
      </w:r>
    </w:p>
    <w:p w14:paraId="5CB26D96" w14:textId="77777777" w:rsidR="00CD0E87" w:rsidRPr="00E00F13" w:rsidRDefault="00CD0E87" w:rsidP="005E33C6">
      <w:pPr>
        <w:numPr>
          <w:ilvl w:val="0"/>
          <w:numId w:val="9"/>
        </w:numPr>
        <w:spacing w:after="0" w:line="360" w:lineRule="auto"/>
        <w:jc w:val="both"/>
        <w:rPr>
          <w:rFonts w:ascii="Arial" w:hAnsi="Arial" w:cs="Arial"/>
          <w:sz w:val="24"/>
          <w:szCs w:val="24"/>
        </w:rPr>
      </w:pPr>
      <w:r w:rsidRPr="00E00F13">
        <w:rPr>
          <w:rFonts w:ascii="Arial" w:hAnsi="Arial" w:cs="Arial"/>
          <w:sz w:val="24"/>
          <w:szCs w:val="24"/>
        </w:rPr>
        <w:t>Identificar agendas locales de vivienda y agua.</w:t>
      </w:r>
    </w:p>
    <w:p w14:paraId="4422F4D3" w14:textId="77777777" w:rsidR="00CD0E87" w:rsidRPr="00E00F13" w:rsidRDefault="00CD0E87" w:rsidP="005E33C6">
      <w:pPr>
        <w:numPr>
          <w:ilvl w:val="0"/>
          <w:numId w:val="9"/>
        </w:numPr>
        <w:spacing w:after="0" w:line="360" w:lineRule="auto"/>
        <w:jc w:val="both"/>
        <w:rPr>
          <w:rFonts w:ascii="Arial" w:hAnsi="Arial" w:cs="Arial"/>
          <w:sz w:val="24"/>
          <w:szCs w:val="24"/>
        </w:rPr>
      </w:pPr>
      <w:r w:rsidRPr="00E00F13">
        <w:rPr>
          <w:rFonts w:ascii="Arial" w:hAnsi="Arial" w:cs="Arial"/>
          <w:sz w:val="24"/>
          <w:szCs w:val="24"/>
        </w:rPr>
        <w:t>Conocer actores relevantes que antes no figuraban en la base institucional del Ministerio.</w:t>
      </w:r>
    </w:p>
    <w:p w14:paraId="0C171A9F" w14:textId="77777777" w:rsidR="00CD0E87" w:rsidRPr="00E00F13" w:rsidRDefault="00CD0E87" w:rsidP="005E33C6">
      <w:pPr>
        <w:numPr>
          <w:ilvl w:val="0"/>
          <w:numId w:val="9"/>
        </w:numPr>
        <w:spacing w:after="0" w:line="360" w:lineRule="auto"/>
        <w:jc w:val="both"/>
        <w:rPr>
          <w:rFonts w:ascii="Arial" w:hAnsi="Arial" w:cs="Arial"/>
          <w:sz w:val="24"/>
          <w:szCs w:val="24"/>
        </w:rPr>
      </w:pPr>
      <w:r w:rsidRPr="00E00F13">
        <w:rPr>
          <w:rFonts w:ascii="Arial" w:hAnsi="Arial" w:cs="Arial"/>
          <w:sz w:val="24"/>
          <w:szCs w:val="24"/>
        </w:rPr>
        <w:t>Diagnosticar necesidades y conflictos acumulados.</w:t>
      </w:r>
    </w:p>
    <w:p w14:paraId="6D6502AD" w14:textId="77777777" w:rsidR="00CD0E87" w:rsidRPr="00E00F13" w:rsidRDefault="00CD0E87" w:rsidP="00CD0E87">
      <w:pPr>
        <w:spacing w:after="0" w:line="360" w:lineRule="auto"/>
        <w:jc w:val="both"/>
        <w:rPr>
          <w:rFonts w:ascii="Arial" w:hAnsi="Arial" w:cs="Arial"/>
          <w:sz w:val="24"/>
          <w:szCs w:val="24"/>
        </w:rPr>
      </w:pPr>
    </w:p>
    <w:p w14:paraId="75237FE3" w14:textId="0270885F" w:rsidR="007F4730" w:rsidRPr="00E00F13" w:rsidRDefault="00CD0E87" w:rsidP="00CD0E87">
      <w:pPr>
        <w:spacing w:after="0" w:line="360" w:lineRule="auto"/>
        <w:jc w:val="both"/>
        <w:rPr>
          <w:rFonts w:ascii="Segoe UI" w:eastAsia="Segoe UI" w:hAnsi="Segoe UI" w:cs="Segoe UI"/>
          <w:sz w:val="24"/>
          <w:szCs w:val="24"/>
        </w:rPr>
      </w:pPr>
      <w:r w:rsidRPr="00E00F13">
        <w:rPr>
          <w:rFonts w:ascii="Arial" w:hAnsi="Arial" w:cs="Arial"/>
          <w:sz w:val="24"/>
          <w:szCs w:val="24"/>
        </w:rPr>
        <w:t>Con estos insumos</w:t>
      </w:r>
      <w:r w:rsidR="0065378A" w:rsidRPr="00E00F13">
        <w:rPr>
          <w:rFonts w:ascii="Arial" w:hAnsi="Arial" w:cs="Arial"/>
          <w:sz w:val="24"/>
          <w:szCs w:val="24"/>
        </w:rPr>
        <w:t xml:space="preserve"> y</w:t>
      </w:r>
      <w:r w:rsidRPr="00E00F13">
        <w:rPr>
          <w:rFonts w:ascii="Arial" w:hAnsi="Arial" w:cs="Arial"/>
          <w:sz w:val="24"/>
          <w:szCs w:val="24"/>
        </w:rPr>
        <w:t xml:space="preserve"> </w:t>
      </w:r>
      <w:r w:rsidR="0065378A" w:rsidRPr="00E00F13">
        <w:rPr>
          <w:rFonts w:ascii="Arial" w:hAnsi="Arial" w:cs="Arial"/>
          <w:sz w:val="24"/>
          <w:szCs w:val="24"/>
        </w:rPr>
        <w:t xml:space="preserve">en un contexto de diálogo con cada una de las regiones, </w:t>
      </w:r>
      <w:r w:rsidRPr="00E00F13">
        <w:rPr>
          <w:rFonts w:ascii="Arial" w:hAnsi="Arial" w:cs="Arial"/>
          <w:sz w:val="24"/>
          <w:szCs w:val="24"/>
        </w:rPr>
        <w:t>el MVCT comenzó a hacer el acercamiento</w:t>
      </w:r>
      <w:r w:rsidR="0065378A" w:rsidRPr="00E00F13">
        <w:rPr>
          <w:rFonts w:ascii="Arial" w:hAnsi="Arial" w:cs="Arial"/>
          <w:sz w:val="24"/>
          <w:szCs w:val="24"/>
        </w:rPr>
        <w:t xml:space="preserve">. </w:t>
      </w:r>
      <w:r w:rsidR="007F4730" w:rsidRPr="00E00F13">
        <w:rPr>
          <w:rFonts w:ascii="Arial" w:hAnsi="Arial" w:cs="Arial"/>
          <w:sz w:val="24"/>
          <w:szCs w:val="24"/>
        </w:rPr>
        <w:t>L</w:t>
      </w:r>
      <w:r w:rsidRPr="00E00F13">
        <w:rPr>
          <w:rFonts w:ascii="Arial" w:hAnsi="Arial" w:cs="Arial"/>
          <w:sz w:val="24"/>
          <w:szCs w:val="24"/>
        </w:rPr>
        <w:t xml:space="preserve">os </w:t>
      </w:r>
      <w:r w:rsidR="000A10AF" w:rsidRPr="00E00F13">
        <w:rPr>
          <w:rFonts w:ascii="Arial" w:hAnsi="Arial" w:cs="Arial"/>
          <w:sz w:val="24"/>
          <w:szCs w:val="24"/>
        </w:rPr>
        <w:t xml:space="preserve">encuentros regionales </w:t>
      </w:r>
      <w:r w:rsidRPr="00E00F13">
        <w:rPr>
          <w:rFonts w:ascii="Arial" w:hAnsi="Arial" w:cs="Arial"/>
          <w:sz w:val="24"/>
          <w:szCs w:val="24"/>
        </w:rPr>
        <w:t xml:space="preserve">también permitieron la </w:t>
      </w:r>
      <w:proofErr w:type="spellStart"/>
      <w:r w:rsidR="007F4730" w:rsidRPr="00E00F13">
        <w:rPr>
          <w:rFonts w:ascii="Arial" w:hAnsi="Arial" w:cs="Arial"/>
          <w:sz w:val="24"/>
          <w:szCs w:val="24"/>
        </w:rPr>
        <w:t>visibilización</w:t>
      </w:r>
      <w:proofErr w:type="spellEnd"/>
      <w:r w:rsidRPr="00E00F13">
        <w:rPr>
          <w:rFonts w:ascii="Arial" w:hAnsi="Arial" w:cs="Arial"/>
          <w:sz w:val="24"/>
          <w:szCs w:val="24"/>
        </w:rPr>
        <w:t xml:space="preserve"> de regiones con liderazgos fuertes</w:t>
      </w:r>
      <w:r w:rsidR="007F4730" w:rsidRPr="00E00F13">
        <w:rPr>
          <w:rFonts w:ascii="Arial" w:hAnsi="Arial" w:cs="Arial"/>
          <w:sz w:val="24"/>
          <w:szCs w:val="24"/>
        </w:rPr>
        <w:t xml:space="preserve"> y d</w:t>
      </w:r>
      <w:r w:rsidRPr="00E00F13">
        <w:rPr>
          <w:rFonts w:ascii="Arial" w:hAnsi="Arial" w:cs="Arial"/>
          <w:sz w:val="24"/>
          <w:szCs w:val="24"/>
        </w:rPr>
        <w:t xml:space="preserve">urante 2023 se identificaron </w:t>
      </w:r>
      <w:r w:rsidR="007F4730" w:rsidRPr="00E00F13">
        <w:rPr>
          <w:rFonts w:ascii="Arial" w:hAnsi="Arial" w:cs="Arial"/>
          <w:sz w:val="24"/>
          <w:szCs w:val="24"/>
        </w:rPr>
        <w:t xml:space="preserve">algunas </w:t>
      </w:r>
      <w:r w:rsidRPr="00E00F13">
        <w:rPr>
          <w:rFonts w:ascii="Arial" w:hAnsi="Arial" w:cs="Arial"/>
          <w:sz w:val="24"/>
          <w:szCs w:val="24"/>
        </w:rPr>
        <w:t xml:space="preserve">regiones con gran fuerza organizativa y demandas históricas, como el Caribe y Atlántico; Antioquia y Urabá; y Pacífico (Valle del Cauca y Cauca). </w:t>
      </w:r>
      <w:r w:rsidR="007F4730" w:rsidRPr="00E00F13">
        <w:rPr>
          <w:rFonts w:ascii="Arial" w:hAnsi="Arial" w:cs="Arial"/>
          <w:sz w:val="24"/>
          <w:szCs w:val="24"/>
        </w:rPr>
        <w:lastRenderedPageBreak/>
        <w:t>Estas regiones impulsan agendas territoriales que influyeron en el articulado del Plan Nacional de Desarrollo 2022-2026, como las alianzas público-populares, la gestión comunitaria y el reconocimiento de la autogestión.</w:t>
      </w:r>
      <w:r w:rsidR="007F4730" w:rsidRPr="00E00F13">
        <w:rPr>
          <w:rFonts w:ascii="Segoe UI" w:eastAsia="Segoe UI" w:hAnsi="Segoe UI" w:cs="Segoe UI"/>
          <w:sz w:val="24"/>
          <w:szCs w:val="24"/>
        </w:rPr>
        <w:t xml:space="preserve"> </w:t>
      </w:r>
      <w:r w:rsidR="007F4730" w:rsidRPr="00E00F13">
        <w:rPr>
          <w:rFonts w:ascii="Arial" w:hAnsi="Arial" w:cs="Arial"/>
          <w:sz w:val="24"/>
          <w:szCs w:val="24"/>
        </w:rPr>
        <w:t>Por ello,</w:t>
      </w:r>
      <w:r w:rsidR="007F4730" w:rsidRPr="00E00F13">
        <w:rPr>
          <w:rFonts w:ascii="Segoe UI" w:eastAsia="Segoe UI" w:hAnsi="Segoe UI" w:cs="Segoe UI"/>
          <w:sz w:val="24"/>
          <w:szCs w:val="24"/>
        </w:rPr>
        <w:t xml:space="preserve"> </w:t>
      </w:r>
      <w:r w:rsidR="007F4730" w:rsidRPr="00E00F13">
        <w:rPr>
          <w:rFonts w:ascii="Arial" w:hAnsi="Arial" w:cs="Arial"/>
          <w:sz w:val="24"/>
          <w:szCs w:val="24"/>
        </w:rPr>
        <w:t>en esos lugares se identificaron los primeros casos</w:t>
      </w:r>
      <w:r w:rsidRPr="00E00F13">
        <w:rPr>
          <w:rFonts w:ascii="Arial" w:hAnsi="Arial" w:cs="Arial"/>
          <w:sz w:val="24"/>
          <w:szCs w:val="24"/>
        </w:rPr>
        <w:t xml:space="preserve"> </w:t>
      </w:r>
      <w:r w:rsidR="007F4730" w:rsidRPr="00E00F13">
        <w:rPr>
          <w:rFonts w:ascii="Arial" w:hAnsi="Arial" w:cs="Arial"/>
          <w:sz w:val="24"/>
          <w:szCs w:val="24"/>
        </w:rPr>
        <w:t>de</w:t>
      </w:r>
      <w:r w:rsidRPr="00E00F13">
        <w:rPr>
          <w:rFonts w:ascii="Arial" w:hAnsi="Arial" w:cs="Arial"/>
          <w:sz w:val="24"/>
          <w:szCs w:val="24"/>
        </w:rPr>
        <w:t xml:space="preserve"> experiencias territoriales activas y fuertes que, en el marco de las apuestas de alianzas </w:t>
      </w:r>
      <w:proofErr w:type="gramStart"/>
      <w:r w:rsidRPr="00E00F13">
        <w:rPr>
          <w:rFonts w:ascii="Arial" w:hAnsi="Arial" w:cs="Arial"/>
          <w:sz w:val="24"/>
          <w:szCs w:val="24"/>
        </w:rPr>
        <w:t>público populares</w:t>
      </w:r>
      <w:proofErr w:type="gramEnd"/>
      <w:r w:rsidRPr="00E00F13">
        <w:rPr>
          <w:rFonts w:ascii="Arial" w:hAnsi="Arial" w:cs="Arial"/>
          <w:sz w:val="24"/>
          <w:szCs w:val="24"/>
        </w:rPr>
        <w:t xml:space="preserve"> y </w:t>
      </w:r>
      <w:r w:rsidR="007F4730" w:rsidRPr="00E00F13">
        <w:rPr>
          <w:rFonts w:ascii="Arial" w:hAnsi="Arial" w:cs="Arial"/>
          <w:sz w:val="24"/>
          <w:szCs w:val="24"/>
        </w:rPr>
        <w:t>de</w:t>
      </w:r>
      <w:r w:rsidRPr="00E00F13">
        <w:rPr>
          <w:rFonts w:ascii="Arial" w:hAnsi="Arial" w:cs="Arial"/>
          <w:sz w:val="24"/>
          <w:szCs w:val="24"/>
        </w:rPr>
        <w:t xml:space="preserve"> la importancia de un enfoque de gestión comunitaria, recogían las necesidades en agua y vivienda.</w:t>
      </w:r>
      <w:r w:rsidRPr="00E00F13">
        <w:rPr>
          <w:rFonts w:ascii="Segoe UI" w:eastAsia="Segoe UI" w:hAnsi="Segoe UI" w:cs="Segoe UI"/>
          <w:sz w:val="24"/>
          <w:szCs w:val="24"/>
        </w:rPr>
        <w:t xml:space="preserve"> </w:t>
      </w:r>
    </w:p>
    <w:p w14:paraId="00477312" w14:textId="77777777" w:rsidR="007F4730" w:rsidRPr="00E00F13" w:rsidRDefault="007F4730" w:rsidP="00CD0E87">
      <w:pPr>
        <w:spacing w:after="0" w:line="360" w:lineRule="auto"/>
        <w:jc w:val="both"/>
        <w:rPr>
          <w:rFonts w:ascii="Segoe UI" w:eastAsia="Segoe UI" w:hAnsi="Segoe UI" w:cs="Segoe UI"/>
          <w:sz w:val="24"/>
          <w:szCs w:val="24"/>
        </w:rPr>
      </w:pPr>
    </w:p>
    <w:p w14:paraId="121882AB" w14:textId="31B8A81F" w:rsidR="00CD0E87" w:rsidRPr="00E00F13" w:rsidRDefault="00CD0E87" w:rsidP="00CD0E87">
      <w:pPr>
        <w:spacing w:after="0" w:line="360" w:lineRule="auto"/>
        <w:jc w:val="both"/>
        <w:rPr>
          <w:rFonts w:ascii="Arial" w:hAnsi="Arial" w:cs="Arial"/>
          <w:sz w:val="24"/>
          <w:szCs w:val="24"/>
        </w:rPr>
      </w:pPr>
      <w:r w:rsidRPr="00E00F13">
        <w:rPr>
          <w:rFonts w:ascii="Arial" w:hAnsi="Arial" w:cs="Arial"/>
          <w:sz w:val="24"/>
          <w:szCs w:val="24"/>
        </w:rPr>
        <w:t>E</w:t>
      </w:r>
      <w:r w:rsidR="007F4730" w:rsidRPr="00E00F13">
        <w:rPr>
          <w:rFonts w:ascii="Arial" w:hAnsi="Arial" w:cs="Arial"/>
          <w:sz w:val="24"/>
          <w:szCs w:val="24"/>
        </w:rPr>
        <w:t>n e</w:t>
      </w:r>
      <w:r w:rsidRPr="00E00F13">
        <w:rPr>
          <w:rFonts w:ascii="Arial" w:hAnsi="Arial" w:cs="Arial"/>
          <w:sz w:val="24"/>
          <w:szCs w:val="24"/>
        </w:rPr>
        <w:t>ste ejercicio de acercamiento, diagnóstico e identificación de las apuestas en agua y vivienda se revisaron las agendas territoriales y, a partir de allí, el MVCT emp</w:t>
      </w:r>
      <w:r w:rsidR="007F4730" w:rsidRPr="00E00F13">
        <w:rPr>
          <w:rFonts w:ascii="Arial" w:hAnsi="Arial" w:cs="Arial"/>
          <w:sz w:val="24"/>
          <w:szCs w:val="24"/>
        </w:rPr>
        <w:t>ezó</w:t>
      </w:r>
      <w:r w:rsidRPr="00E00F13">
        <w:rPr>
          <w:rFonts w:ascii="Arial" w:hAnsi="Arial" w:cs="Arial"/>
          <w:sz w:val="24"/>
          <w:szCs w:val="24"/>
        </w:rPr>
        <w:t xml:space="preserve"> a entender y a buscar armonizar la dinámica institucional existente.</w:t>
      </w:r>
      <w:r w:rsidR="007F4730" w:rsidRPr="00E00F13">
        <w:rPr>
          <w:rFonts w:ascii="Arial" w:hAnsi="Arial" w:cs="Arial"/>
          <w:sz w:val="24"/>
          <w:szCs w:val="24"/>
        </w:rPr>
        <w:t xml:space="preserve"> </w:t>
      </w:r>
      <w:r w:rsidRPr="00E00F13">
        <w:rPr>
          <w:rFonts w:ascii="Arial" w:hAnsi="Arial" w:cs="Arial"/>
          <w:sz w:val="24"/>
          <w:szCs w:val="24"/>
        </w:rPr>
        <w:t xml:space="preserve">Ya era el año 2023 y lo que el Ministerio reconoció fue la insistencia y la necesidad de posicionar al interior de la misma institucionalidad la demanda o llamado que tenían las regiones. Pero no es este un caso específico y aleatorio, </w:t>
      </w:r>
      <w:r w:rsidR="00D80673" w:rsidRPr="00E00F13">
        <w:rPr>
          <w:rFonts w:ascii="Arial" w:hAnsi="Arial" w:cs="Arial"/>
          <w:sz w:val="24"/>
          <w:szCs w:val="24"/>
        </w:rPr>
        <w:t>sino</w:t>
      </w:r>
      <w:r w:rsidRPr="00E00F13">
        <w:rPr>
          <w:rFonts w:ascii="Arial" w:hAnsi="Arial" w:cs="Arial"/>
          <w:sz w:val="24"/>
          <w:szCs w:val="24"/>
        </w:rPr>
        <w:t xml:space="preserve"> un relacionamiento que ha durado y se</w:t>
      </w:r>
      <w:r w:rsidR="007F4730" w:rsidRPr="00E00F13">
        <w:rPr>
          <w:rFonts w:ascii="Arial" w:hAnsi="Arial" w:cs="Arial"/>
          <w:sz w:val="24"/>
          <w:szCs w:val="24"/>
        </w:rPr>
        <w:t xml:space="preserve"> ha</w:t>
      </w:r>
      <w:r w:rsidRPr="00E00F13">
        <w:rPr>
          <w:rFonts w:ascii="Arial" w:hAnsi="Arial" w:cs="Arial"/>
          <w:sz w:val="24"/>
          <w:szCs w:val="24"/>
        </w:rPr>
        <w:t xml:space="preserve"> mant</w:t>
      </w:r>
      <w:r w:rsidR="007F4730" w:rsidRPr="00E00F13">
        <w:rPr>
          <w:rFonts w:ascii="Arial" w:hAnsi="Arial" w:cs="Arial"/>
          <w:sz w:val="24"/>
          <w:szCs w:val="24"/>
        </w:rPr>
        <w:t>enido</w:t>
      </w:r>
      <w:r w:rsidRPr="00E00F13">
        <w:rPr>
          <w:rFonts w:ascii="Arial" w:hAnsi="Arial" w:cs="Arial"/>
          <w:sz w:val="24"/>
          <w:szCs w:val="24"/>
        </w:rPr>
        <w:t xml:space="preserve"> durante el resto de vigencia del Gobierno.</w:t>
      </w:r>
    </w:p>
    <w:p w14:paraId="134BDD07" w14:textId="606B051F" w:rsidR="001A00F3" w:rsidRPr="00E00F13" w:rsidRDefault="001A00F3" w:rsidP="00CD0E87">
      <w:pPr>
        <w:spacing w:after="0" w:line="360" w:lineRule="auto"/>
        <w:jc w:val="both"/>
        <w:rPr>
          <w:rFonts w:ascii="Arial" w:hAnsi="Arial" w:cs="Arial"/>
          <w:sz w:val="24"/>
          <w:szCs w:val="24"/>
        </w:rPr>
      </w:pPr>
    </w:p>
    <w:p w14:paraId="3229C874" w14:textId="07D430D7" w:rsidR="0011445D" w:rsidRPr="00E00F13" w:rsidRDefault="0011445D" w:rsidP="0011445D">
      <w:pPr>
        <w:spacing w:after="0" w:line="360" w:lineRule="auto"/>
        <w:jc w:val="both"/>
        <w:rPr>
          <w:rFonts w:ascii="Arial" w:hAnsi="Arial" w:cs="Arial"/>
          <w:sz w:val="24"/>
          <w:szCs w:val="24"/>
        </w:rPr>
      </w:pPr>
      <w:r w:rsidRPr="00E00F13">
        <w:rPr>
          <w:rFonts w:ascii="Arial" w:hAnsi="Arial" w:cs="Arial"/>
          <w:sz w:val="24"/>
          <w:szCs w:val="24"/>
        </w:rPr>
        <w:t>La lógica tradicional ha sido poner un puente, pero la lógica del paradigma con el que ha trabajado el presente gobierno y el MVCT a partir del Plan de Desarrollo 2022-2026 es materializar las obras de una manera distinta al puente, a la caseta de basura</w:t>
      </w:r>
      <w:r w:rsidR="007F4730" w:rsidRPr="00E00F13">
        <w:rPr>
          <w:rFonts w:ascii="Arial" w:hAnsi="Arial" w:cs="Arial"/>
          <w:sz w:val="24"/>
          <w:szCs w:val="24"/>
        </w:rPr>
        <w:t xml:space="preserve"> o</w:t>
      </w:r>
      <w:r w:rsidRPr="00E00F13">
        <w:rPr>
          <w:rFonts w:ascii="Arial" w:hAnsi="Arial" w:cs="Arial"/>
          <w:sz w:val="24"/>
          <w:szCs w:val="24"/>
        </w:rPr>
        <w:t xml:space="preserve"> a</w:t>
      </w:r>
      <w:r w:rsidR="007F4730" w:rsidRPr="00E00F13">
        <w:rPr>
          <w:rFonts w:ascii="Arial" w:hAnsi="Arial" w:cs="Arial"/>
          <w:sz w:val="24"/>
          <w:szCs w:val="24"/>
        </w:rPr>
        <w:t>l</w:t>
      </w:r>
      <w:r w:rsidRPr="00E00F13">
        <w:rPr>
          <w:rFonts w:ascii="Arial" w:hAnsi="Arial" w:cs="Arial"/>
          <w:sz w:val="24"/>
          <w:szCs w:val="24"/>
        </w:rPr>
        <w:t xml:space="preserve"> tubo del acueducto en sí mismo, sino hacer un ejercicio a la inversa: comenzar en la base comunitaria y en sus organizaciones. Aunque sea un ejercicio a mediano y largo plazo para que perdure.</w:t>
      </w:r>
    </w:p>
    <w:p w14:paraId="131369E2" w14:textId="77777777" w:rsidR="0011445D" w:rsidRPr="00E00F13" w:rsidRDefault="0011445D" w:rsidP="0011445D">
      <w:pPr>
        <w:spacing w:after="0" w:line="360" w:lineRule="auto"/>
        <w:jc w:val="both"/>
        <w:rPr>
          <w:rFonts w:ascii="Arial" w:hAnsi="Arial" w:cs="Arial"/>
          <w:sz w:val="24"/>
          <w:szCs w:val="24"/>
        </w:rPr>
      </w:pPr>
    </w:p>
    <w:p w14:paraId="12F0C8E8" w14:textId="07720645" w:rsidR="00D80673" w:rsidRPr="00E00F13" w:rsidRDefault="00D80673" w:rsidP="00D80673">
      <w:pPr>
        <w:spacing w:after="0" w:line="360" w:lineRule="auto"/>
        <w:jc w:val="both"/>
        <w:rPr>
          <w:rFonts w:ascii="Arial" w:hAnsi="Arial" w:cs="Arial"/>
          <w:sz w:val="24"/>
          <w:szCs w:val="24"/>
        </w:rPr>
      </w:pPr>
      <w:r w:rsidRPr="00E00F13">
        <w:rPr>
          <w:rFonts w:ascii="Arial" w:hAnsi="Arial" w:cs="Arial"/>
          <w:sz w:val="24"/>
          <w:szCs w:val="24"/>
        </w:rPr>
        <w:t>En este sentido, s</w:t>
      </w:r>
      <w:r w:rsidR="001A00F3" w:rsidRPr="00E00F13">
        <w:rPr>
          <w:rFonts w:ascii="Arial" w:hAnsi="Arial" w:cs="Arial"/>
          <w:sz w:val="24"/>
          <w:szCs w:val="24"/>
        </w:rPr>
        <w:t xml:space="preserve">e ha hecho una selección de algunas experiencias </w:t>
      </w:r>
      <w:r w:rsidRPr="00E00F13">
        <w:rPr>
          <w:rFonts w:ascii="Arial" w:hAnsi="Arial" w:cs="Arial"/>
          <w:sz w:val="24"/>
          <w:szCs w:val="24"/>
        </w:rPr>
        <w:t xml:space="preserve">territoriales específicas, </w:t>
      </w:r>
      <w:r w:rsidR="001A00F3" w:rsidRPr="00E00F13">
        <w:rPr>
          <w:rFonts w:ascii="Arial" w:hAnsi="Arial" w:cs="Arial"/>
          <w:sz w:val="24"/>
          <w:szCs w:val="24"/>
        </w:rPr>
        <w:t xml:space="preserve">con la finalidad de dar cuenta </w:t>
      </w:r>
      <w:r w:rsidR="007F4730" w:rsidRPr="00E00F13">
        <w:rPr>
          <w:rFonts w:ascii="Arial" w:hAnsi="Arial" w:cs="Arial"/>
          <w:sz w:val="24"/>
          <w:szCs w:val="24"/>
        </w:rPr>
        <w:t xml:space="preserve">de </w:t>
      </w:r>
      <w:r w:rsidR="001A00F3" w:rsidRPr="00E00F13">
        <w:rPr>
          <w:rFonts w:ascii="Arial" w:hAnsi="Arial" w:cs="Arial"/>
          <w:sz w:val="24"/>
          <w:szCs w:val="24"/>
        </w:rPr>
        <w:t xml:space="preserve">cómo ha sido el cambio de paradigma, dónde se ha puesto el énfasis y cuáles han sido sus retos. </w:t>
      </w:r>
    </w:p>
    <w:p w14:paraId="657BBC78" w14:textId="77777777" w:rsidR="00D80673" w:rsidRPr="00E00F13" w:rsidRDefault="00D80673" w:rsidP="00D80673">
      <w:pPr>
        <w:spacing w:after="0" w:line="360" w:lineRule="auto"/>
        <w:jc w:val="both"/>
        <w:rPr>
          <w:rFonts w:ascii="Arial" w:hAnsi="Arial" w:cs="Arial"/>
          <w:sz w:val="24"/>
          <w:szCs w:val="24"/>
        </w:rPr>
      </w:pPr>
    </w:p>
    <w:p w14:paraId="46973FF4" w14:textId="51101DA5" w:rsidR="00CD0E87" w:rsidRPr="00E00F13" w:rsidRDefault="001A00F3" w:rsidP="00D80673">
      <w:pPr>
        <w:spacing w:after="0" w:line="360" w:lineRule="auto"/>
        <w:jc w:val="both"/>
        <w:rPr>
          <w:rFonts w:ascii="Arial" w:hAnsi="Arial" w:cs="Arial"/>
          <w:sz w:val="24"/>
          <w:szCs w:val="24"/>
        </w:rPr>
      </w:pPr>
      <w:r w:rsidRPr="00E00F13">
        <w:rPr>
          <w:rFonts w:ascii="Arial" w:hAnsi="Arial" w:cs="Arial"/>
          <w:sz w:val="24"/>
          <w:szCs w:val="24"/>
        </w:rPr>
        <w:t>Cada una de las experiencias siguientes presentan desafíos diferentes. Algunas en términos conceptuales, otras más técnicas relacionadas con la obra misma. Pero lo que las junta a todas es el cambio de paradigma</w:t>
      </w:r>
      <w:r w:rsidR="007F4730" w:rsidRPr="00E00F13">
        <w:rPr>
          <w:rFonts w:ascii="Arial" w:hAnsi="Arial" w:cs="Arial"/>
          <w:sz w:val="24"/>
          <w:szCs w:val="24"/>
        </w:rPr>
        <w:t xml:space="preserve"> basado en la organización comunitaria</w:t>
      </w:r>
      <w:r w:rsidR="00D80673" w:rsidRPr="00E00F13">
        <w:rPr>
          <w:rFonts w:ascii="Arial" w:hAnsi="Arial" w:cs="Arial"/>
          <w:sz w:val="24"/>
          <w:szCs w:val="24"/>
        </w:rPr>
        <w:t>. Un legado que deja el MVCT sobre lo que es el hábitat biodiverso.</w:t>
      </w:r>
    </w:p>
    <w:p w14:paraId="52CE3273" w14:textId="77777777" w:rsidR="00D905BA" w:rsidRPr="00E00F13" w:rsidRDefault="00D905BA" w:rsidP="00E372F2">
      <w:pPr>
        <w:spacing w:after="0" w:line="360" w:lineRule="auto"/>
        <w:ind w:firstLine="708"/>
        <w:jc w:val="both"/>
        <w:rPr>
          <w:rFonts w:ascii="Arial" w:hAnsi="Arial" w:cs="Arial"/>
          <w:sz w:val="24"/>
          <w:szCs w:val="24"/>
        </w:rPr>
      </w:pPr>
      <w:bookmarkStart w:id="110" w:name="_Toc213341860"/>
    </w:p>
    <w:p w14:paraId="0C3A60BA" w14:textId="4EE04E92" w:rsidR="00DC2DCA" w:rsidRPr="00E00F13" w:rsidRDefault="00D905BA" w:rsidP="000A10AF">
      <w:pPr>
        <w:pStyle w:val="Ttulo3"/>
        <w:rPr>
          <w:color w:val="auto"/>
        </w:rPr>
      </w:pPr>
      <w:bookmarkStart w:id="111" w:name="_Toc234242838"/>
      <w:r w:rsidRPr="00E00F13">
        <w:rPr>
          <w:color w:val="auto"/>
        </w:rPr>
        <w:lastRenderedPageBreak/>
        <w:t>2.</w:t>
      </w:r>
      <w:r w:rsidR="003A01CD" w:rsidRPr="00E00F13">
        <w:rPr>
          <w:color w:val="auto"/>
        </w:rPr>
        <w:t>7</w:t>
      </w:r>
      <w:r w:rsidRPr="00E00F13">
        <w:rPr>
          <w:color w:val="auto"/>
        </w:rPr>
        <w:t>.1</w:t>
      </w:r>
      <w:r w:rsidR="00E372F2" w:rsidRPr="00E00F13">
        <w:rPr>
          <w:color w:val="auto"/>
        </w:rPr>
        <w:t xml:space="preserve">. </w:t>
      </w:r>
      <w:r w:rsidR="00DC2DCA" w:rsidRPr="00E00F13">
        <w:rPr>
          <w:color w:val="auto"/>
        </w:rPr>
        <w:t>Chocó, uno de los departamentos priorizados en este cuatrienio</w:t>
      </w:r>
      <w:r w:rsidR="00412A53" w:rsidRPr="00E00F13">
        <w:rPr>
          <w:color w:val="auto"/>
        </w:rPr>
        <w:t xml:space="preserve"> en </w:t>
      </w:r>
      <w:r w:rsidR="0039570D" w:rsidRPr="00E00F13">
        <w:rPr>
          <w:color w:val="auto"/>
        </w:rPr>
        <w:t>la</w:t>
      </w:r>
      <w:r w:rsidR="00412A53" w:rsidRPr="00E00F13">
        <w:rPr>
          <w:color w:val="auto"/>
        </w:rPr>
        <w:t xml:space="preserve"> política de vivienda</w:t>
      </w:r>
      <w:bookmarkEnd w:id="111"/>
    </w:p>
    <w:p w14:paraId="54086498" w14:textId="4DB1B3D6" w:rsidR="00DC2DCA" w:rsidRPr="00E00F13" w:rsidRDefault="00287251" w:rsidP="006E6C92">
      <w:pPr>
        <w:spacing w:line="360" w:lineRule="auto"/>
        <w:jc w:val="both"/>
        <w:rPr>
          <w:rFonts w:ascii="Arial" w:hAnsi="Arial" w:cs="Arial"/>
          <w:sz w:val="24"/>
          <w:szCs w:val="24"/>
        </w:rPr>
      </w:pPr>
      <w:r w:rsidRPr="00E00F13">
        <w:rPr>
          <w:rFonts w:ascii="Arial" w:hAnsi="Arial" w:cs="Arial"/>
          <w:sz w:val="24"/>
          <w:szCs w:val="24"/>
        </w:rPr>
        <w:t>C</w:t>
      </w:r>
      <w:r w:rsidR="00412A53" w:rsidRPr="00E00F13">
        <w:rPr>
          <w:rFonts w:ascii="Arial" w:hAnsi="Arial" w:cs="Arial"/>
          <w:sz w:val="24"/>
          <w:szCs w:val="24"/>
        </w:rPr>
        <w:t xml:space="preserve">omo parte de los departamentos priorizados en este cuatrienio, </w:t>
      </w:r>
      <w:r w:rsidRPr="00E00F13">
        <w:rPr>
          <w:rFonts w:ascii="Arial" w:hAnsi="Arial" w:cs="Arial"/>
          <w:sz w:val="24"/>
          <w:szCs w:val="24"/>
        </w:rPr>
        <w:t xml:space="preserve">este ministerio </w:t>
      </w:r>
      <w:r w:rsidR="00412A53" w:rsidRPr="00E00F13">
        <w:rPr>
          <w:rFonts w:ascii="Arial" w:hAnsi="Arial" w:cs="Arial"/>
          <w:sz w:val="24"/>
          <w:szCs w:val="24"/>
        </w:rPr>
        <w:t>realizó una transformación estructural en la política de vivienda. Sin desconocer que la necesidad de vivienda nueva debe seguir siendo atendida, este gobierno p</w:t>
      </w:r>
      <w:r w:rsidR="00C41241" w:rsidRPr="00E00F13">
        <w:rPr>
          <w:rFonts w:ascii="Arial" w:hAnsi="Arial" w:cs="Arial"/>
          <w:sz w:val="24"/>
          <w:szCs w:val="24"/>
        </w:rPr>
        <w:t>uso como</w:t>
      </w:r>
      <w:r w:rsidR="00412A53" w:rsidRPr="00E00F13">
        <w:rPr>
          <w:rFonts w:ascii="Arial" w:hAnsi="Arial" w:cs="Arial"/>
          <w:sz w:val="24"/>
          <w:szCs w:val="24"/>
        </w:rPr>
        <w:t xml:space="preserve"> centro el mejoramiento de vivienda, es decir, mejorar las condiciones habitacionales de lo ya construido por la población. </w:t>
      </w:r>
      <w:r w:rsidR="00C41241" w:rsidRPr="00E00F13">
        <w:rPr>
          <w:rFonts w:ascii="Arial" w:hAnsi="Arial" w:cs="Arial"/>
          <w:sz w:val="24"/>
          <w:szCs w:val="24"/>
        </w:rPr>
        <w:t xml:space="preserve">Lo anterior, reconociendo </w:t>
      </w:r>
      <w:r w:rsidR="00412A53" w:rsidRPr="00E00F13">
        <w:rPr>
          <w:rFonts w:ascii="Arial" w:hAnsi="Arial" w:cs="Arial"/>
          <w:sz w:val="24"/>
          <w:szCs w:val="24"/>
        </w:rPr>
        <w:t>la realidad del país</w:t>
      </w:r>
      <w:r w:rsidR="00C41241" w:rsidRPr="00E00F13">
        <w:rPr>
          <w:rFonts w:ascii="Arial" w:hAnsi="Arial" w:cs="Arial"/>
          <w:sz w:val="24"/>
          <w:szCs w:val="24"/>
        </w:rPr>
        <w:t>, en la que</w:t>
      </w:r>
      <w:r w:rsidR="00412A53" w:rsidRPr="00E00F13">
        <w:rPr>
          <w:rFonts w:ascii="Arial" w:hAnsi="Arial" w:cs="Arial"/>
          <w:sz w:val="24"/>
          <w:szCs w:val="24"/>
        </w:rPr>
        <w:t xml:space="preserve"> más de 5,2 millones de hogares presentan déficit habitacional, y de ellos, el 22,1% corresponde a déficit cualitativo</w:t>
      </w:r>
      <w:r w:rsidR="00C41241" w:rsidRPr="00E00F13">
        <w:rPr>
          <w:rFonts w:ascii="Arial" w:hAnsi="Arial" w:cs="Arial"/>
          <w:sz w:val="24"/>
          <w:szCs w:val="24"/>
        </w:rPr>
        <w:t xml:space="preserve">, que se refiere a las </w:t>
      </w:r>
      <w:r w:rsidR="00412A53" w:rsidRPr="00E00F13">
        <w:rPr>
          <w:rFonts w:ascii="Arial" w:hAnsi="Arial" w:cs="Arial"/>
          <w:sz w:val="24"/>
          <w:szCs w:val="24"/>
        </w:rPr>
        <w:t>carencias en pisos, paredes, servicios públicos, estructura, etc.</w:t>
      </w:r>
      <w:r w:rsidR="00C41241" w:rsidRPr="00E00F13">
        <w:rPr>
          <w:rFonts w:ascii="Arial" w:hAnsi="Arial" w:cs="Arial"/>
          <w:sz w:val="24"/>
          <w:szCs w:val="24"/>
        </w:rPr>
        <w:t xml:space="preserve"> </w:t>
      </w:r>
    </w:p>
    <w:p w14:paraId="0A7644EF" w14:textId="4E6F2CDF" w:rsidR="00DC2DCA" w:rsidRPr="00E00F13" w:rsidRDefault="00C41241" w:rsidP="006E6C92">
      <w:pPr>
        <w:spacing w:line="360" w:lineRule="auto"/>
        <w:jc w:val="both"/>
        <w:rPr>
          <w:rFonts w:ascii="Arial" w:hAnsi="Arial" w:cs="Arial"/>
          <w:sz w:val="24"/>
          <w:szCs w:val="24"/>
        </w:rPr>
      </w:pPr>
      <w:r w:rsidRPr="00E00F13">
        <w:rPr>
          <w:rFonts w:ascii="Arial" w:hAnsi="Arial" w:cs="Arial"/>
          <w:sz w:val="24"/>
          <w:szCs w:val="24"/>
        </w:rPr>
        <w:t>Frente a esta realidad sobre la necesidad de mejorar las viviendas que ya existen, y dentro de la priorización de este cuatrienio, Chocó es un departamento priorizado cuya experiencia reciente en mejoramiento queremos dejar consignada en el presente documento.</w:t>
      </w:r>
    </w:p>
    <w:p w14:paraId="728DB193" w14:textId="7C81F46D" w:rsidR="00DC2DCA" w:rsidRPr="00E00F13" w:rsidRDefault="006E6C92" w:rsidP="00287251">
      <w:pPr>
        <w:spacing w:line="360" w:lineRule="auto"/>
        <w:jc w:val="both"/>
        <w:rPr>
          <w:rFonts w:ascii="Arial" w:hAnsi="Arial" w:cs="Arial"/>
          <w:sz w:val="24"/>
          <w:szCs w:val="24"/>
        </w:rPr>
      </w:pPr>
      <w:r w:rsidRPr="00E00F13">
        <w:rPr>
          <w:rFonts w:ascii="Arial" w:hAnsi="Arial" w:cs="Arial"/>
          <w:sz w:val="24"/>
          <w:szCs w:val="24"/>
        </w:rPr>
        <w:t xml:space="preserve">Para abordar el déficit cualitativo en Chocó, el MVCT </w:t>
      </w:r>
      <w:r w:rsidR="007A3CB3" w:rsidRPr="00E00F13">
        <w:rPr>
          <w:rFonts w:ascii="Arial" w:hAnsi="Arial" w:cs="Arial"/>
          <w:sz w:val="24"/>
          <w:szCs w:val="24"/>
        </w:rPr>
        <w:t xml:space="preserve">suscribió el Convenio de Asociación No. 1210 de 2025 con </w:t>
      </w:r>
      <w:proofErr w:type="spellStart"/>
      <w:r w:rsidR="007A3CB3" w:rsidRPr="00E00F13">
        <w:rPr>
          <w:rFonts w:ascii="Arial" w:hAnsi="Arial" w:cs="Arial"/>
          <w:sz w:val="24"/>
          <w:szCs w:val="24"/>
        </w:rPr>
        <w:t>Build</w:t>
      </w:r>
      <w:proofErr w:type="spellEnd"/>
      <w:r w:rsidR="007A3CB3" w:rsidRPr="00E00F13">
        <w:rPr>
          <w:rFonts w:ascii="Arial" w:hAnsi="Arial" w:cs="Arial"/>
          <w:sz w:val="24"/>
          <w:szCs w:val="24"/>
        </w:rPr>
        <w:t xml:space="preserve"> Change, que tiene por objeto a</w:t>
      </w:r>
      <w:r w:rsidRPr="00E00F13">
        <w:rPr>
          <w:rFonts w:ascii="Arial" w:hAnsi="Arial" w:cs="Arial"/>
          <w:sz w:val="24"/>
          <w:szCs w:val="24"/>
        </w:rPr>
        <w:t>unar esfuerzos para la implementación de un piloto de asistencia técnica para promover la participación efectiva de las organizaciones comunitarias en la ejecución de los programas de la política pública nacional de vivienda, a partir del fortalecimiento de sus capacidades técnicas, administrativas y financieras</w:t>
      </w:r>
      <w:r w:rsidR="007A3CB3" w:rsidRPr="00E00F13">
        <w:rPr>
          <w:rFonts w:ascii="Arial" w:hAnsi="Arial" w:cs="Arial"/>
          <w:sz w:val="24"/>
          <w:szCs w:val="24"/>
        </w:rPr>
        <w:t>. En 2025</w:t>
      </w:r>
      <w:r w:rsidRPr="00E00F13">
        <w:rPr>
          <w:rFonts w:ascii="Arial" w:hAnsi="Arial" w:cs="Arial"/>
          <w:sz w:val="24"/>
          <w:szCs w:val="24"/>
        </w:rPr>
        <w:t xml:space="preserve"> </w:t>
      </w:r>
      <w:proofErr w:type="spellStart"/>
      <w:r w:rsidRPr="00E00F13">
        <w:rPr>
          <w:rFonts w:ascii="Arial" w:hAnsi="Arial" w:cs="Arial"/>
          <w:sz w:val="24"/>
          <w:szCs w:val="24"/>
        </w:rPr>
        <w:t>Build</w:t>
      </w:r>
      <w:proofErr w:type="spellEnd"/>
      <w:r w:rsidRPr="00E00F13">
        <w:rPr>
          <w:rFonts w:ascii="Arial" w:hAnsi="Arial" w:cs="Arial"/>
          <w:sz w:val="24"/>
          <w:szCs w:val="24"/>
        </w:rPr>
        <w:t xml:space="preserve"> Change bajo el liderazgo del MVCT</w:t>
      </w:r>
      <w:r w:rsidR="007A3CB3" w:rsidRPr="00E00F13">
        <w:rPr>
          <w:rFonts w:ascii="Arial" w:hAnsi="Arial" w:cs="Arial"/>
          <w:sz w:val="24"/>
          <w:szCs w:val="24"/>
        </w:rPr>
        <w:t xml:space="preserve"> </w:t>
      </w:r>
      <w:proofErr w:type="gramStart"/>
      <w:r w:rsidR="007A3CB3" w:rsidRPr="00E00F13">
        <w:rPr>
          <w:rFonts w:ascii="Arial" w:hAnsi="Arial" w:cs="Arial"/>
          <w:sz w:val="24"/>
          <w:szCs w:val="24"/>
        </w:rPr>
        <w:t xml:space="preserve">desarrolló </w:t>
      </w:r>
      <w:r w:rsidRPr="00E00F13">
        <w:rPr>
          <w:rFonts w:ascii="Arial" w:hAnsi="Arial" w:cs="Arial"/>
          <w:sz w:val="24"/>
          <w:szCs w:val="24"/>
        </w:rPr>
        <w:t xml:space="preserve"> </w:t>
      </w:r>
      <w:r w:rsidR="007A3CB3" w:rsidRPr="00E00F13">
        <w:rPr>
          <w:rFonts w:ascii="Arial" w:hAnsi="Arial" w:cs="Arial"/>
          <w:sz w:val="24"/>
          <w:szCs w:val="24"/>
        </w:rPr>
        <w:t>un</w:t>
      </w:r>
      <w:proofErr w:type="gramEnd"/>
      <w:r w:rsidR="007A3CB3" w:rsidRPr="00E00F13">
        <w:rPr>
          <w:rFonts w:ascii="Arial" w:hAnsi="Arial" w:cs="Arial"/>
          <w:sz w:val="24"/>
          <w:szCs w:val="24"/>
        </w:rPr>
        <w:t xml:space="preserve"> </w:t>
      </w:r>
      <w:r w:rsidRPr="00E00F13">
        <w:rPr>
          <w:rFonts w:ascii="Arial" w:hAnsi="Arial" w:cs="Arial"/>
          <w:sz w:val="24"/>
          <w:szCs w:val="24"/>
        </w:rPr>
        <w:t>ejercicio en territorio con los seis Consejos Comunitarios Mayores del departamento de Chocó que participan de la Alianza Público-Popular junto con la gobernación, para la ejecución de proyectos de mejoramiento de vivienda en 23 municipios del departamento en el marco del programa de mejoramiento del gobierno nacional.</w:t>
      </w:r>
    </w:p>
    <w:p w14:paraId="123DD8F6" w14:textId="7EBAB64C" w:rsidR="00C24DBC" w:rsidRPr="00E00F13" w:rsidRDefault="00C24DBC" w:rsidP="00C24DBC">
      <w:pPr>
        <w:spacing w:line="360" w:lineRule="auto"/>
        <w:jc w:val="both"/>
        <w:rPr>
          <w:rFonts w:ascii="Arial" w:hAnsi="Arial" w:cs="Arial"/>
          <w:sz w:val="24"/>
          <w:szCs w:val="24"/>
          <w:lang w:val="es-ES"/>
        </w:rPr>
      </w:pPr>
      <w:r w:rsidRPr="00E00F13">
        <w:rPr>
          <w:rFonts w:ascii="Arial" w:hAnsi="Arial" w:cs="Arial"/>
          <w:sz w:val="24"/>
          <w:szCs w:val="24"/>
          <w:lang w:val="es-ES"/>
        </w:rPr>
        <w:t xml:space="preserve">En el marco de la implementación del programa de Mejoramiento de Vivienda, Decreto 413 de 2025, en el departamento de Chocó, se genera una sinergia con el proceso de fortalecimiento de capacidades de las organizaciones comunitarias, que se desarrolla entre el MVCT y la Organización </w:t>
      </w:r>
      <w:proofErr w:type="spellStart"/>
      <w:r w:rsidRPr="00E00F13">
        <w:rPr>
          <w:rFonts w:ascii="Arial" w:hAnsi="Arial" w:cs="Arial"/>
          <w:sz w:val="24"/>
          <w:szCs w:val="24"/>
          <w:lang w:val="es-ES"/>
        </w:rPr>
        <w:t>Build</w:t>
      </w:r>
      <w:proofErr w:type="spellEnd"/>
      <w:r w:rsidRPr="00E00F13">
        <w:rPr>
          <w:rFonts w:ascii="Arial" w:hAnsi="Arial" w:cs="Arial"/>
          <w:sz w:val="24"/>
          <w:szCs w:val="24"/>
          <w:lang w:val="es-ES"/>
        </w:rPr>
        <w:t xml:space="preserve"> Change, a partir de:</w:t>
      </w:r>
    </w:p>
    <w:p w14:paraId="69B91ECB" w14:textId="3129F8C5" w:rsidR="00C24DBC" w:rsidRPr="00E00F13" w:rsidRDefault="00C24DBC">
      <w:pPr>
        <w:numPr>
          <w:ilvl w:val="0"/>
          <w:numId w:val="50"/>
        </w:numPr>
        <w:spacing w:line="360" w:lineRule="auto"/>
        <w:jc w:val="both"/>
        <w:rPr>
          <w:rFonts w:ascii="Arial" w:hAnsi="Arial" w:cs="Arial"/>
          <w:sz w:val="24"/>
          <w:szCs w:val="24"/>
          <w:lang w:val="es-ES"/>
        </w:rPr>
      </w:pPr>
      <w:r w:rsidRPr="00E00F13">
        <w:rPr>
          <w:rFonts w:ascii="Arial" w:hAnsi="Arial" w:cs="Arial"/>
          <w:sz w:val="24"/>
          <w:szCs w:val="24"/>
          <w:lang w:val="es-ES"/>
        </w:rPr>
        <w:lastRenderedPageBreak/>
        <w:t>La caracterización de los seis Consejos Comunitarios Mayores participantes que representan 23 municipios, en relación con sus capacidades técnicas, administrativas, financieras, organizativas y de conocimiento de política pública.</w:t>
      </w:r>
    </w:p>
    <w:p w14:paraId="7DDF523F" w14:textId="77777777" w:rsidR="00C24DBC" w:rsidRPr="00E00F13" w:rsidRDefault="00C24DBC">
      <w:pPr>
        <w:numPr>
          <w:ilvl w:val="0"/>
          <w:numId w:val="50"/>
        </w:numPr>
        <w:spacing w:line="360" w:lineRule="auto"/>
        <w:jc w:val="both"/>
        <w:rPr>
          <w:rFonts w:ascii="Arial" w:hAnsi="Arial" w:cs="Arial"/>
          <w:sz w:val="24"/>
          <w:szCs w:val="24"/>
          <w:lang w:val="es-ES"/>
        </w:rPr>
      </w:pPr>
      <w:r w:rsidRPr="00E00F13">
        <w:rPr>
          <w:rFonts w:ascii="Arial" w:hAnsi="Arial" w:cs="Arial"/>
          <w:sz w:val="24"/>
          <w:szCs w:val="24"/>
          <w:lang w:val="es-ES"/>
        </w:rPr>
        <w:t>Fortalecimiento de prácticas constructivas que armonizan las normas y estándares legales con las características del territorio y sus habitantes.</w:t>
      </w:r>
    </w:p>
    <w:p w14:paraId="7B63286E" w14:textId="77777777" w:rsidR="00C24DBC" w:rsidRPr="00E00F13" w:rsidRDefault="00C24DBC">
      <w:pPr>
        <w:numPr>
          <w:ilvl w:val="0"/>
          <w:numId w:val="50"/>
        </w:numPr>
        <w:spacing w:line="360" w:lineRule="auto"/>
        <w:jc w:val="both"/>
        <w:rPr>
          <w:rFonts w:ascii="Arial" w:hAnsi="Arial" w:cs="Arial"/>
          <w:sz w:val="24"/>
          <w:szCs w:val="24"/>
          <w:lang w:val="es-ES"/>
        </w:rPr>
      </w:pPr>
      <w:r w:rsidRPr="00E00F13">
        <w:rPr>
          <w:rFonts w:ascii="Arial" w:hAnsi="Arial" w:cs="Arial"/>
          <w:sz w:val="24"/>
          <w:szCs w:val="24"/>
          <w:lang w:val="es-ES"/>
        </w:rPr>
        <w:t>Promoción de prácticas constructivas enfocadas en la reducción de la vulnerabilidad y la resiliencia al cambio climático.</w:t>
      </w:r>
    </w:p>
    <w:p w14:paraId="2612F33B" w14:textId="77777777" w:rsidR="00C24DBC" w:rsidRPr="00E00F13" w:rsidRDefault="00C24DBC">
      <w:pPr>
        <w:numPr>
          <w:ilvl w:val="0"/>
          <w:numId w:val="50"/>
        </w:numPr>
        <w:spacing w:line="360" w:lineRule="auto"/>
        <w:jc w:val="both"/>
        <w:rPr>
          <w:rFonts w:ascii="Arial" w:hAnsi="Arial" w:cs="Arial"/>
          <w:sz w:val="24"/>
          <w:szCs w:val="24"/>
          <w:lang w:val="es-ES"/>
        </w:rPr>
      </w:pPr>
      <w:r w:rsidRPr="00E00F13">
        <w:rPr>
          <w:rFonts w:ascii="Arial" w:hAnsi="Arial" w:cs="Arial"/>
          <w:sz w:val="24"/>
          <w:szCs w:val="24"/>
          <w:lang w:val="es-ES"/>
        </w:rPr>
        <w:t>Reconocimiento de los saberes ancestrales, el uso de materiales locales y la definición de estrategias constructivas no convencionales que involucren el flujo del agua, el viento y la madera.</w:t>
      </w:r>
    </w:p>
    <w:p w14:paraId="330E2E69" w14:textId="02A3D069" w:rsidR="00C24DBC" w:rsidRPr="00E00F13" w:rsidRDefault="00C24DBC">
      <w:pPr>
        <w:numPr>
          <w:ilvl w:val="0"/>
          <w:numId w:val="50"/>
        </w:numPr>
        <w:spacing w:line="360" w:lineRule="auto"/>
        <w:jc w:val="both"/>
        <w:rPr>
          <w:rFonts w:ascii="Arial" w:hAnsi="Arial" w:cs="Arial"/>
          <w:sz w:val="24"/>
          <w:szCs w:val="24"/>
          <w:lang w:val="es-ES"/>
        </w:rPr>
      </w:pPr>
      <w:r w:rsidRPr="00E00F13">
        <w:rPr>
          <w:rFonts w:ascii="Arial" w:hAnsi="Arial" w:cs="Arial"/>
          <w:sz w:val="24"/>
          <w:szCs w:val="24"/>
          <w:lang w:val="es-ES"/>
        </w:rPr>
        <w:t>La identificación y guía sobre el acceso a fuentes de financiamiento, proyección de presupuestos y administración de recursos.</w:t>
      </w:r>
    </w:p>
    <w:p w14:paraId="3B3D538A" w14:textId="30828B1C" w:rsidR="00AC68F8" w:rsidRPr="00E00F13" w:rsidRDefault="00AC68F8" w:rsidP="00287251">
      <w:pPr>
        <w:spacing w:line="360" w:lineRule="auto"/>
        <w:jc w:val="both"/>
        <w:rPr>
          <w:rFonts w:ascii="Arial" w:hAnsi="Arial" w:cs="Arial"/>
          <w:sz w:val="24"/>
          <w:szCs w:val="24"/>
        </w:rPr>
      </w:pPr>
      <w:r w:rsidRPr="00E00F13">
        <w:rPr>
          <w:rFonts w:ascii="Arial" w:hAnsi="Arial" w:cs="Arial"/>
          <w:sz w:val="24"/>
          <w:szCs w:val="24"/>
        </w:rPr>
        <w:t xml:space="preserve">Se partió de la elaboración de un balance de las capacidades técnicas, administrativas, financieras, organizativas y de conocimiento de política pública de los seis Consejos Comunitarios Mayores: Consejo Comunitario General del San Juan - Acadesán, Consejo Comunitario del Río Baudó y sus Afluentes - Acaba, Consejo Comunitario Mayor de Cantón de San Pablo - Acisan, Asociación de Consejos Comunitarios y Organizaciones Étnico Territoriales del Bajo Atrato - </w:t>
      </w:r>
      <w:proofErr w:type="spellStart"/>
      <w:r w:rsidRPr="00E00F13">
        <w:rPr>
          <w:rFonts w:ascii="Arial" w:hAnsi="Arial" w:cs="Arial"/>
          <w:sz w:val="24"/>
          <w:szCs w:val="24"/>
        </w:rPr>
        <w:t>Ascoba</w:t>
      </w:r>
      <w:proofErr w:type="spellEnd"/>
      <w:r w:rsidRPr="00E00F13">
        <w:rPr>
          <w:rFonts w:ascii="Arial" w:hAnsi="Arial" w:cs="Arial"/>
          <w:sz w:val="24"/>
          <w:szCs w:val="24"/>
        </w:rPr>
        <w:t xml:space="preserve">, Consejo Comunitario Mayor del Alto San Juan - Asocasan y Consejo Comunitario Mayor de la Asociación Campesina Integral del Atrato </w:t>
      </w:r>
      <w:r w:rsidR="00C24DBC" w:rsidRPr="00E00F13">
        <w:rPr>
          <w:rFonts w:ascii="Arial" w:hAnsi="Arial" w:cs="Arial"/>
          <w:sz w:val="24"/>
          <w:szCs w:val="24"/>
        </w:rPr>
        <w:t>–</w:t>
      </w:r>
      <w:r w:rsidRPr="00E00F13">
        <w:rPr>
          <w:rFonts w:ascii="Arial" w:hAnsi="Arial" w:cs="Arial"/>
          <w:sz w:val="24"/>
          <w:szCs w:val="24"/>
        </w:rPr>
        <w:t xml:space="preserve"> </w:t>
      </w:r>
      <w:proofErr w:type="spellStart"/>
      <w:r w:rsidRPr="00E00F13">
        <w:rPr>
          <w:rFonts w:ascii="Arial" w:hAnsi="Arial" w:cs="Arial"/>
          <w:sz w:val="24"/>
          <w:szCs w:val="24"/>
        </w:rPr>
        <w:t>Cocomacia</w:t>
      </w:r>
      <w:proofErr w:type="spellEnd"/>
      <w:r w:rsidR="00C24DBC" w:rsidRPr="00E00F13">
        <w:rPr>
          <w:rFonts w:ascii="Arial" w:hAnsi="Arial" w:cs="Arial"/>
          <w:sz w:val="24"/>
          <w:szCs w:val="24"/>
        </w:rPr>
        <w:t>. T</w:t>
      </w:r>
      <w:r w:rsidRPr="00E00F13">
        <w:rPr>
          <w:rFonts w:ascii="Arial" w:hAnsi="Arial" w:cs="Arial"/>
          <w:sz w:val="24"/>
          <w:szCs w:val="24"/>
        </w:rPr>
        <w:t>odos vinculados al proceso de ejecución de obras de mejoramiento de vivienda, como respuesta a la necesidad de atender de manera prioritaria a los hogares afectados por la ola invernal en el año 2024 que provocó daños en las viviendas de cerca de 10 mil hogares en el departamento de Chocó.</w:t>
      </w:r>
    </w:p>
    <w:p w14:paraId="5DD0FF5E" w14:textId="77777777" w:rsidR="00053352" w:rsidRPr="00E00F13" w:rsidRDefault="00A77401" w:rsidP="00287251">
      <w:pPr>
        <w:spacing w:after="0" w:line="360" w:lineRule="auto"/>
        <w:jc w:val="both"/>
        <w:rPr>
          <w:rFonts w:ascii="Arial" w:eastAsia="Noto Sans" w:hAnsi="Arial" w:cs="Arial"/>
          <w:sz w:val="24"/>
          <w:szCs w:val="24"/>
        </w:rPr>
      </w:pPr>
      <w:r w:rsidRPr="00E00F13">
        <w:rPr>
          <w:rFonts w:ascii="Arial" w:hAnsi="Arial" w:cs="Arial"/>
          <w:sz w:val="24"/>
          <w:szCs w:val="24"/>
        </w:rPr>
        <w:t>Dentro del trabajo</w:t>
      </w:r>
      <w:r w:rsidR="00C24DBC" w:rsidRPr="00E00F13">
        <w:rPr>
          <w:rFonts w:ascii="Arial" w:hAnsi="Arial" w:cs="Arial"/>
          <w:sz w:val="24"/>
          <w:szCs w:val="24"/>
        </w:rPr>
        <w:t>,</w:t>
      </w:r>
      <w:r w:rsidRPr="00E00F13">
        <w:rPr>
          <w:rFonts w:ascii="Arial" w:hAnsi="Arial" w:cs="Arial"/>
          <w:sz w:val="24"/>
          <w:szCs w:val="24"/>
        </w:rPr>
        <w:t xml:space="preserve"> </w:t>
      </w:r>
      <w:r w:rsidR="00C24DBC" w:rsidRPr="00E00F13">
        <w:rPr>
          <w:rFonts w:ascii="Arial" w:eastAsia="Noto Sans" w:hAnsi="Arial" w:cs="Arial"/>
          <w:sz w:val="24"/>
          <w:szCs w:val="24"/>
        </w:rPr>
        <w:t xml:space="preserve">a finales de 2025 </w:t>
      </w:r>
      <w:r w:rsidR="00C24DBC" w:rsidRPr="00E00F13">
        <w:rPr>
          <w:rFonts w:ascii="Arial" w:hAnsi="Arial" w:cs="Arial"/>
          <w:sz w:val="24"/>
          <w:szCs w:val="24"/>
        </w:rPr>
        <w:t>se realizaron</w:t>
      </w:r>
      <w:r w:rsidRPr="00E00F13">
        <w:rPr>
          <w:rFonts w:ascii="Arial" w:eastAsia="Noto Sans" w:hAnsi="Arial" w:cs="Arial"/>
          <w:sz w:val="24"/>
          <w:szCs w:val="24"/>
        </w:rPr>
        <w:t xml:space="preserve"> capacitaciones con los gestores y ejecutores, en la</w:t>
      </w:r>
      <w:r w:rsidR="00C24DBC" w:rsidRPr="00E00F13">
        <w:rPr>
          <w:rFonts w:ascii="Arial" w:eastAsia="Noto Sans" w:hAnsi="Arial" w:cs="Arial"/>
          <w:sz w:val="24"/>
          <w:szCs w:val="24"/>
        </w:rPr>
        <w:t>s</w:t>
      </w:r>
      <w:r w:rsidRPr="00E00F13">
        <w:rPr>
          <w:rFonts w:ascii="Arial" w:eastAsia="Noto Sans" w:hAnsi="Arial" w:cs="Arial"/>
          <w:sz w:val="24"/>
          <w:szCs w:val="24"/>
        </w:rPr>
        <w:t xml:space="preserve"> que se presentó un esquema paso a paso de las actividades que se deben realizar para el desarrollo de los proyectos. </w:t>
      </w:r>
      <w:r w:rsidR="00053352" w:rsidRPr="00E00F13">
        <w:rPr>
          <w:rFonts w:ascii="Arial" w:eastAsia="Noto Sans" w:hAnsi="Arial" w:cs="Arial"/>
          <w:sz w:val="24"/>
          <w:szCs w:val="24"/>
        </w:rPr>
        <w:t>Se reconoce que el</w:t>
      </w:r>
      <w:r w:rsidR="008742C7" w:rsidRPr="00E00F13">
        <w:rPr>
          <w:rFonts w:ascii="Arial" w:eastAsia="Noto Sans" w:hAnsi="Arial" w:cs="Arial"/>
          <w:sz w:val="24"/>
          <w:szCs w:val="24"/>
        </w:rPr>
        <w:t xml:space="preserve"> elemento que más influye en la planificación de la vivienda es la condición climática </w:t>
      </w:r>
      <w:r w:rsidR="008742C7" w:rsidRPr="00E00F13">
        <w:rPr>
          <w:rFonts w:ascii="Arial" w:eastAsia="Noto Sans" w:hAnsi="Arial" w:cs="Arial"/>
          <w:sz w:val="24"/>
          <w:szCs w:val="24"/>
        </w:rPr>
        <w:lastRenderedPageBreak/>
        <w:t xml:space="preserve">de cada territorio; gran parte de los mejoramientos que se han realizado responden a la necesidad inmediata de atender a los hogares afectados por alguna emergencia climática. </w:t>
      </w:r>
    </w:p>
    <w:p w14:paraId="2521B862" w14:textId="77777777" w:rsidR="009B13F4" w:rsidRPr="00E00F13" w:rsidRDefault="009B13F4" w:rsidP="00287251">
      <w:pPr>
        <w:spacing w:after="0" w:line="360" w:lineRule="auto"/>
        <w:jc w:val="both"/>
        <w:rPr>
          <w:rFonts w:ascii="Arial" w:eastAsia="Noto Sans" w:hAnsi="Arial" w:cs="Arial"/>
          <w:sz w:val="24"/>
          <w:szCs w:val="24"/>
        </w:rPr>
      </w:pPr>
    </w:p>
    <w:p w14:paraId="294476BD" w14:textId="672D099E" w:rsidR="008742C7" w:rsidRPr="00E00F13" w:rsidRDefault="008742C7" w:rsidP="00287251">
      <w:pPr>
        <w:spacing w:after="0" w:line="360" w:lineRule="auto"/>
        <w:jc w:val="both"/>
        <w:rPr>
          <w:rFonts w:ascii="Arial" w:eastAsia="Noto Sans" w:hAnsi="Arial" w:cs="Arial"/>
          <w:sz w:val="24"/>
          <w:szCs w:val="24"/>
        </w:rPr>
      </w:pPr>
      <w:r w:rsidRPr="00E00F13">
        <w:rPr>
          <w:rFonts w:ascii="Arial" w:eastAsia="Noto Sans" w:hAnsi="Arial" w:cs="Arial"/>
          <w:sz w:val="24"/>
          <w:szCs w:val="24"/>
        </w:rPr>
        <w:t>En cuanto a</w:t>
      </w:r>
      <w:r w:rsidR="009B13F4" w:rsidRPr="00E00F13">
        <w:rPr>
          <w:rFonts w:ascii="Arial" w:eastAsia="Noto Sans" w:hAnsi="Arial" w:cs="Arial"/>
          <w:sz w:val="24"/>
          <w:szCs w:val="24"/>
        </w:rPr>
        <w:t>l</w:t>
      </w:r>
      <w:r w:rsidRPr="00E00F13">
        <w:rPr>
          <w:rFonts w:ascii="Arial" w:eastAsia="Noto Sans" w:hAnsi="Arial" w:cs="Arial"/>
          <w:sz w:val="24"/>
          <w:szCs w:val="24"/>
        </w:rPr>
        <w:t xml:space="preserve"> conocimiento de otros elementos relacionados con la ejecución de obras en vivienda, las comunidades con las que se ha trabajado en Chocó tienen conocimiento de los materiales disponibles en el territorio (tipos de madera, la planta chonta, implantación de plástico, entre otros), de la necesidad de planificar la adquisición y el traslado de material, de armar cuadrillas para las obras, teniendo en cuenta las distancias entre los municipios priorizados y de elaborar los cronogramas de obra.</w:t>
      </w:r>
      <w:r w:rsidR="009B13F4" w:rsidRPr="00E00F13">
        <w:rPr>
          <w:rFonts w:ascii="Arial" w:eastAsia="Noto Sans" w:hAnsi="Arial" w:cs="Arial"/>
          <w:sz w:val="24"/>
          <w:szCs w:val="24"/>
        </w:rPr>
        <w:t xml:space="preserve"> </w:t>
      </w:r>
      <w:r w:rsidRPr="00E00F13">
        <w:rPr>
          <w:rFonts w:ascii="Arial" w:eastAsia="Noto Sans" w:hAnsi="Arial" w:cs="Arial"/>
          <w:sz w:val="24"/>
          <w:szCs w:val="24"/>
        </w:rPr>
        <w:t xml:space="preserve">Se ha hecho énfasis en los pisos terminados y la separación de espacios como los elementos más importantes para definir una vivienda saludable. Sobre la seguridad, se reconoce el conocimiento de los elementos que permiten la estabilidad estructural de las viviendas; sin embargo, en la práctica, los Consejos manifiestan que esta es una de las principales carencias que, además, responde a las dinámicas del río y del comportamiento del clima. </w:t>
      </w:r>
    </w:p>
    <w:p w14:paraId="7CD4D795" w14:textId="6211C12F" w:rsidR="00A77401" w:rsidRPr="00E00F13" w:rsidRDefault="00A77401" w:rsidP="00287251">
      <w:pPr>
        <w:spacing w:line="360" w:lineRule="auto"/>
        <w:jc w:val="both"/>
        <w:rPr>
          <w:rFonts w:ascii="Arial" w:hAnsi="Arial" w:cs="Arial"/>
          <w:sz w:val="24"/>
          <w:szCs w:val="24"/>
        </w:rPr>
      </w:pPr>
    </w:p>
    <w:p w14:paraId="751C8E45" w14:textId="60CE6BF7" w:rsidR="0088265B" w:rsidRPr="00E00F13" w:rsidRDefault="0088265B" w:rsidP="00287251">
      <w:pPr>
        <w:spacing w:line="360" w:lineRule="auto"/>
        <w:jc w:val="both"/>
        <w:rPr>
          <w:rFonts w:ascii="Arial" w:hAnsi="Arial" w:cs="Arial"/>
          <w:b/>
          <w:bCs/>
          <w:sz w:val="24"/>
          <w:szCs w:val="24"/>
        </w:rPr>
      </w:pPr>
      <w:r w:rsidRPr="00E00F13">
        <w:rPr>
          <w:rFonts w:ascii="Arial" w:hAnsi="Arial" w:cs="Arial"/>
          <w:b/>
          <w:bCs/>
          <w:sz w:val="24"/>
          <w:szCs w:val="24"/>
        </w:rPr>
        <w:t xml:space="preserve">Criterios </w:t>
      </w:r>
      <w:r w:rsidR="00765033" w:rsidRPr="00E00F13">
        <w:rPr>
          <w:rFonts w:ascii="Arial" w:hAnsi="Arial" w:cs="Arial"/>
          <w:b/>
          <w:bCs/>
          <w:sz w:val="24"/>
          <w:szCs w:val="24"/>
        </w:rPr>
        <w:t xml:space="preserve">y enfoques del </w:t>
      </w:r>
      <w:r w:rsidRPr="00E00F13">
        <w:rPr>
          <w:rFonts w:ascii="Arial" w:hAnsi="Arial" w:cs="Arial"/>
          <w:b/>
          <w:bCs/>
          <w:sz w:val="24"/>
          <w:szCs w:val="24"/>
        </w:rPr>
        <w:t>mejoramiento</w:t>
      </w:r>
      <w:r w:rsidR="00765033" w:rsidRPr="00E00F13">
        <w:rPr>
          <w:rFonts w:ascii="Arial" w:hAnsi="Arial" w:cs="Arial"/>
          <w:b/>
          <w:bCs/>
          <w:sz w:val="24"/>
          <w:szCs w:val="24"/>
        </w:rPr>
        <w:t xml:space="preserve"> de viviendas</w:t>
      </w:r>
    </w:p>
    <w:p w14:paraId="4074DD00" w14:textId="28B4CB58" w:rsidR="00177B7B" w:rsidRPr="00E00F13" w:rsidRDefault="00177B7B" w:rsidP="00177B7B">
      <w:pPr>
        <w:spacing w:line="360" w:lineRule="auto"/>
        <w:jc w:val="both"/>
        <w:rPr>
          <w:rFonts w:ascii="Arial" w:hAnsi="Arial" w:cs="Arial"/>
          <w:sz w:val="24"/>
          <w:szCs w:val="24"/>
          <w:lang w:val="es-ES"/>
        </w:rPr>
      </w:pPr>
      <w:r w:rsidRPr="00E00F13">
        <w:rPr>
          <w:rFonts w:ascii="Arial" w:hAnsi="Arial" w:cs="Arial"/>
          <w:sz w:val="24"/>
          <w:szCs w:val="24"/>
          <w:lang w:val="es-ES"/>
        </w:rPr>
        <w:t xml:space="preserve">Los propósitos del mejoramiento de vivienda son servir como alternativa al enfoque tradicional de demoler y construir nuevo; reconocer a las organizaciones comunitarias; reconocer las </w:t>
      </w:r>
      <w:r w:rsidRPr="00E00F13">
        <w:rPr>
          <w:rFonts w:ascii="Arial" w:hAnsi="Arial" w:cs="Arial"/>
          <w:sz w:val="24"/>
          <w:szCs w:val="24"/>
          <w:lang w:val="es-MX"/>
        </w:rPr>
        <w:t xml:space="preserve">características sociales, culturales y económicas de cada territorio y las prácticas culturales poblacionales; </w:t>
      </w:r>
      <w:r w:rsidRPr="00E00F13">
        <w:rPr>
          <w:rFonts w:ascii="Arial" w:hAnsi="Arial" w:cs="Arial"/>
          <w:sz w:val="24"/>
          <w:szCs w:val="24"/>
          <w:lang w:val="es-ES"/>
        </w:rPr>
        <w:t>y reparar y reutilizar materiales, en el contexto de la economía circular. Por ello, desde el MVCT el enfoque se basa en:</w:t>
      </w:r>
    </w:p>
    <w:p w14:paraId="738EDB33" w14:textId="77777777" w:rsidR="00765033" w:rsidRPr="00E00F13" w:rsidRDefault="00765033">
      <w:pPr>
        <w:numPr>
          <w:ilvl w:val="0"/>
          <w:numId w:val="54"/>
        </w:numPr>
        <w:spacing w:line="360" w:lineRule="auto"/>
        <w:jc w:val="both"/>
        <w:rPr>
          <w:rFonts w:ascii="Arial" w:hAnsi="Arial" w:cs="Arial"/>
          <w:sz w:val="24"/>
          <w:szCs w:val="24"/>
          <w:lang w:val="es-ES"/>
        </w:rPr>
      </w:pPr>
      <w:r w:rsidRPr="00E00F13">
        <w:rPr>
          <w:rFonts w:ascii="Arial" w:hAnsi="Arial" w:cs="Arial"/>
          <w:sz w:val="24"/>
          <w:szCs w:val="24"/>
        </w:rPr>
        <w:t xml:space="preserve">No solo </w:t>
      </w:r>
      <w:r w:rsidRPr="00E00F13">
        <w:rPr>
          <w:rFonts w:ascii="Arial" w:hAnsi="Arial" w:cs="Arial"/>
          <w:i/>
          <w:iCs/>
          <w:sz w:val="24"/>
          <w:szCs w:val="24"/>
        </w:rPr>
        <w:t xml:space="preserve">cambiar lo existente </w:t>
      </w:r>
      <w:r w:rsidRPr="00E00F13">
        <w:rPr>
          <w:rFonts w:ascii="Arial" w:hAnsi="Arial" w:cs="Arial"/>
          <w:sz w:val="24"/>
          <w:szCs w:val="24"/>
        </w:rPr>
        <w:t xml:space="preserve">sino </w:t>
      </w:r>
      <w:r w:rsidRPr="00E00F13">
        <w:rPr>
          <w:rFonts w:ascii="Arial" w:hAnsi="Arial" w:cs="Arial"/>
          <w:i/>
          <w:iCs/>
          <w:sz w:val="24"/>
          <w:szCs w:val="24"/>
        </w:rPr>
        <w:t>Mejorar lo construido</w:t>
      </w:r>
      <w:r w:rsidRPr="00E00F13">
        <w:rPr>
          <w:rFonts w:ascii="Arial" w:hAnsi="Arial" w:cs="Arial"/>
          <w:sz w:val="24"/>
          <w:szCs w:val="24"/>
        </w:rPr>
        <w:t>.</w:t>
      </w:r>
    </w:p>
    <w:p w14:paraId="4A7C37DA" w14:textId="77777777" w:rsidR="00765033" w:rsidRPr="00E00F13" w:rsidRDefault="00765033">
      <w:pPr>
        <w:numPr>
          <w:ilvl w:val="0"/>
          <w:numId w:val="54"/>
        </w:numPr>
        <w:spacing w:line="360" w:lineRule="auto"/>
        <w:jc w:val="both"/>
        <w:rPr>
          <w:rFonts w:ascii="Arial" w:hAnsi="Arial" w:cs="Arial"/>
          <w:sz w:val="24"/>
          <w:szCs w:val="24"/>
          <w:lang w:val="es-ES"/>
        </w:rPr>
      </w:pPr>
      <w:r w:rsidRPr="00E00F13">
        <w:rPr>
          <w:rFonts w:ascii="Arial" w:hAnsi="Arial" w:cs="Arial"/>
          <w:sz w:val="24"/>
          <w:szCs w:val="24"/>
        </w:rPr>
        <w:t xml:space="preserve">Mejorar viviendas parte </w:t>
      </w:r>
      <w:r w:rsidRPr="00E00F13">
        <w:rPr>
          <w:rFonts w:ascii="Arial" w:hAnsi="Arial" w:cs="Arial"/>
          <w:i/>
          <w:iCs/>
          <w:sz w:val="24"/>
          <w:szCs w:val="24"/>
        </w:rPr>
        <w:t xml:space="preserve">del reconocimiento </w:t>
      </w:r>
      <w:r w:rsidRPr="00E00F13">
        <w:rPr>
          <w:rFonts w:ascii="Arial" w:hAnsi="Arial" w:cs="Arial"/>
          <w:sz w:val="24"/>
          <w:szCs w:val="24"/>
        </w:rPr>
        <w:t>de la forma de vida sus habitantes.</w:t>
      </w:r>
    </w:p>
    <w:p w14:paraId="1A77777F" w14:textId="77777777" w:rsidR="00765033" w:rsidRPr="00E00F13" w:rsidRDefault="00765033">
      <w:pPr>
        <w:numPr>
          <w:ilvl w:val="0"/>
          <w:numId w:val="54"/>
        </w:numPr>
        <w:spacing w:line="360" w:lineRule="auto"/>
        <w:jc w:val="both"/>
        <w:rPr>
          <w:rFonts w:ascii="Arial" w:hAnsi="Arial" w:cs="Arial"/>
          <w:sz w:val="24"/>
          <w:szCs w:val="24"/>
          <w:lang w:val="es-ES"/>
        </w:rPr>
      </w:pPr>
      <w:r w:rsidRPr="00E00F13">
        <w:rPr>
          <w:rFonts w:ascii="Arial" w:hAnsi="Arial" w:cs="Arial"/>
          <w:sz w:val="24"/>
          <w:szCs w:val="24"/>
        </w:rPr>
        <w:t xml:space="preserve">Generar alternativas técnicas y funcionales que </w:t>
      </w:r>
      <w:r w:rsidRPr="00E00F13">
        <w:rPr>
          <w:rFonts w:ascii="Arial" w:hAnsi="Arial" w:cs="Arial"/>
          <w:i/>
          <w:iCs/>
          <w:sz w:val="24"/>
          <w:szCs w:val="24"/>
        </w:rPr>
        <w:t>mejoren la calidad constructiva de la vivienda.</w:t>
      </w:r>
    </w:p>
    <w:p w14:paraId="742FF9AF" w14:textId="77777777" w:rsidR="00765033" w:rsidRPr="00E00F13" w:rsidRDefault="00765033">
      <w:pPr>
        <w:numPr>
          <w:ilvl w:val="0"/>
          <w:numId w:val="54"/>
        </w:numPr>
        <w:spacing w:line="360" w:lineRule="auto"/>
        <w:jc w:val="both"/>
        <w:rPr>
          <w:rFonts w:ascii="Arial" w:hAnsi="Arial" w:cs="Arial"/>
          <w:sz w:val="24"/>
          <w:szCs w:val="24"/>
          <w:lang w:val="es-ES"/>
        </w:rPr>
      </w:pPr>
      <w:r w:rsidRPr="00E00F13">
        <w:rPr>
          <w:rFonts w:ascii="Arial" w:hAnsi="Arial" w:cs="Arial"/>
          <w:sz w:val="24"/>
          <w:szCs w:val="24"/>
        </w:rPr>
        <w:lastRenderedPageBreak/>
        <w:t xml:space="preserve">Reconocer y fortalecer el rol de las </w:t>
      </w:r>
      <w:r w:rsidRPr="00E00F13">
        <w:rPr>
          <w:rFonts w:ascii="Arial" w:hAnsi="Arial" w:cs="Arial"/>
          <w:i/>
          <w:iCs/>
          <w:sz w:val="24"/>
          <w:szCs w:val="24"/>
        </w:rPr>
        <w:t>organizaciones sociales.</w:t>
      </w:r>
    </w:p>
    <w:p w14:paraId="6F8A9167" w14:textId="592E9B69" w:rsidR="00765033" w:rsidRPr="00E00F13" w:rsidRDefault="00765033">
      <w:pPr>
        <w:numPr>
          <w:ilvl w:val="0"/>
          <w:numId w:val="54"/>
        </w:numPr>
        <w:spacing w:line="360" w:lineRule="auto"/>
        <w:jc w:val="both"/>
        <w:rPr>
          <w:rFonts w:ascii="Arial" w:hAnsi="Arial" w:cs="Arial"/>
          <w:sz w:val="24"/>
          <w:szCs w:val="24"/>
          <w:lang w:val="es-ES"/>
        </w:rPr>
      </w:pPr>
      <w:r w:rsidRPr="00E00F13">
        <w:rPr>
          <w:rFonts w:ascii="Arial" w:hAnsi="Arial" w:cs="Arial"/>
          <w:sz w:val="24"/>
          <w:szCs w:val="24"/>
        </w:rPr>
        <w:t xml:space="preserve">Fortalecer </w:t>
      </w:r>
      <w:r w:rsidRPr="00E00F13">
        <w:rPr>
          <w:rFonts w:ascii="Arial" w:hAnsi="Arial" w:cs="Arial"/>
          <w:i/>
          <w:iCs/>
          <w:sz w:val="24"/>
          <w:szCs w:val="24"/>
        </w:rPr>
        <w:t>procesos comunitarios de base, en conjunto con entidades territoriales</w:t>
      </w:r>
    </w:p>
    <w:p w14:paraId="3F92FDB9" w14:textId="77777777" w:rsidR="00765033" w:rsidRPr="00E00F13" w:rsidRDefault="00765033">
      <w:pPr>
        <w:numPr>
          <w:ilvl w:val="0"/>
          <w:numId w:val="54"/>
        </w:numPr>
        <w:spacing w:line="360" w:lineRule="auto"/>
        <w:jc w:val="both"/>
        <w:rPr>
          <w:rFonts w:ascii="Arial" w:hAnsi="Arial" w:cs="Arial"/>
          <w:sz w:val="24"/>
          <w:szCs w:val="24"/>
          <w:lang w:val="es-ES"/>
        </w:rPr>
      </w:pPr>
      <w:r w:rsidRPr="00E00F13">
        <w:rPr>
          <w:rFonts w:ascii="Arial" w:hAnsi="Arial" w:cs="Arial"/>
          <w:sz w:val="24"/>
          <w:szCs w:val="24"/>
          <w:lang w:val="es-MX"/>
        </w:rPr>
        <w:t>Fomentar el uso eficiente de recursos por medio de acciones que promuevan intervenciones para la adaptación al cambio climático, a través de soluciones basadas en la naturaleza, la economía circular y utilización de materiales y/o usos de la región.</w:t>
      </w:r>
    </w:p>
    <w:p w14:paraId="051C6EF0" w14:textId="77777777" w:rsidR="00765033" w:rsidRPr="00E00F13" w:rsidRDefault="00765033">
      <w:pPr>
        <w:numPr>
          <w:ilvl w:val="0"/>
          <w:numId w:val="54"/>
        </w:numPr>
        <w:spacing w:line="360" w:lineRule="auto"/>
        <w:jc w:val="both"/>
        <w:rPr>
          <w:rFonts w:ascii="Arial" w:hAnsi="Arial" w:cs="Arial"/>
          <w:sz w:val="24"/>
          <w:szCs w:val="24"/>
          <w:lang w:val="es-ES"/>
        </w:rPr>
      </w:pPr>
      <w:r w:rsidRPr="00E00F13">
        <w:rPr>
          <w:rFonts w:ascii="Arial" w:hAnsi="Arial" w:cs="Arial"/>
          <w:sz w:val="24"/>
          <w:szCs w:val="24"/>
          <w:lang w:val="es-MX"/>
        </w:rPr>
        <w:t xml:space="preserve">Potenciar intervenciones que reconozcan las características sociales, culturales y económicas de cada territorio, y en donde se consideren las particularidades relacionadas con la accesibilidad, la disponibilidad de recursos y los riesgos asociados a factores ambientales y sociales. </w:t>
      </w:r>
    </w:p>
    <w:p w14:paraId="2ED8AF0D" w14:textId="77777777" w:rsidR="00765033" w:rsidRPr="00E00F13" w:rsidRDefault="00765033">
      <w:pPr>
        <w:numPr>
          <w:ilvl w:val="0"/>
          <w:numId w:val="54"/>
        </w:numPr>
        <w:spacing w:line="360" w:lineRule="auto"/>
        <w:jc w:val="both"/>
        <w:rPr>
          <w:rFonts w:ascii="Arial" w:hAnsi="Arial" w:cs="Arial"/>
          <w:sz w:val="24"/>
          <w:szCs w:val="24"/>
          <w:lang w:val="es-ES"/>
        </w:rPr>
      </w:pPr>
      <w:r w:rsidRPr="00E00F13">
        <w:rPr>
          <w:rFonts w:ascii="Arial" w:hAnsi="Arial" w:cs="Arial"/>
          <w:sz w:val="24"/>
          <w:szCs w:val="24"/>
          <w:lang w:val="es-MX"/>
        </w:rPr>
        <w:t xml:space="preserve">Reconocer las prácticas culturales de los hogares promoviendo intervenciones que soporten el trabajo doméstico y de cuidado al interior de la vivienda, facilitando la independencia y seguridad de personas con necesidades especiales como personas mayores, niños, niñas y aquellas en condición de discapacidad. </w:t>
      </w:r>
    </w:p>
    <w:p w14:paraId="69F36947" w14:textId="77777777" w:rsidR="0088265B" w:rsidRPr="00E00F13" w:rsidRDefault="0088265B" w:rsidP="00287251">
      <w:pPr>
        <w:spacing w:line="360" w:lineRule="auto"/>
        <w:jc w:val="both"/>
        <w:rPr>
          <w:rFonts w:ascii="Arial" w:hAnsi="Arial" w:cs="Arial"/>
          <w:b/>
          <w:bCs/>
          <w:sz w:val="24"/>
          <w:szCs w:val="24"/>
          <w:lang w:val="es-ES"/>
        </w:rPr>
      </w:pPr>
    </w:p>
    <w:p w14:paraId="44A65CF8" w14:textId="2D88654C" w:rsidR="00A77401" w:rsidRPr="00E00F13" w:rsidRDefault="00046FCB" w:rsidP="00287251">
      <w:pPr>
        <w:spacing w:line="360" w:lineRule="auto"/>
        <w:jc w:val="both"/>
        <w:rPr>
          <w:rFonts w:ascii="Arial" w:hAnsi="Arial" w:cs="Arial"/>
          <w:b/>
          <w:bCs/>
          <w:sz w:val="24"/>
          <w:szCs w:val="24"/>
        </w:rPr>
      </w:pPr>
      <w:r w:rsidRPr="00E00F13">
        <w:rPr>
          <w:rFonts w:ascii="Arial" w:hAnsi="Arial" w:cs="Arial"/>
          <w:b/>
          <w:bCs/>
          <w:sz w:val="24"/>
          <w:szCs w:val="24"/>
        </w:rPr>
        <w:t>El contexto de Chocó</w:t>
      </w:r>
    </w:p>
    <w:p w14:paraId="6233D20B" w14:textId="15F5C09C" w:rsidR="000B260F" w:rsidRPr="00E00F13" w:rsidRDefault="000B260F" w:rsidP="000B260F">
      <w:pPr>
        <w:spacing w:line="360" w:lineRule="auto"/>
        <w:jc w:val="both"/>
        <w:rPr>
          <w:rFonts w:ascii="Arial" w:hAnsi="Arial" w:cs="Arial"/>
          <w:sz w:val="24"/>
          <w:szCs w:val="24"/>
          <w:lang w:val="es-ES"/>
        </w:rPr>
      </w:pPr>
      <w:r w:rsidRPr="00E00F13">
        <w:rPr>
          <w:rFonts w:ascii="Arial" w:hAnsi="Arial" w:cs="Arial"/>
          <w:b/>
          <w:bCs/>
          <w:sz w:val="24"/>
          <w:szCs w:val="24"/>
          <w:lang w:val="es-ES"/>
        </w:rPr>
        <w:t xml:space="preserve">Condiciones ambientales extremas: </w:t>
      </w:r>
      <w:r w:rsidRPr="00E00F13">
        <w:rPr>
          <w:rFonts w:ascii="Arial" w:hAnsi="Arial" w:cs="Arial"/>
          <w:sz w:val="24"/>
          <w:szCs w:val="24"/>
          <w:lang w:val="es-ES"/>
        </w:rPr>
        <w:t>clima cálido–húmedo, lluvias intensas, alta humedad y amenaza sísmica que condicionan el diseño y la durabilidad de la vivienda.</w:t>
      </w:r>
    </w:p>
    <w:p w14:paraId="790DE219" w14:textId="77777777" w:rsidR="000B260F" w:rsidRPr="00E00F13" w:rsidRDefault="000B260F" w:rsidP="000B260F">
      <w:pPr>
        <w:spacing w:line="360" w:lineRule="auto"/>
        <w:jc w:val="both"/>
        <w:rPr>
          <w:rFonts w:ascii="Arial" w:hAnsi="Arial" w:cs="Arial"/>
          <w:sz w:val="24"/>
          <w:szCs w:val="24"/>
          <w:lang w:val="es-ES"/>
        </w:rPr>
      </w:pPr>
      <w:r w:rsidRPr="00E00F13">
        <w:rPr>
          <w:rFonts w:ascii="Arial" w:hAnsi="Arial" w:cs="Arial"/>
          <w:b/>
          <w:bCs/>
          <w:sz w:val="24"/>
          <w:szCs w:val="24"/>
          <w:lang w:val="es-ES"/>
        </w:rPr>
        <w:t xml:space="preserve">Territorio étnico y fluvial: </w:t>
      </w:r>
      <w:r w:rsidRPr="00E00F13">
        <w:rPr>
          <w:rFonts w:ascii="Arial" w:hAnsi="Arial" w:cs="Arial"/>
          <w:sz w:val="24"/>
          <w:szCs w:val="24"/>
          <w:lang w:val="es-ES"/>
        </w:rPr>
        <w:t xml:space="preserve">alta presencia de comunidades afro e indígenas, propiedad colectiva </w:t>
      </w:r>
      <w:r w:rsidRPr="00E00F13">
        <w:rPr>
          <w:rFonts w:ascii="Arial" w:hAnsi="Arial" w:cs="Arial"/>
          <w:sz w:val="24"/>
          <w:szCs w:val="24"/>
        </w:rPr>
        <w:t>con gobernanza comunitaria consolidada</w:t>
      </w:r>
      <w:r w:rsidRPr="00E00F13">
        <w:rPr>
          <w:rFonts w:ascii="Arial" w:hAnsi="Arial" w:cs="Arial"/>
          <w:sz w:val="24"/>
          <w:szCs w:val="24"/>
          <w:lang w:val="es-ES"/>
        </w:rPr>
        <w:t xml:space="preserve"> y el agua como eje del hábitat, la movilidad y la vida productiva.</w:t>
      </w:r>
    </w:p>
    <w:p w14:paraId="24A7E281" w14:textId="41C7C5B9" w:rsidR="000B260F" w:rsidRPr="00E00F13" w:rsidRDefault="000B260F" w:rsidP="000B260F">
      <w:pPr>
        <w:spacing w:line="360" w:lineRule="auto"/>
        <w:jc w:val="both"/>
        <w:rPr>
          <w:rFonts w:ascii="Arial" w:hAnsi="Arial" w:cs="Arial"/>
          <w:sz w:val="24"/>
          <w:szCs w:val="24"/>
          <w:lang w:val="es-ES"/>
        </w:rPr>
      </w:pPr>
      <w:r w:rsidRPr="00E00F13">
        <w:rPr>
          <w:rFonts w:ascii="Arial" w:hAnsi="Arial" w:cs="Arial"/>
          <w:b/>
          <w:bCs/>
          <w:sz w:val="24"/>
          <w:szCs w:val="24"/>
          <w:lang w:val="es-ES"/>
        </w:rPr>
        <w:t xml:space="preserve">Economía local: </w:t>
      </w:r>
      <w:r w:rsidR="009B13F4" w:rsidRPr="00E00F13">
        <w:rPr>
          <w:rFonts w:ascii="Arial" w:hAnsi="Arial" w:cs="Arial"/>
          <w:sz w:val="24"/>
          <w:szCs w:val="24"/>
          <w:lang w:val="es-ES"/>
        </w:rPr>
        <w:t>s</w:t>
      </w:r>
      <w:r w:rsidRPr="00E00F13">
        <w:rPr>
          <w:rFonts w:ascii="Arial" w:hAnsi="Arial" w:cs="Arial"/>
          <w:sz w:val="24"/>
          <w:szCs w:val="24"/>
          <w:lang w:val="es-ES"/>
        </w:rPr>
        <w:t>e basa en la pesca, la minería artesanal, la madera y la agricultura de subsistencia.</w:t>
      </w:r>
    </w:p>
    <w:p w14:paraId="57A92748" w14:textId="1BA0D544" w:rsidR="000B260F" w:rsidRPr="00E00F13" w:rsidRDefault="000B260F" w:rsidP="000B260F">
      <w:pPr>
        <w:spacing w:line="360" w:lineRule="auto"/>
        <w:jc w:val="both"/>
        <w:rPr>
          <w:rFonts w:ascii="Arial" w:hAnsi="Arial" w:cs="Arial"/>
          <w:sz w:val="24"/>
          <w:szCs w:val="24"/>
          <w:lang w:val="es-ES"/>
        </w:rPr>
      </w:pPr>
      <w:r w:rsidRPr="00E00F13">
        <w:rPr>
          <w:rFonts w:ascii="Arial" w:hAnsi="Arial" w:cs="Arial"/>
          <w:b/>
          <w:bCs/>
          <w:sz w:val="24"/>
          <w:szCs w:val="24"/>
        </w:rPr>
        <w:lastRenderedPageBreak/>
        <w:t xml:space="preserve">Acceso y conectividad: </w:t>
      </w:r>
      <w:r w:rsidR="009B13F4" w:rsidRPr="00E00F13">
        <w:rPr>
          <w:rFonts w:ascii="Arial" w:hAnsi="Arial" w:cs="Arial"/>
          <w:sz w:val="24"/>
          <w:szCs w:val="24"/>
        </w:rPr>
        <w:t>e</w:t>
      </w:r>
      <w:r w:rsidRPr="00E00F13">
        <w:rPr>
          <w:rFonts w:ascii="Arial" w:hAnsi="Arial" w:cs="Arial"/>
          <w:sz w:val="24"/>
          <w:szCs w:val="24"/>
          <w:lang w:val="es-ES"/>
        </w:rPr>
        <w:t xml:space="preserve">l transporte fluvial es el medio predominante de movilidad, que se realiza principalmente a través de los ríos Atrato, San Juan y Baudó. </w:t>
      </w:r>
    </w:p>
    <w:p w14:paraId="0F54ECBF" w14:textId="35A47AC4" w:rsidR="000B260F" w:rsidRPr="00E00F13" w:rsidRDefault="000B260F" w:rsidP="000B260F">
      <w:pPr>
        <w:spacing w:line="360" w:lineRule="auto"/>
        <w:jc w:val="both"/>
        <w:rPr>
          <w:rFonts w:ascii="Arial" w:hAnsi="Arial" w:cs="Arial"/>
          <w:sz w:val="24"/>
          <w:szCs w:val="24"/>
        </w:rPr>
      </w:pPr>
      <w:r w:rsidRPr="00E00F13">
        <w:rPr>
          <w:rFonts w:ascii="Arial" w:hAnsi="Arial" w:cs="Arial"/>
          <w:b/>
          <w:bCs/>
          <w:sz w:val="24"/>
          <w:szCs w:val="24"/>
          <w:lang w:val="es-ES"/>
        </w:rPr>
        <w:t>Demanda de enfoques técnicos adaptativos:</w:t>
      </w:r>
      <w:r w:rsidRPr="00E00F13">
        <w:rPr>
          <w:rFonts w:ascii="Arial" w:hAnsi="Arial" w:cs="Arial"/>
          <w:sz w:val="24"/>
          <w:szCs w:val="24"/>
          <w:lang w:val="es-ES"/>
        </w:rPr>
        <w:t xml:space="preserve"> </w:t>
      </w:r>
      <w:r w:rsidR="009B13F4" w:rsidRPr="00E00F13">
        <w:rPr>
          <w:rFonts w:ascii="Arial" w:hAnsi="Arial" w:cs="Arial"/>
          <w:sz w:val="24"/>
          <w:szCs w:val="24"/>
        </w:rPr>
        <w:t>l</w:t>
      </w:r>
      <w:r w:rsidRPr="00E00F13">
        <w:rPr>
          <w:rFonts w:ascii="Arial" w:hAnsi="Arial" w:cs="Arial"/>
          <w:sz w:val="24"/>
          <w:szCs w:val="24"/>
        </w:rPr>
        <w:t xml:space="preserve">as características del territorio; la presencia de grupos étnicos, su cultura, prácticas ancestrales y costumbres; las limitaciones de acceso y los mayores costos que se presentan en materiales y </w:t>
      </w:r>
      <w:proofErr w:type="gramStart"/>
      <w:r w:rsidRPr="00E00F13">
        <w:rPr>
          <w:rFonts w:ascii="Arial" w:hAnsi="Arial" w:cs="Arial"/>
          <w:sz w:val="24"/>
          <w:szCs w:val="24"/>
        </w:rPr>
        <w:t>transporte,</w:t>
      </w:r>
      <w:proofErr w:type="gramEnd"/>
      <w:r w:rsidRPr="00E00F13">
        <w:rPr>
          <w:rFonts w:ascii="Arial" w:hAnsi="Arial" w:cs="Arial"/>
          <w:sz w:val="24"/>
          <w:szCs w:val="24"/>
        </w:rPr>
        <w:t xml:space="preserve"> requieren la optimización de los recursos y la adaptación de las técnicas constructivas, que garanticen la seguridad de sus habitantes en armonía con sus prácticas y costumbres.</w:t>
      </w:r>
    </w:p>
    <w:p w14:paraId="2C40BB41" w14:textId="792DA9D1" w:rsidR="009B13F4" w:rsidRPr="00E00F13" w:rsidRDefault="009B13F4" w:rsidP="009B13F4">
      <w:pPr>
        <w:spacing w:line="360" w:lineRule="auto"/>
        <w:jc w:val="both"/>
        <w:rPr>
          <w:rFonts w:ascii="Arial" w:hAnsi="Arial" w:cs="Arial"/>
          <w:sz w:val="24"/>
          <w:szCs w:val="24"/>
        </w:rPr>
      </w:pPr>
      <w:r w:rsidRPr="00E00F13">
        <w:rPr>
          <w:rFonts w:ascii="Arial" w:hAnsi="Arial" w:cs="Arial"/>
          <w:sz w:val="24"/>
          <w:szCs w:val="24"/>
        </w:rPr>
        <w:t>Dentro de las características de los consejos comunitarios tenemos aspectos tanto positivos como asuntos que estamos resolviendo.</w:t>
      </w:r>
    </w:p>
    <w:p w14:paraId="49ABC67A" w14:textId="7C89861A" w:rsidR="000B260F" w:rsidRPr="00E00F13" w:rsidRDefault="000B260F" w:rsidP="009B13F4">
      <w:pPr>
        <w:spacing w:line="360" w:lineRule="auto"/>
        <w:jc w:val="both"/>
        <w:rPr>
          <w:rFonts w:ascii="Arial" w:hAnsi="Arial" w:cs="Arial"/>
          <w:sz w:val="24"/>
          <w:szCs w:val="24"/>
          <w:lang w:val="es-ES"/>
        </w:rPr>
      </w:pPr>
      <w:r w:rsidRPr="00E00F13">
        <w:rPr>
          <w:rFonts w:ascii="Arial" w:hAnsi="Arial" w:cs="Arial"/>
          <w:sz w:val="24"/>
          <w:szCs w:val="24"/>
          <w:lang w:val="es-ES"/>
        </w:rPr>
        <w:t xml:space="preserve">Los </w:t>
      </w:r>
      <w:r w:rsidR="009B13F4" w:rsidRPr="00E00F13">
        <w:rPr>
          <w:rFonts w:ascii="Arial" w:hAnsi="Arial" w:cs="Arial"/>
          <w:sz w:val="24"/>
          <w:szCs w:val="24"/>
          <w:lang w:val="es-ES"/>
        </w:rPr>
        <w:t>consejos c</w:t>
      </w:r>
      <w:r w:rsidRPr="00E00F13">
        <w:rPr>
          <w:rFonts w:ascii="Arial" w:hAnsi="Arial" w:cs="Arial"/>
          <w:sz w:val="24"/>
          <w:szCs w:val="24"/>
          <w:lang w:val="es-ES"/>
        </w:rPr>
        <w:t>omunitarios tienen entre y 22 años de creación, aspecto positivo que indica que su conformación no se genera como una medida temporal para acceder a los beneficios de la nueva política de vivienda nacional y sus programas.</w:t>
      </w:r>
    </w:p>
    <w:p w14:paraId="5DEA22BD" w14:textId="77777777" w:rsidR="000B260F" w:rsidRPr="00E00F13" w:rsidRDefault="000B260F" w:rsidP="009B13F4">
      <w:pPr>
        <w:spacing w:line="360" w:lineRule="auto"/>
        <w:jc w:val="both"/>
        <w:rPr>
          <w:rFonts w:ascii="Arial" w:hAnsi="Arial" w:cs="Arial"/>
          <w:sz w:val="24"/>
          <w:szCs w:val="24"/>
          <w:lang w:val="es-ES"/>
        </w:rPr>
      </w:pPr>
      <w:r w:rsidRPr="00E00F13">
        <w:rPr>
          <w:rFonts w:ascii="Arial" w:hAnsi="Arial" w:cs="Arial"/>
          <w:sz w:val="24"/>
          <w:szCs w:val="24"/>
          <w:lang w:val="es-ES"/>
        </w:rPr>
        <w:t>Todas las organizaciones cuentan la documentación legal que soporta su conformación y desarrollo de actividades.</w:t>
      </w:r>
    </w:p>
    <w:p w14:paraId="7A43A67E" w14:textId="77777777" w:rsidR="000B260F" w:rsidRPr="00E00F13" w:rsidRDefault="000B260F" w:rsidP="009B13F4">
      <w:pPr>
        <w:spacing w:line="360" w:lineRule="auto"/>
        <w:jc w:val="both"/>
        <w:rPr>
          <w:rFonts w:ascii="Arial" w:hAnsi="Arial" w:cs="Arial"/>
          <w:sz w:val="24"/>
          <w:szCs w:val="24"/>
          <w:lang w:val="es-ES"/>
        </w:rPr>
      </w:pPr>
      <w:r w:rsidRPr="00E00F13">
        <w:rPr>
          <w:rFonts w:ascii="Arial" w:hAnsi="Arial" w:cs="Arial"/>
          <w:sz w:val="24"/>
          <w:szCs w:val="24"/>
          <w:lang w:val="es-ES"/>
        </w:rPr>
        <w:t>Cuentan con experiencia en la formulación de proyectos, aunque no propiamente de vivienda, que les ha permitido mejorar sus conocimientos y habilidades en la gestión y manejo de recursos.</w:t>
      </w:r>
    </w:p>
    <w:p w14:paraId="105716F4" w14:textId="37AD84A2" w:rsidR="000B260F" w:rsidRPr="00E00F13" w:rsidRDefault="000B260F" w:rsidP="009B13F4">
      <w:pPr>
        <w:spacing w:line="360" w:lineRule="auto"/>
        <w:jc w:val="both"/>
        <w:rPr>
          <w:rFonts w:ascii="Arial" w:hAnsi="Arial" w:cs="Arial"/>
          <w:sz w:val="24"/>
          <w:szCs w:val="24"/>
          <w:lang w:val="es-ES"/>
        </w:rPr>
      </w:pPr>
      <w:r w:rsidRPr="00E00F13">
        <w:rPr>
          <w:rFonts w:ascii="Arial" w:hAnsi="Arial" w:cs="Arial"/>
          <w:sz w:val="24"/>
          <w:szCs w:val="24"/>
          <w:lang w:val="es-ES"/>
        </w:rPr>
        <w:t xml:space="preserve">Los proyectos que han ejecutado las </w:t>
      </w:r>
      <w:r w:rsidR="009B13F4" w:rsidRPr="00E00F13">
        <w:rPr>
          <w:rFonts w:ascii="Arial" w:hAnsi="Arial" w:cs="Arial"/>
          <w:sz w:val="24"/>
          <w:szCs w:val="24"/>
          <w:lang w:val="es-ES"/>
        </w:rPr>
        <w:t>o</w:t>
      </w:r>
      <w:r w:rsidRPr="00E00F13">
        <w:rPr>
          <w:rFonts w:ascii="Arial" w:hAnsi="Arial" w:cs="Arial"/>
          <w:sz w:val="24"/>
          <w:szCs w:val="24"/>
          <w:lang w:val="es-ES"/>
        </w:rPr>
        <w:t xml:space="preserve">rganizaciones han sido impulsados por la articulación con entidades del </w:t>
      </w:r>
      <w:r w:rsidR="009B13F4" w:rsidRPr="00E00F13">
        <w:rPr>
          <w:rFonts w:ascii="Arial" w:hAnsi="Arial" w:cs="Arial"/>
          <w:sz w:val="24"/>
          <w:szCs w:val="24"/>
          <w:lang w:val="es-ES"/>
        </w:rPr>
        <w:t>E</w:t>
      </w:r>
      <w:r w:rsidRPr="00E00F13">
        <w:rPr>
          <w:rFonts w:ascii="Arial" w:hAnsi="Arial" w:cs="Arial"/>
          <w:sz w:val="24"/>
          <w:szCs w:val="24"/>
          <w:lang w:val="es-ES"/>
        </w:rPr>
        <w:t>stado y de cooperación internacional, no han accedido a financiamiento de la banca comercial.</w:t>
      </w:r>
    </w:p>
    <w:p w14:paraId="781846C2" w14:textId="77777777" w:rsidR="000B260F" w:rsidRPr="00E00F13" w:rsidRDefault="000B260F" w:rsidP="009B13F4">
      <w:pPr>
        <w:spacing w:line="360" w:lineRule="auto"/>
        <w:jc w:val="both"/>
        <w:rPr>
          <w:rFonts w:ascii="Arial" w:hAnsi="Arial" w:cs="Arial"/>
          <w:sz w:val="24"/>
          <w:szCs w:val="24"/>
          <w:lang w:val="es-ES"/>
        </w:rPr>
      </w:pPr>
      <w:r w:rsidRPr="00E00F13">
        <w:rPr>
          <w:rFonts w:ascii="Arial" w:hAnsi="Arial" w:cs="Arial"/>
          <w:sz w:val="24"/>
          <w:szCs w:val="24"/>
          <w:lang w:val="es-ES"/>
        </w:rPr>
        <w:t>Cuentan con conocimientos relacionados con los aspectos principales que componen un presupuesto, como materiales, cantidades, planificación de las intervenciones y mano de obra calificada.</w:t>
      </w:r>
    </w:p>
    <w:p w14:paraId="565F828D" w14:textId="77777777" w:rsidR="000B260F" w:rsidRPr="00E00F13" w:rsidRDefault="000B260F" w:rsidP="009B13F4">
      <w:pPr>
        <w:spacing w:line="360" w:lineRule="auto"/>
        <w:jc w:val="both"/>
        <w:rPr>
          <w:rFonts w:ascii="Arial" w:hAnsi="Arial" w:cs="Arial"/>
          <w:sz w:val="24"/>
          <w:szCs w:val="24"/>
          <w:lang w:val="es-ES"/>
        </w:rPr>
      </w:pPr>
      <w:r w:rsidRPr="00E00F13">
        <w:rPr>
          <w:rFonts w:ascii="Arial" w:hAnsi="Arial" w:cs="Arial"/>
          <w:sz w:val="24"/>
          <w:szCs w:val="24"/>
          <w:lang w:val="es-ES"/>
        </w:rPr>
        <w:t>Cuentan con herramientas tecnológicas para el desarrollo de sus actividades como computadores, acceso a internet, redes sociales, y página web, pero el territorio en general presenta un fuerte problema de conectividad.</w:t>
      </w:r>
    </w:p>
    <w:p w14:paraId="4474C692" w14:textId="7548E702" w:rsidR="000B260F" w:rsidRPr="00E00F13" w:rsidRDefault="000B260F" w:rsidP="009B13F4">
      <w:pPr>
        <w:spacing w:line="360" w:lineRule="auto"/>
        <w:jc w:val="both"/>
        <w:rPr>
          <w:rFonts w:ascii="Arial" w:hAnsi="Arial" w:cs="Arial"/>
          <w:sz w:val="24"/>
          <w:szCs w:val="24"/>
          <w:lang w:val="es-ES"/>
        </w:rPr>
      </w:pPr>
      <w:r w:rsidRPr="00E00F13">
        <w:rPr>
          <w:rFonts w:ascii="Arial" w:hAnsi="Arial" w:cs="Arial"/>
          <w:sz w:val="24"/>
          <w:szCs w:val="24"/>
          <w:lang w:val="es-ES"/>
        </w:rPr>
        <w:lastRenderedPageBreak/>
        <w:t>No obstante, también ha habido diversos problemas, que han tenido que ir resolviéndose:</w:t>
      </w:r>
    </w:p>
    <w:p w14:paraId="2940C0C8" w14:textId="77777777" w:rsidR="000B260F" w:rsidRPr="00E00F13" w:rsidRDefault="000B260F">
      <w:pPr>
        <w:pStyle w:val="Prrafodelista"/>
        <w:numPr>
          <w:ilvl w:val="0"/>
          <w:numId w:val="51"/>
        </w:numPr>
        <w:spacing w:line="360" w:lineRule="auto"/>
        <w:rPr>
          <w:rFonts w:ascii="Arial" w:hAnsi="Arial" w:cs="Arial"/>
          <w:sz w:val="24"/>
          <w:szCs w:val="24"/>
          <w:lang w:val="es-ES"/>
        </w:rPr>
      </w:pPr>
      <w:r w:rsidRPr="00E00F13">
        <w:rPr>
          <w:rFonts w:ascii="Arial" w:hAnsi="Arial" w:cs="Arial"/>
          <w:sz w:val="24"/>
          <w:szCs w:val="24"/>
          <w:lang w:val="es-ES"/>
        </w:rPr>
        <w:t xml:space="preserve">Los Consejos tienen una trayectoria limitada en proyectos específicos de vivienda. Existe la necesidad de fortalecimiento en planificación técnica y presupuestal. </w:t>
      </w:r>
    </w:p>
    <w:p w14:paraId="3E24975C" w14:textId="08D33263" w:rsidR="000B260F" w:rsidRPr="00E00F13" w:rsidRDefault="000B260F">
      <w:pPr>
        <w:pStyle w:val="Prrafodelista"/>
        <w:numPr>
          <w:ilvl w:val="0"/>
          <w:numId w:val="51"/>
        </w:numPr>
        <w:spacing w:line="360" w:lineRule="auto"/>
        <w:rPr>
          <w:rFonts w:ascii="Arial" w:hAnsi="Arial" w:cs="Arial"/>
          <w:sz w:val="24"/>
          <w:szCs w:val="24"/>
          <w:lang w:val="es-ES"/>
        </w:rPr>
      </w:pPr>
      <w:r w:rsidRPr="00E00F13">
        <w:rPr>
          <w:rFonts w:ascii="Arial" w:hAnsi="Arial" w:cs="Arial"/>
          <w:sz w:val="24"/>
          <w:szCs w:val="24"/>
          <w:lang w:val="es-ES"/>
        </w:rPr>
        <w:t>Hay materiales y soluciones constructivas condicionadas por el entorno.</w:t>
      </w:r>
    </w:p>
    <w:p w14:paraId="59D39396" w14:textId="3D83ED74" w:rsidR="009B13F4" w:rsidRPr="00E00F13" w:rsidRDefault="000B260F">
      <w:pPr>
        <w:pStyle w:val="Prrafodelista"/>
        <w:numPr>
          <w:ilvl w:val="0"/>
          <w:numId w:val="51"/>
        </w:numPr>
        <w:spacing w:line="360" w:lineRule="auto"/>
        <w:jc w:val="both"/>
        <w:rPr>
          <w:rFonts w:ascii="Arial" w:hAnsi="Arial" w:cs="Arial"/>
          <w:sz w:val="24"/>
          <w:szCs w:val="24"/>
          <w:lang w:val="es-ES"/>
        </w:rPr>
      </w:pPr>
      <w:r w:rsidRPr="00E00F13">
        <w:rPr>
          <w:rFonts w:ascii="Arial" w:hAnsi="Arial" w:cs="Arial"/>
          <w:sz w:val="24"/>
          <w:szCs w:val="24"/>
          <w:lang w:val="es-ES"/>
        </w:rPr>
        <w:t>Hay un déficit de asistencia técnica especializada en vivienda palafítica.</w:t>
      </w:r>
    </w:p>
    <w:p w14:paraId="2D5C05B1" w14:textId="24D1C36D" w:rsidR="000B260F" w:rsidRPr="00E00F13" w:rsidRDefault="000B260F" w:rsidP="000B260F">
      <w:pPr>
        <w:spacing w:line="360" w:lineRule="auto"/>
        <w:jc w:val="both"/>
        <w:rPr>
          <w:rFonts w:ascii="Arial" w:hAnsi="Arial" w:cs="Arial"/>
          <w:sz w:val="24"/>
          <w:szCs w:val="24"/>
          <w:lang w:val="es-ES"/>
        </w:rPr>
      </w:pPr>
      <w:r w:rsidRPr="00E00F13">
        <w:rPr>
          <w:rFonts w:ascii="Arial" w:hAnsi="Arial" w:cs="Arial"/>
          <w:sz w:val="24"/>
          <w:szCs w:val="24"/>
          <w:lang w:val="es-ES"/>
        </w:rPr>
        <w:t>Pero, también, esta experiencia se concibe como una oportunidad para estandarizar los lineamientos adaptados.</w:t>
      </w:r>
    </w:p>
    <w:p w14:paraId="657C5E9D" w14:textId="77777777" w:rsidR="000B260F" w:rsidRPr="00E00F13" w:rsidRDefault="000B260F" w:rsidP="000B260F">
      <w:pPr>
        <w:spacing w:line="360" w:lineRule="auto"/>
        <w:jc w:val="both"/>
        <w:rPr>
          <w:rFonts w:ascii="Arial" w:hAnsi="Arial" w:cs="Arial"/>
          <w:sz w:val="24"/>
          <w:szCs w:val="24"/>
          <w:lang w:val="es-ES"/>
        </w:rPr>
      </w:pPr>
      <w:r w:rsidRPr="00E00F13">
        <w:rPr>
          <w:rFonts w:ascii="Arial" w:hAnsi="Arial" w:cs="Arial"/>
          <w:b/>
          <w:bCs/>
          <w:sz w:val="24"/>
          <w:szCs w:val="24"/>
          <w:lang w:val="es-ES"/>
        </w:rPr>
        <w:t>Descripción de tipologías de viviendas según su material</w:t>
      </w:r>
    </w:p>
    <w:p w14:paraId="7CCF9DCF" w14:textId="7B52AF7E" w:rsidR="000B260F" w:rsidRPr="00E00F13" w:rsidRDefault="009B13F4" w:rsidP="000B260F">
      <w:pPr>
        <w:spacing w:line="360" w:lineRule="auto"/>
        <w:jc w:val="both"/>
        <w:rPr>
          <w:rFonts w:ascii="Arial" w:hAnsi="Arial" w:cs="Arial"/>
          <w:sz w:val="24"/>
          <w:szCs w:val="24"/>
          <w:lang w:val="es-ES"/>
        </w:rPr>
      </w:pPr>
      <w:r w:rsidRPr="00E00F13">
        <w:rPr>
          <w:rFonts w:ascii="Arial" w:hAnsi="Arial" w:cs="Arial"/>
          <w:sz w:val="24"/>
          <w:szCs w:val="24"/>
          <w:lang w:val="es-ES"/>
        </w:rPr>
        <w:t>En las</w:t>
      </w:r>
      <w:r w:rsidR="000B260F" w:rsidRPr="00E00F13">
        <w:rPr>
          <w:rFonts w:ascii="Arial" w:hAnsi="Arial" w:cs="Arial"/>
          <w:sz w:val="24"/>
          <w:szCs w:val="24"/>
          <w:lang w:val="es-ES"/>
        </w:rPr>
        <w:t xml:space="preserve"> visitas </w:t>
      </w:r>
      <w:r w:rsidRPr="00E00F13">
        <w:rPr>
          <w:rFonts w:ascii="Arial" w:hAnsi="Arial" w:cs="Arial"/>
          <w:sz w:val="24"/>
          <w:szCs w:val="24"/>
          <w:lang w:val="es-ES"/>
        </w:rPr>
        <w:t xml:space="preserve">adelantadas </w:t>
      </w:r>
      <w:r w:rsidR="000B260F" w:rsidRPr="00E00F13">
        <w:rPr>
          <w:rFonts w:ascii="Arial" w:hAnsi="Arial" w:cs="Arial"/>
          <w:sz w:val="24"/>
          <w:szCs w:val="24"/>
          <w:lang w:val="es-ES"/>
        </w:rPr>
        <w:t xml:space="preserve">en las regiones del Medio y Bajo Baudó, </w:t>
      </w:r>
      <w:r w:rsidRPr="00E00F13">
        <w:rPr>
          <w:rFonts w:ascii="Arial" w:hAnsi="Arial" w:cs="Arial"/>
          <w:sz w:val="24"/>
          <w:szCs w:val="24"/>
          <w:lang w:val="es-ES"/>
        </w:rPr>
        <w:t>se</w:t>
      </w:r>
      <w:r w:rsidR="000B260F" w:rsidRPr="00E00F13">
        <w:rPr>
          <w:rFonts w:ascii="Arial" w:hAnsi="Arial" w:cs="Arial"/>
          <w:sz w:val="24"/>
          <w:szCs w:val="24"/>
          <w:lang w:val="es-ES"/>
        </w:rPr>
        <w:t xml:space="preserve"> </w:t>
      </w:r>
      <w:r w:rsidRPr="00E00F13">
        <w:rPr>
          <w:rFonts w:ascii="Arial" w:hAnsi="Arial" w:cs="Arial"/>
          <w:sz w:val="24"/>
          <w:szCs w:val="24"/>
          <w:lang w:val="es-ES"/>
        </w:rPr>
        <w:t>ha</w:t>
      </w:r>
      <w:r w:rsidR="000B260F" w:rsidRPr="00E00F13">
        <w:rPr>
          <w:rFonts w:ascii="Arial" w:hAnsi="Arial" w:cs="Arial"/>
          <w:sz w:val="24"/>
          <w:szCs w:val="24"/>
          <w:lang w:val="es-ES"/>
        </w:rPr>
        <w:t xml:space="preserve"> identifica</w:t>
      </w:r>
      <w:r w:rsidRPr="00E00F13">
        <w:rPr>
          <w:rFonts w:ascii="Arial" w:hAnsi="Arial" w:cs="Arial"/>
          <w:sz w:val="24"/>
          <w:szCs w:val="24"/>
          <w:lang w:val="es-ES"/>
        </w:rPr>
        <w:t>do</w:t>
      </w:r>
      <w:r w:rsidR="000B260F" w:rsidRPr="00E00F13">
        <w:rPr>
          <w:rFonts w:ascii="Arial" w:hAnsi="Arial" w:cs="Arial"/>
          <w:sz w:val="24"/>
          <w:szCs w:val="24"/>
          <w:lang w:val="es-ES"/>
        </w:rPr>
        <w:t xml:space="preserve"> las diferentes tipologías de las viviendas, su entorno, afectaciones y alternativas de mejoramiento, destacando las iniciativas presentadas por los habitantes de la zona y los profesionales de los Consejos Comunitarios Mayores, quienes señalan las necesidades, las técnicas utilizadas y los materiales.</w:t>
      </w:r>
    </w:p>
    <w:p w14:paraId="43E60376" w14:textId="6F5911D8" w:rsidR="000B260F" w:rsidRPr="00E00F13" w:rsidRDefault="000B260F" w:rsidP="000B260F">
      <w:pPr>
        <w:spacing w:line="360" w:lineRule="auto"/>
        <w:jc w:val="both"/>
        <w:rPr>
          <w:rFonts w:ascii="Arial" w:hAnsi="Arial" w:cs="Arial"/>
          <w:sz w:val="24"/>
          <w:szCs w:val="24"/>
          <w:lang w:val="es-ES"/>
        </w:rPr>
      </w:pPr>
      <w:r w:rsidRPr="00E00F13">
        <w:rPr>
          <w:rFonts w:ascii="Arial" w:hAnsi="Arial" w:cs="Arial"/>
          <w:sz w:val="24"/>
          <w:szCs w:val="24"/>
          <w:lang w:val="es-ES"/>
        </w:rPr>
        <w:t xml:space="preserve">Considerando que las condiciones de las viviendas que serán intervenidas comparten similitudes en todos los territorios seleccionados (23 municipios) y que se cuenta con la participación de los </w:t>
      </w:r>
      <w:r w:rsidR="009B13F4" w:rsidRPr="00E00F13">
        <w:rPr>
          <w:rFonts w:ascii="Arial" w:hAnsi="Arial" w:cs="Arial"/>
          <w:sz w:val="24"/>
          <w:szCs w:val="24"/>
          <w:lang w:val="es-ES"/>
        </w:rPr>
        <w:t>sei</w:t>
      </w:r>
      <w:r w:rsidR="009D1300" w:rsidRPr="00E00F13">
        <w:rPr>
          <w:rFonts w:ascii="Arial" w:hAnsi="Arial" w:cs="Arial"/>
          <w:sz w:val="24"/>
          <w:szCs w:val="24"/>
          <w:lang w:val="es-ES"/>
        </w:rPr>
        <w:t>s</w:t>
      </w:r>
      <w:r w:rsidRPr="00E00F13">
        <w:rPr>
          <w:rFonts w:ascii="Arial" w:hAnsi="Arial" w:cs="Arial"/>
          <w:sz w:val="24"/>
          <w:szCs w:val="24"/>
          <w:lang w:val="es-ES"/>
        </w:rPr>
        <w:t xml:space="preserve"> Consejos que representan estos territorios, se ha recopilado información en unos territorios que puede replicarse en las demás zonas. </w:t>
      </w:r>
    </w:p>
    <w:p w14:paraId="3589FC79" w14:textId="1AE585AA" w:rsidR="000B260F" w:rsidRPr="00E00F13" w:rsidRDefault="000B260F" w:rsidP="00046FCB">
      <w:pPr>
        <w:spacing w:line="360" w:lineRule="auto"/>
        <w:jc w:val="both"/>
        <w:rPr>
          <w:rFonts w:ascii="Arial" w:hAnsi="Arial" w:cs="Arial"/>
          <w:b/>
          <w:bCs/>
          <w:sz w:val="24"/>
          <w:szCs w:val="24"/>
        </w:rPr>
      </w:pPr>
      <w:r w:rsidRPr="00E00F13">
        <w:rPr>
          <w:rFonts w:ascii="Arial" w:hAnsi="Arial" w:cs="Arial"/>
          <w:b/>
          <w:bCs/>
          <w:sz w:val="24"/>
          <w:szCs w:val="24"/>
        </w:rPr>
        <w:t xml:space="preserve">En las cabeceras de los municipios del Medio y Bajo Baudó, Puerto </w:t>
      </w:r>
      <w:proofErr w:type="spellStart"/>
      <w:r w:rsidRPr="00E00F13">
        <w:rPr>
          <w:rFonts w:ascii="Arial" w:hAnsi="Arial" w:cs="Arial"/>
          <w:b/>
          <w:bCs/>
          <w:sz w:val="24"/>
          <w:szCs w:val="24"/>
        </w:rPr>
        <w:t>Meluk</w:t>
      </w:r>
      <w:proofErr w:type="spellEnd"/>
      <w:r w:rsidRPr="00E00F13">
        <w:rPr>
          <w:rFonts w:ascii="Arial" w:hAnsi="Arial" w:cs="Arial"/>
          <w:b/>
          <w:bCs/>
          <w:sz w:val="24"/>
          <w:szCs w:val="24"/>
        </w:rPr>
        <w:t xml:space="preserve"> y Pizarro, respectivamente se evidenciaron las siguientes tipologías de viviendas:</w:t>
      </w:r>
      <w:r w:rsidR="009D1300" w:rsidRPr="00E00F13">
        <w:rPr>
          <w:rFonts w:ascii="Arial" w:hAnsi="Arial" w:cs="Arial"/>
          <w:b/>
          <w:bCs/>
          <w:sz w:val="24"/>
          <w:szCs w:val="24"/>
        </w:rPr>
        <w:t xml:space="preserve"> mampostería</w:t>
      </w:r>
    </w:p>
    <w:p w14:paraId="2AA0754C" w14:textId="77777777" w:rsidR="000B260F" w:rsidRPr="00E00F13" w:rsidRDefault="000B260F">
      <w:pPr>
        <w:pStyle w:val="Prrafodelista"/>
        <w:numPr>
          <w:ilvl w:val="0"/>
          <w:numId w:val="52"/>
        </w:numPr>
        <w:spacing w:line="360" w:lineRule="auto"/>
        <w:jc w:val="both"/>
        <w:rPr>
          <w:rFonts w:ascii="Arial" w:hAnsi="Arial" w:cs="Arial"/>
          <w:sz w:val="24"/>
          <w:szCs w:val="24"/>
          <w:lang w:val="es-ES"/>
        </w:rPr>
      </w:pPr>
      <w:r w:rsidRPr="00E00F13">
        <w:rPr>
          <w:rFonts w:ascii="Arial" w:hAnsi="Arial" w:cs="Arial"/>
          <w:sz w:val="24"/>
          <w:szCs w:val="24"/>
          <w:lang w:val="es-ES"/>
        </w:rPr>
        <w:t>Viviendas de uno o dos pisos en mampostería sin confinar, con cubiertas livianas en tejas de zinc o fibrocemento.</w:t>
      </w:r>
    </w:p>
    <w:p w14:paraId="2A9FB7F2" w14:textId="77777777" w:rsidR="000B260F" w:rsidRPr="00E00F13" w:rsidRDefault="000B260F">
      <w:pPr>
        <w:pStyle w:val="Prrafodelista"/>
        <w:numPr>
          <w:ilvl w:val="0"/>
          <w:numId w:val="52"/>
        </w:numPr>
        <w:spacing w:line="360" w:lineRule="auto"/>
        <w:jc w:val="both"/>
        <w:rPr>
          <w:rFonts w:ascii="Arial" w:hAnsi="Arial" w:cs="Arial"/>
          <w:sz w:val="24"/>
          <w:szCs w:val="24"/>
          <w:lang w:val="es-ES"/>
        </w:rPr>
      </w:pPr>
      <w:r w:rsidRPr="00E00F13">
        <w:rPr>
          <w:rFonts w:ascii="Arial" w:hAnsi="Arial" w:cs="Arial"/>
          <w:sz w:val="24"/>
          <w:szCs w:val="24"/>
          <w:lang w:val="es-ES"/>
        </w:rPr>
        <w:t>Viviendas de uno o dos pisos en mampostería parcialmente confinada y culatas con una altura aproximada de 1.0 m sin viga corona en la parte superior de las culatas.</w:t>
      </w:r>
    </w:p>
    <w:p w14:paraId="7CB13381" w14:textId="77777777" w:rsidR="000B260F" w:rsidRPr="00E00F13" w:rsidRDefault="000B260F">
      <w:pPr>
        <w:pStyle w:val="Prrafodelista"/>
        <w:numPr>
          <w:ilvl w:val="0"/>
          <w:numId w:val="52"/>
        </w:numPr>
        <w:spacing w:line="360" w:lineRule="auto"/>
        <w:jc w:val="both"/>
        <w:rPr>
          <w:rFonts w:ascii="Arial" w:hAnsi="Arial" w:cs="Arial"/>
          <w:sz w:val="24"/>
          <w:szCs w:val="24"/>
          <w:lang w:val="es-ES"/>
        </w:rPr>
      </w:pPr>
      <w:r w:rsidRPr="00E00F13">
        <w:rPr>
          <w:rFonts w:ascii="Arial" w:hAnsi="Arial" w:cs="Arial"/>
          <w:sz w:val="24"/>
          <w:szCs w:val="24"/>
          <w:lang w:val="es-ES"/>
        </w:rPr>
        <w:lastRenderedPageBreak/>
        <w:t>Viviendas de dos y hasta tres pisos con pórticos de concreto reforzado, posiblemente no dúctiles, y muros de mampostería entre elementos estructurales de concreto.</w:t>
      </w:r>
    </w:p>
    <w:p w14:paraId="19F265EE" w14:textId="77777777" w:rsidR="000B260F" w:rsidRPr="00E00F13" w:rsidRDefault="000B260F">
      <w:pPr>
        <w:pStyle w:val="Prrafodelista"/>
        <w:numPr>
          <w:ilvl w:val="0"/>
          <w:numId w:val="52"/>
        </w:numPr>
        <w:spacing w:line="360" w:lineRule="auto"/>
        <w:jc w:val="both"/>
        <w:rPr>
          <w:rFonts w:ascii="Arial" w:hAnsi="Arial" w:cs="Arial"/>
          <w:sz w:val="24"/>
          <w:szCs w:val="24"/>
          <w:lang w:val="es-ES"/>
        </w:rPr>
      </w:pPr>
      <w:r w:rsidRPr="00E00F13">
        <w:rPr>
          <w:rFonts w:ascii="Arial" w:hAnsi="Arial" w:cs="Arial"/>
          <w:sz w:val="24"/>
          <w:szCs w:val="24"/>
          <w:lang w:val="es-ES"/>
        </w:rPr>
        <w:t>Patologías por humedad y deficiencias en morteros, que generan deterioro de acabados y riesgo de desprendimiento de mampostería.</w:t>
      </w:r>
    </w:p>
    <w:p w14:paraId="34C0BEF0" w14:textId="12A39DD3" w:rsidR="000B260F" w:rsidRPr="00E00F13" w:rsidRDefault="000B260F" w:rsidP="000B260F">
      <w:pPr>
        <w:spacing w:line="360" w:lineRule="auto"/>
        <w:jc w:val="both"/>
        <w:rPr>
          <w:rFonts w:ascii="Arial" w:hAnsi="Arial" w:cs="Arial"/>
          <w:b/>
          <w:bCs/>
          <w:sz w:val="24"/>
          <w:szCs w:val="24"/>
          <w:lang w:val="es-ES"/>
        </w:rPr>
      </w:pPr>
      <w:r w:rsidRPr="00E00F13">
        <w:rPr>
          <w:rFonts w:ascii="Arial" w:hAnsi="Arial" w:cs="Arial"/>
          <w:b/>
          <w:bCs/>
          <w:sz w:val="24"/>
          <w:szCs w:val="24"/>
          <w:lang w:val="es-ES"/>
        </w:rPr>
        <w:t xml:space="preserve">En las cabeceras de los municipios del Medio y Bajo Baudó, Puerto </w:t>
      </w:r>
      <w:proofErr w:type="spellStart"/>
      <w:r w:rsidRPr="00E00F13">
        <w:rPr>
          <w:rFonts w:ascii="Arial" w:hAnsi="Arial" w:cs="Arial"/>
          <w:b/>
          <w:bCs/>
          <w:sz w:val="24"/>
          <w:szCs w:val="24"/>
          <w:lang w:val="es-ES"/>
        </w:rPr>
        <w:t>Meluk</w:t>
      </w:r>
      <w:proofErr w:type="spellEnd"/>
      <w:r w:rsidRPr="00E00F13">
        <w:rPr>
          <w:rFonts w:ascii="Arial" w:hAnsi="Arial" w:cs="Arial"/>
          <w:b/>
          <w:bCs/>
          <w:sz w:val="24"/>
          <w:szCs w:val="24"/>
          <w:lang w:val="es-ES"/>
        </w:rPr>
        <w:t xml:space="preserve"> y Pizarro, respectivamente se evidenciaron las siguientes tipologías de viviendas:</w:t>
      </w:r>
      <w:r w:rsidR="009D1300" w:rsidRPr="00E00F13">
        <w:rPr>
          <w:rFonts w:ascii="Arial" w:hAnsi="Arial" w:cs="Arial"/>
          <w:b/>
          <w:bCs/>
          <w:sz w:val="24"/>
          <w:szCs w:val="24"/>
          <w:lang w:val="es-ES"/>
        </w:rPr>
        <w:t xml:space="preserve"> v</w:t>
      </w:r>
      <w:r w:rsidR="00355A0E" w:rsidRPr="00E00F13">
        <w:rPr>
          <w:rFonts w:ascii="Arial" w:hAnsi="Arial" w:cs="Arial"/>
          <w:b/>
          <w:bCs/>
          <w:sz w:val="24"/>
          <w:szCs w:val="24"/>
          <w:lang w:val="es-ES"/>
        </w:rPr>
        <w:t>iviendas en madera (palafítica)</w:t>
      </w:r>
    </w:p>
    <w:p w14:paraId="478A0F73" w14:textId="77777777" w:rsidR="000B260F" w:rsidRPr="00E00F13" w:rsidRDefault="000B260F">
      <w:pPr>
        <w:pStyle w:val="Prrafodelista"/>
        <w:numPr>
          <w:ilvl w:val="0"/>
          <w:numId w:val="53"/>
        </w:numPr>
        <w:spacing w:line="360" w:lineRule="auto"/>
        <w:jc w:val="both"/>
        <w:rPr>
          <w:rFonts w:ascii="Arial" w:hAnsi="Arial" w:cs="Arial"/>
          <w:sz w:val="24"/>
          <w:szCs w:val="24"/>
          <w:lang w:val="es-ES"/>
        </w:rPr>
      </w:pPr>
      <w:r w:rsidRPr="00E00F13">
        <w:rPr>
          <w:rFonts w:ascii="Arial" w:hAnsi="Arial" w:cs="Arial"/>
          <w:sz w:val="24"/>
          <w:szCs w:val="24"/>
          <w:lang w:val="es-ES"/>
        </w:rPr>
        <w:t>Apoyadas directamente en el terreno</w:t>
      </w:r>
    </w:p>
    <w:p w14:paraId="6E2E7D3B" w14:textId="77777777" w:rsidR="000B260F" w:rsidRPr="00E00F13" w:rsidRDefault="000B260F">
      <w:pPr>
        <w:pStyle w:val="Prrafodelista"/>
        <w:numPr>
          <w:ilvl w:val="0"/>
          <w:numId w:val="53"/>
        </w:numPr>
        <w:spacing w:line="360" w:lineRule="auto"/>
        <w:jc w:val="both"/>
        <w:rPr>
          <w:rFonts w:ascii="Arial" w:hAnsi="Arial" w:cs="Arial"/>
          <w:sz w:val="24"/>
          <w:szCs w:val="24"/>
          <w:lang w:val="es-ES"/>
        </w:rPr>
      </w:pPr>
      <w:r w:rsidRPr="00E00F13">
        <w:rPr>
          <w:rFonts w:ascii="Arial" w:hAnsi="Arial" w:cs="Arial"/>
          <w:sz w:val="24"/>
          <w:szCs w:val="24"/>
          <w:lang w:val="es-ES"/>
        </w:rPr>
        <w:t>Apoyadas en hiladas de mampostería</w:t>
      </w:r>
    </w:p>
    <w:p w14:paraId="57DED503" w14:textId="77777777" w:rsidR="000B260F" w:rsidRPr="00E00F13" w:rsidRDefault="000B260F">
      <w:pPr>
        <w:pStyle w:val="Prrafodelista"/>
        <w:numPr>
          <w:ilvl w:val="0"/>
          <w:numId w:val="53"/>
        </w:numPr>
        <w:spacing w:line="360" w:lineRule="auto"/>
        <w:jc w:val="both"/>
        <w:rPr>
          <w:rFonts w:ascii="Arial" w:hAnsi="Arial" w:cs="Arial"/>
          <w:sz w:val="24"/>
          <w:szCs w:val="24"/>
          <w:lang w:val="es-ES"/>
        </w:rPr>
      </w:pPr>
      <w:r w:rsidRPr="00E00F13">
        <w:rPr>
          <w:rFonts w:ascii="Arial" w:hAnsi="Arial" w:cs="Arial"/>
          <w:sz w:val="24"/>
          <w:szCs w:val="24"/>
          <w:lang w:val="es-ES"/>
        </w:rPr>
        <w:t>Elevadas del terreno y apoyadas sobre pilotes de madera o “guayacanes”</w:t>
      </w:r>
    </w:p>
    <w:p w14:paraId="6B4605BF" w14:textId="44040C97" w:rsidR="000B260F" w:rsidRPr="00E00F13" w:rsidRDefault="00355A0E">
      <w:pPr>
        <w:pStyle w:val="Prrafodelista"/>
        <w:numPr>
          <w:ilvl w:val="0"/>
          <w:numId w:val="53"/>
        </w:numPr>
        <w:spacing w:line="360" w:lineRule="auto"/>
        <w:jc w:val="both"/>
        <w:rPr>
          <w:rFonts w:ascii="Arial" w:hAnsi="Arial" w:cs="Arial"/>
          <w:sz w:val="24"/>
          <w:szCs w:val="24"/>
        </w:rPr>
      </w:pPr>
      <w:r w:rsidRPr="00E00F13">
        <w:rPr>
          <w:rFonts w:ascii="Arial" w:hAnsi="Arial" w:cs="Arial"/>
          <w:sz w:val="24"/>
          <w:szCs w:val="24"/>
        </w:rPr>
        <w:t>Con l</w:t>
      </w:r>
      <w:r w:rsidR="000B260F" w:rsidRPr="00E00F13">
        <w:rPr>
          <w:rFonts w:ascii="Arial" w:hAnsi="Arial" w:cs="Arial"/>
          <w:sz w:val="24"/>
          <w:szCs w:val="24"/>
        </w:rPr>
        <w:t>esiones por humedad y exposición ambiental, con deterioro de acabados y elementos estructurales</w:t>
      </w:r>
    </w:p>
    <w:p w14:paraId="0D3DF733" w14:textId="77777777" w:rsidR="000B260F" w:rsidRPr="00E00F13" w:rsidRDefault="000B260F" w:rsidP="000B260F">
      <w:pPr>
        <w:spacing w:line="360" w:lineRule="auto"/>
        <w:jc w:val="both"/>
        <w:rPr>
          <w:rFonts w:ascii="Arial" w:hAnsi="Arial" w:cs="Arial"/>
          <w:sz w:val="24"/>
          <w:szCs w:val="24"/>
          <w:lang w:val="es-ES"/>
        </w:rPr>
      </w:pPr>
      <w:r w:rsidRPr="00E00F13">
        <w:rPr>
          <w:rFonts w:ascii="Arial" w:hAnsi="Arial" w:cs="Arial"/>
          <w:sz w:val="24"/>
          <w:szCs w:val="24"/>
          <w:lang w:val="es-ES"/>
        </w:rPr>
        <w:t>La vivienda palafítica presenta alta variabilidad en la capacidad estructural de la madera, agravada por condiciones ambientales extremas y ausencia de protección, lo que compromete su durabilidad.</w:t>
      </w:r>
    </w:p>
    <w:p w14:paraId="71FCA5F8" w14:textId="328369E9" w:rsidR="000B260F" w:rsidRPr="00E00F13" w:rsidRDefault="00355A0E" w:rsidP="00355A0E">
      <w:pPr>
        <w:spacing w:line="360" w:lineRule="auto"/>
        <w:jc w:val="both"/>
        <w:rPr>
          <w:rFonts w:ascii="Arial" w:hAnsi="Arial" w:cs="Arial"/>
          <w:sz w:val="24"/>
          <w:szCs w:val="24"/>
          <w:lang w:val="es-ES"/>
        </w:rPr>
      </w:pPr>
      <w:r w:rsidRPr="00E00F13">
        <w:rPr>
          <w:rFonts w:ascii="Arial" w:hAnsi="Arial" w:cs="Arial"/>
          <w:sz w:val="24"/>
          <w:szCs w:val="24"/>
          <w:lang w:val="es-ES"/>
        </w:rPr>
        <w:t>Por su parte, en estas zonas e</w:t>
      </w:r>
      <w:r w:rsidR="000B260F" w:rsidRPr="00E00F13">
        <w:rPr>
          <w:rFonts w:ascii="Arial" w:hAnsi="Arial" w:cs="Arial"/>
          <w:sz w:val="24"/>
          <w:szCs w:val="24"/>
          <w:lang w:val="es-ES"/>
        </w:rPr>
        <w:t>l río es eje social, cultural y productivo del territorio, estructurando el hábitat y la vivienda palafítica, que se adapta al riesgo de inundación mediante elevación y diseño permeable, con creciente conciencia comunitaria sobre sostenibilidad y cambio climático.</w:t>
      </w:r>
    </w:p>
    <w:p w14:paraId="047811C9" w14:textId="77777777" w:rsidR="000B260F" w:rsidRPr="00E00F13" w:rsidRDefault="000B260F" w:rsidP="00355A0E">
      <w:pPr>
        <w:spacing w:line="360" w:lineRule="auto"/>
        <w:jc w:val="both"/>
        <w:rPr>
          <w:rFonts w:ascii="Arial" w:hAnsi="Arial" w:cs="Arial"/>
          <w:sz w:val="24"/>
          <w:szCs w:val="24"/>
          <w:lang w:val="es-ES"/>
        </w:rPr>
      </w:pPr>
      <w:r w:rsidRPr="00E00F13">
        <w:rPr>
          <w:rFonts w:ascii="Arial" w:hAnsi="Arial" w:cs="Arial"/>
          <w:sz w:val="24"/>
          <w:szCs w:val="24"/>
          <w:lang w:val="es-ES"/>
        </w:rPr>
        <w:t>Se deben considerar aspectos culturales para el corte de la madera, se debe cortar en menguante para que garantice su durabilidad y evite la generación de plagas.</w:t>
      </w:r>
    </w:p>
    <w:p w14:paraId="0D4EF4B6" w14:textId="5EECFD2F" w:rsidR="000B260F" w:rsidRPr="00E00F13" w:rsidRDefault="00355A0E" w:rsidP="00355A0E">
      <w:pPr>
        <w:spacing w:line="360" w:lineRule="auto"/>
        <w:jc w:val="both"/>
        <w:rPr>
          <w:rFonts w:ascii="Arial" w:hAnsi="Arial" w:cs="Arial"/>
          <w:sz w:val="24"/>
          <w:szCs w:val="24"/>
          <w:lang w:val="es-ES"/>
        </w:rPr>
      </w:pPr>
      <w:r w:rsidRPr="00E00F13">
        <w:rPr>
          <w:rFonts w:ascii="Arial" w:hAnsi="Arial" w:cs="Arial"/>
          <w:sz w:val="24"/>
          <w:szCs w:val="24"/>
          <w:lang w:val="es-ES"/>
        </w:rPr>
        <w:t>Existe p</w:t>
      </w:r>
      <w:r w:rsidR="000B260F" w:rsidRPr="00E00F13">
        <w:rPr>
          <w:rFonts w:ascii="Arial" w:hAnsi="Arial" w:cs="Arial"/>
          <w:sz w:val="24"/>
          <w:szCs w:val="24"/>
          <w:lang w:val="es-ES"/>
        </w:rPr>
        <w:t xml:space="preserve">reocupación </w:t>
      </w:r>
      <w:r w:rsidRPr="00E00F13">
        <w:rPr>
          <w:rFonts w:ascii="Arial" w:hAnsi="Arial" w:cs="Arial"/>
          <w:sz w:val="24"/>
          <w:szCs w:val="24"/>
          <w:lang w:val="es-ES"/>
        </w:rPr>
        <w:t xml:space="preserve">de la comunidad </w:t>
      </w:r>
      <w:r w:rsidR="000B260F" w:rsidRPr="00E00F13">
        <w:rPr>
          <w:rFonts w:ascii="Arial" w:hAnsi="Arial" w:cs="Arial"/>
          <w:sz w:val="24"/>
          <w:szCs w:val="24"/>
          <w:lang w:val="es-ES"/>
        </w:rPr>
        <w:t>por el impacto del viento y la lluvia en la vivienda, junto con la necesidad de prácticas sostenibles de aprovechamiento de la madera mediante siembra de manglares y especies nativas.</w:t>
      </w:r>
    </w:p>
    <w:p w14:paraId="290E8F6F" w14:textId="334AAEF4" w:rsidR="000B260F" w:rsidRPr="00E00F13" w:rsidRDefault="000B260F" w:rsidP="00355A0E">
      <w:pPr>
        <w:spacing w:line="360" w:lineRule="auto"/>
        <w:jc w:val="both"/>
        <w:rPr>
          <w:rFonts w:ascii="Arial" w:hAnsi="Arial" w:cs="Arial"/>
          <w:sz w:val="24"/>
          <w:szCs w:val="24"/>
          <w:lang w:val="es-ES"/>
        </w:rPr>
      </w:pPr>
      <w:r w:rsidRPr="00E00F13">
        <w:rPr>
          <w:rFonts w:ascii="Arial" w:hAnsi="Arial" w:cs="Arial"/>
          <w:sz w:val="24"/>
          <w:szCs w:val="24"/>
          <w:lang w:val="es-ES"/>
        </w:rPr>
        <w:t xml:space="preserve">Para elevar las viviendas se prepara el lote, se rellena el terreno con escombros o arena y se eleva de </w:t>
      </w:r>
      <w:r w:rsidR="00355A0E" w:rsidRPr="00E00F13">
        <w:rPr>
          <w:rFonts w:ascii="Arial" w:hAnsi="Arial" w:cs="Arial"/>
          <w:sz w:val="24"/>
          <w:szCs w:val="24"/>
          <w:lang w:val="es-ES"/>
        </w:rPr>
        <w:t>a</w:t>
      </w:r>
      <w:r w:rsidRPr="00E00F13">
        <w:rPr>
          <w:rFonts w:ascii="Arial" w:hAnsi="Arial" w:cs="Arial"/>
          <w:sz w:val="24"/>
          <w:szCs w:val="24"/>
          <w:lang w:val="es-ES"/>
        </w:rPr>
        <w:t>cuerdo con la altura de las subidas de la marea.</w:t>
      </w:r>
    </w:p>
    <w:p w14:paraId="05C62100" w14:textId="5DA9D963" w:rsidR="005F41E9" w:rsidRPr="00E00F13" w:rsidRDefault="00936BFB" w:rsidP="00046FCB">
      <w:pPr>
        <w:spacing w:line="360" w:lineRule="auto"/>
        <w:jc w:val="both"/>
        <w:rPr>
          <w:rFonts w:ascii="Arial" w:hAnsi="Arial" w:cs="Arial"/>
          <w:sz w:val="24"/>
          <w:szCs w:val="24"/>
          <w:lang w:val="es-ES"/>
        </w:rPr>
      </w:pPr>
      <w:r w:rsidRPr="00E00F13">
        <w:rPr>
          <w:rFonts w:ascii="Arial" w:hAnsi="Arial" w:cs="Arial"/>
          <w:sz w:val="24"/>
          <w:szCs w:val="24"/>
          <w:lang w:val="es-ES"/>
        </w:rPr>
        <w:lastRenderedPageBreak/>
        <w:t>El proyecto sigue su curso</w:t>
      </w:r>
      <w:r w:rsidR="00600E77" w:rsidRPr="00E00F13">
        <w:rPr>
          <w:rFonts w:ascii="Arial" w:hAnsi="Arial" w:cs="Arial"/>
          <w:sz w:val="24"/>
          <w:szCs w:val="24"/>
          <w:lang w:val="es-ES"/>
        </w:rPr>
        <w:t xml:space="preserve"> teniendo en cuenta el territorio hídrico del Chocó y la vivienda palafítica como solución habitacional adaptativa, y fortaleciendo las prácticas constructivas que armonizan las normas y estándares legales con las características del territorio y sus habitantes.</w:t>
      </w:r>
    </w:p>
    <w:p w14:paraId="6D579C8B" w14:textId="48486E27" w:rsidR="00E372F2" w:rsidRPr="00E00F13" w:rsidRDefault="00DC2DCA" w:rsidP="000A10AF">
      <w:pPr>
        <w:pStyle w:val="Ttulo3"/>
        <w:rPr>
          <w:rFonts w:ascii="Arial" w:hAnsi="Arial" w:cs="Arial"/>
          <w:color w:val="auto"/>
        </w:rPr>
      </w:pPr>
      <w:bookmarkStart w:id="112" w:name="_Toc234242839"/>
      <w:r w:rsidRPr="00E00F13">
        <w:rPr>
          <w:color w:val="auto"/>
        </w:rPr>
        <w:t xml:space="preserve">2.7.2. </w:t>
      </w:r>
      <w:r w:rsidR="00E372F2" w:rsidRPr="00E00F13">
        <w:rPr>
          <w:color w:val="auto"/>
        </w:rPr>
        <w:t>Buenaventura, desde la conceptualización de un barrio de paz</w:t>
      </w:r>
      <w:bookmarkEnd w:id="110"/>
      <w:bookmarkEnd w:id="112"/>
      <w:r w:rsidR="00E372F2" w:rsidRPr="00E00F13">
        <w:rPr>
          <w:rFonts w:ascii="Arial" w:hAnsi="Arial" w:cs="Arial"/>
          <w:color w:val="auto"/>
        </w:rPr>
        <w:t xml:space="preserve"> </w:t>
      </w:r>
    </w:p>
    <w:p w14:paraId="5119F3C0" w14:textId="73DCFAD5" w:rsidR="00AE56A1" w:rsidRPr="00E00F13" w:rsidRDefault="004C6C1D" w:rsidP="00F20B77">
      <w:pPr>
        <w:spacing w:after="0" w:line="360" w:lineRule="auto"/>
        <w:jc w:val="both"/>
        <w:rPr>
          <w:rFonts w:ascii="Arial" w:hAnsi="Arial" w:cs="Arial"/>
          <w:sz w:val="24"/>
          <w:szCs w:val="24"/>
        </w:rPr>
      </w:pPr>
      <w:r w:rsidRPr="00E00F13">
        <w:rPr>
          <w:rFonts w:ascii="Arial" w:hAnsi="Arial" w:cs="Arial"/>
          <w:sz w:val="24"/>
          <w:szCs w:val="24"/>
        </w:rPr>
        <w:t>Barrios y Veredas de Paz</w:t>
      </w:r>
      <w:r w:rsidR="00B50A53" w:rsidRPr="00E00F13">
        <w:rPr>
          <w:rFonts w:ascii="Arial" w:hAnsi="Arial" w:cs="Arial"/>
          <w:sz w:val="24"/>
          <w:szCs w:val="24"/>
        </w:rPr>
        <w:t xml:space="preserve"> es un programa que </w:t>
      </w:r>
      <w:r w:rsidR="00EC6291" w:rsidRPr="00E00F13">
        <w:rPr>
          <w:rFonts w:ascii="Arial" w:hAnsi="Arial" w:cs="Arial"/>
          <w:sz w:val="24"/>
          <w:szCs w:val="24"/>
        </w:rPr>
        <w:t>busca la transformación del territorio, que debe estar orientada a partir de apuestas combinadas entre (a) el Plan Nacional de Desarrollo, (b) la escala local que es la que tiene los programas y proyectos y la agenda comunitaria y c) la responsabilidad. P</w:t>
      </w:r>
      <w:r w:rsidR="00B50A53" w:rsidRPr="00E00F13">
        <w:rPr>
          <w:rFonts w:ascii="Arial" w:hAnsi="Arial" w:cs="Arial"/>
          <w:sz w:val="24"/>
          <w:szCs w:val="24"/>
        </w:rPr>
        <w:t>arte de l</w:t>
      </w:r>
      <w:r w:rsidR="00AE56A1" w:rsidRPr="00E00F13">
        <w:rPr>
          <w:rFonts w:ascii="Arial" w:hAnsi="Arial" w:cs="Arial"/>
          <w:sz w:val="24"/>
          <w:szCs w:val="24"/>
        </w:rPr>
        <w:t>a estrategia del gobierno para gestionar las acciones necesarias en función de materializar la paz en los territorios</w:t>
      </w:r>
      <w:r w:rsidR="00146025" w:rsidRPr="00E00F13">
        <w:rPr>
          <w:rFonts w:ascii="Arial" w:hAnsi="Arial" w:cs="Arial"/>
          <w:sz w:val="24"/>
          <w:szCs w:val="24"/>
        </w:rPr>
        <w:t xml:space="preserve"> rurales y urbanos</w:t>
      </w:r>
      <w:r w:rsidR="004A5BCE" w:rsidRPr="00E00F13">
        <w:rPr>
          <w:rFonts w:ascii="Arial" w:hAnsi="Arial" w:cs="Arial"/>
          <w:sz w:val="24"/>
          <w:szCs w:val="24"/>
        </w:rPr>
        <w:t xml:space="preserve"> donde se hayan generado asentamientos</w:t>
      </w:r>
      <w:r w:rsidR="00146025" w:rsidRPr="00E00F13">
        <w:rPr>
          <w:rFonts w:ascii="Arial" w:hAnsi="Arial" w:cs="Arial"/>
          <w:sz w:val="24"/>
          <w:szCs w:val="24"/>
        </w:rPr>
        <w:t>,</w:t>
      </w:r>
      <w:r w:rsidR="00AE56A1" w:rsidRPr="00E00F13">
        <w:rPr>
          <w:rFonts w:ascii="Arial" w:hAnsi="Arial" w:cs="Arial"/>
          <w:sz w:val="24"/>
          <w:szCs w:val="24"/>
        </w:rPr>
        <w:t xml:space="preserve"> desde la gestión o financiación de intervenciones integrales.</w:t>
      </w:r>
      <w:r w:rsidR="00B50A53" w:rsidRPr="00E00F13">
        <w:rPr>
          <w:rFonts w:ascii="Arial" w:hAnsi="Arial" w:cs="Arial"/>
          <w:sz w:val="24"/>
          <w:szCs w:val="24"/>
        </w:rPr>
        <w:t xml:space="preserve"> El Programa Barrios y Veredas de Paz es estructurado y ejecutado por el MVCT y el Fondo Nacional de Vivienda (Fonvivienda) y se encuentra estipulado </w:t>
      </w:r>
      <w:r w:rsidR="00DE606A" w:rsidRPr="00E00F13">
        <w:rPr>
          <w:rFonts w:ascii="Arial" w:hAnsi="Arial" w:cs="Arial"/>
          <w:sz w:val="24"/>
          <w:szCs w:val="24"/>
        </w:rPr>
        <w:t>en el Decreto 1470 de 2024</w:t>
      </w:r>
      <w:r w:rsidR="00B50A53" w:rsidRPr="00E00F13">
        <w:rPr>
          <w:rFonts w:ascii="Arial" w:hAnsi="Arial" w:cs="Arial"/>
          <w:sz w:val="24"/>
          <w:szCs w:val="24"/>
        </w:rPr>
        <w:t>. P</w:t>
      </w:r>
      <w:r w:rsidR="00AE56A1" w:rsidRPr="00E00F13">
        <w:rPr>
          <w:rFonts w:ascii="Arial" w:hAnsi="Arial" w:cs="Arial"/>
          <w:sz w:val="24"/>
          <w:szCs w:val="24"/>
        </w:rPr>
        <w:t>articipan de manera articulada instituciones públicas. Es clave destacar que las intervenciones integrales</w:t>
      </w:r>
      <w:r w:rsidR="001D77F9" w:rsidRPr="00E00F13">
        <w:rPr>
          <w:rFonts w:ascii="Arial" w:hAnsi="Arial" w:cs="Arial"/>
          <w:sz w:val="24"/>
          <w:szCs w:val="24"/>
        </w:rPr>
        <w:t xml:space="preserve"> del MVCT</w:t>
      </w:r>
      <w:r w:rsidR="00AE56A1" w:rsidRPr="00E00F13">
        <w:rPr>
          <w:rFonts w:ascii="Arial" w:hAnsi="Arial" w:cs="Arial"/>
          <w:sz w:val="24"/>
          <w:szCs w:val="24"/>
        </w:rPr>
        <w:t xml:space="preserve"> no se refieren solo a infraestructura, sino también a aquellos elementos cualitativos para generar procesos comunitarios</w:t>
      </w:r>
      <w:r w:rsidR="00146025" w:rsidRPr="00E00F13">
        <w:rPr>
          <w:rFonts w:ascii="Arial" w:hAnsi="Arial" w:cs="Arial"/>
          <w:sz w:val="24"/>
          <w:szCs w:val="24"/>
        </w:rPr>
        <w:t xml:space="preserve"> nuevos</w:t>
      </w:r>
      <w:r w:rsidR="00AE56A1" w:rsidRPr="00E00F13">
        <w:rPr>
          <w:rFonts w:ascii="Arial" w:hAnsi="Arial" w:cs="Arial"/>
          <w:sz w:val="24"/>
          <w:szCs w:val="24"/>
        </w:rPr>
        <w:t xml:space="preserve"> </w:t>
      </w:r>
      <w:r w:rsidR="00146025" w:rsidRPr="00E00F13">
        <w:rPr>
          <w:rFonts w:ascii="Arial" w:hAnsi="Arial" w:cs="Arial"/>
          <w:sz w:val="24"/>
          <w:szCs w:val="24"/>
        </w:rPr>
        <w:t xml:space="preserve">y restablecer el tejido social roto por el conflicto armado. </w:t>
      </w:r>
    </w:p>
    <w:p w14:paraId="3E6A074E" w14:textId="389F0CDA" w:rsidR="00AE56A1" w:rsidRPr="00E00F13" w:rsidRDefault="00AE56A1" w:rsidP="00F20B77">
      <w:pPr>
        <w:spacing w:after="0" w:line="360" w:lineRule="auto"/>
        <w:jc w:val="both"/>
        <w:rPr>
          <w:rFonts w:ascii="Arial" w:hAnsi="Arial" w:cs="Arial"/>
          <w:sz w:val="24"/>
          <w:szCs w:val="24"/>
        </w:rPr>
      </w:pPr>
    </w:p>
    <w:p w14:paraId="3B4EBA4D" w14:textId="2A816941" w:rsidR="00ED3996" w:rsidRPr="00E00F13" w:rsidRDefault="00230197" w:rsidP="00F20B77">
      <w:pPr>
        <w:spacing w:after="0" w:line="360" w:lineRule="auto"/>
        <w:jc w:val="both"/>
        <w:rPr>
          <w:rFonts w:ascii="Arial" w:hAnsi="Arial" w:cs="Arial"/>
          <w:sz w:val="24"/>
          <w:szCs w:val="24"/>
        </w:rPr>
      </w:pPr>
      <w:r w:rsidRPr="00E00F13">
        <w:rPr>
          <w:rFonts w:ascii="Arial" w:hAnsi="Arial" w:cs="Arial"/>
          <w:sz w:val="24"/>
          <w:szCs w:val="24"/>
        </w:rPr>
        <w:t>Buenaventura está ubicada en el departamento del Valle del Cauca y es el principal puerto marítimo de Colombia.</w:t>
      </w:r>
      <w:r w:rsidR="001D77F9" w:rsidRPr="00E00F13">
        <w:rPr>
          <w:rFonts w:ascii="Arial" w:hAnsi="Arial" w:cs="Arial"/>
          <w:sz w:val="24"/>
          <w:szCs w:val="24"/>
        </w:rPr>
        <w:t xml:space="preserve"> </w:t>
      </w:r>
      <w:r w:rsidR="00ED3996" w:rsidRPr="00E00F13">
        <w:rPr>
          <w:rFonts w:ascii="Arial" w:hAnsi="Arial" w:cs="Arial"/>
          <w:sz w:val="24"/>
          <w:szCs w:val="24"/>
        </w:rPr>
        <w:t xml:space="preserve">En </w:t>
      </w:r>
      <w:r w:rsidR="00143AE1" w:rsidRPr="00E00F13">
        <w:rPr>
          <w:rFonts w:ascii="Arial" w:hAnsi="Arial" w:cs="Arial"/>
          <w:sz w:val="24"/>
          <w:szCs w:val="24"/>
        </w:rPr>
        <w:t>la investigación «Colombia adentro», que es parte del</w:t>
      </w:r>
      <w:r w:rsidR="00ED3996" w:rsidRPr="00E00F13">
        <w:rPr>
          <w:rFonts w:ascii="Arial" w:hAnsi="Arial" w:cs="Arial"/>
          <w:sz w:val="24"/>
          <w:szCs w:val="24"/>
        </w:rPr>
        <w:t xml:space="preserve"> </w:t>
      </w:r>
      <w:r w:rsidR="00ED3996" w:rsidRPr="00E00F13">
        <w:rPr>
          <w:rFonts w:ascii="Arial" w:hAnsi="Arial" w:cs="Arial"/>
          <w:i/>
          <w:iCs/>
          <w:sz w:val="24"/>
          <w:szCs w:val="24"/>
        </w:rPr>
        <w:t>Informe Final</w:t>
      </w:r>
      <w:r w:rsidR="00ED3996" w:rsidRPr="00E00F13">
        <w:rPr>
          <w:rFonts w:ascii="Arial" w:hAnsi="Arial" w:cs="Arial"/>
          <w:sz w:val="24"/>
          <w:szCs w:val="24"/>
        </w:rPr>
        <w:t>, la Comisión para el Esclarecimiento de la Verdad, la</w:t>
      </w:r>
      <w:r w:rsidR="00247D3A" w:rsidRPr="00E00F13">
        <w:rPr>
          <w:rFonts w:ascii="Arial" w:hAnsi="Arial" w:cs="Arial"/>
          <w:sz w:val="24"/>
          <w:szCs w:val="24"/>
        </w:rPr>
        <w:t xml:space="preserve"> Convivencia</w:t>
      </w:r>
      <w:r w:rsidR="00ED3996" w:rsidRPr="00E00F13">
        <w:rPr>
          <w:rFonts w:ascii="Arial" w:hAnsi="Arial" w:cs="Arial"/>
          <w:sz w:val="24"/>
          <w:szCs w:val="24"/>
        </w:rPr>
        <w:t xml:space="preserve"> y la No Repetición (CV)</w:t>
      </w:r>
      <w:r w:rsidR="00143AE1" w:rsidRPr="00E00F13">
        <w:rPr>
          <w:rFonts w:ascii="Arial" w:hAnsi="Arial" w:cs="Arial"/>
          <w:sz w:val="24"/>
          <w:szCs w:val="24"/>
        </w:rPr>
        <w:t xml:space="preserve"> </w:t>
      </w:r>
      <w:r w:rsidR="00ED3996" w:rsidRPr="00E00F13">
        <w:rPr>
          <w:rFonts w:ascii="Arial" w:hAnsi="Arial" w:cs="Arial"/>
          <w:sz w:val="24"/>
          <w:szCs w:val="24"/>
        </w:rPr>
        <w:t>ha señalado que en Buenaventura existe «La contradicción entre un puerto próspero que aporta riqueza a la Nación y una población hundida en la pobreza y la violencia, es parte del contexto que explica la persistencia del conflicto armado en el territorio»</w:t>
      </w:r>
      <w:r w:rsidR="00247D3A" w:rsidRPr="00E00F13">
        <w:rPr>
          <w:rFonts w:ascii="Arial" w:hAnsi="Arial" w:cs="Arial"/>
          <w:sz w:val="24"/>
          <w:szCs w:val="24"/>
        </w:rPr>
        <w:t xml:space="preserve"> (2023)</w:t>
      </w:r>
      <w:bookmarkStart w:id="113" w:name="_Hlk213391019"/>
      <w:r w:rsidR="00DE5F9E" w:rsidRPr="00E00F13">
        <w:rPr>
          <w:rFonts w:ascii="Arial" w:hAnsi="Arial" w:cs="Arial"/>
          <w:sz w:val="24"/>
          <w:szCs w:val="24"/>
        </w:rPr>
        <w:t>.</w:t>
      </w:r>
      <w:r w:rsidR="003C68D3" w:rsidRPr="00E00F13">
        <w:rPr>
          <w:rFonts w:ascii="Arial" w:hAnsi="Arial" w:cs="Arial"/>
          <w:sz w:val="24"/>
          <w:szCs w:val="24"/>
        </w:rPr>
        <w:t xml:space="preserve"> </w:t>
      </w:r>
      <w:r w:rsidR="00EC6291" w:rsidRPr="00E00F13">
        <w:rPr>
          <w:rFonts w:ascii="Arial" w:hAnsi="Arial" w:cs="Arial"/>
          <w:sz w:val="24"/>
          <w:szCs w:val="24"/>
        </w:rPr>
        <w:t>El paro de Buenaventura de 2017 fue un punto de partida materializar acciones de ajuste o de compensación estructural a los desequilibrios encontrados.</w:t>
      </w:r>
    </w:p>
    <w:bookmarkEnd w:id="113"/>
    <w:p w14:paraId="28772840" w14:textId="7E4FE7A1" w:rsidR="00AB6F81" w:rsidRPr="00E00F13" w:rsidRDefault="00AB6F81" w:rsidP="00F20B77">
      <w:pPr>
        <w:spacing w:after="0" w:line="360" w:lineRule="auto"/>
        <w:jc w:val="both"/>
        <w:rPr>
          <w:rFonts w:ascii="Arial" w:hAnsi="Arial" w:cs="Arial"/>
          <w:sz w:val="24"/>
          <w:szCs w:val="24"/>
        </w:rPr>
      </w:pPr>
    </w:p>
    <w:p w14:paraId="330C1958" w14:textId="69284327" w:rsidR="00247D3A" w:rsidRPr="00E00F13" w:rsidRDefault="00983BAF" w:rsidP="00F20B77">
      <w:pPr>
        <w:spacing w:after="0" w:line="360" w:lineRule="auto"/>
        <w:jc w:val="both"/>
        <w:rPr>
          <w:rFonts w:ascii="Arial" w:hAnsi="Arial" w:cs="Arial"/>
          <w:sz w:val="24"/>
          <w:szCs w:val="24"/>
        </w:rPr>
      </w:pPr>
      <w:r w:rsidRPr="00E00F13">
        <w:rPr>
          <w:rFonts w:ascii="Arial" w:hAnsi="Arial" w:cs="Arial"/>
          <w:sz w:val="24"/>
          <w:szCs w:val="24"/>
        </w:rPr>
        <w:t>A</w:t>
      </w:r>
      <w:r w:rsidR="00AB6F81" w:rsidRPr="00E00F13">
        <w:rPr>
          <w:rFonts w:ascii="Arial" w:hAnsi="Arial" w:cs="Arial"/>
          <w:sz w:val="24"/>
          <w:szCs w:val="24"/>
        </w:rPr>
        <w:t xml:space="preserve"> lo largo de décadas</w:t>
      </w:r>
      <w:r w:rsidRPr="00E00F13">
        <w:rPr>
          <w:rFonts w:ascii="Arial" w:hAnsi="Arial" w:cs="Arial"/>
          <w:sz w:val="24"/>
          <w:szCs w:val="24"/>
        </w:rPr>
        <w:t xml:space="preserve"> </w:t>
      </w:r>
      <w:r w:rsidR="00AB6F81" w:rsidRPr="00E00F13">
        <w:rPr>
          <w:rFonts w:ascii="Arial" w:hAnsi="Arial" w:cs="Arial"/>
          <w:sz w:val="24"/>
          <w:szCs w:val="24"/>
        </w:rPr>
        <w:t xml:space="preserve">la violencia en Buenaventura ha ocurrido tanto en el seno de la población rural como en la urbana. A mediados de los años noventa llegaron las </w:t>
      </w:r>
      <w:r w:rsidR="00AB6F81" w:rsidRPr="00E00F13">
        <w:rPr>
          <w:rFonts w:ascii="Arial" w:hAnsi="Arial" w:cs="Arial"/>
          <w:sz w:val="24"/>
          <w:szCs w:val="24"/>
        </w:rPr>
        <w:lastRenderedPageBreak/>
        <w:t>Fuerzas Armadas Revolucionarias de Colombia (FARC), con el Frente 30</w:t>
      </w:r>
      <w:r w:rsidR="00E47574" w:rsidRPr="00E00F13">
        <w:rPr>
          <w:rFonts w:ascii="Arial" w:hAnsi="Arial" w:cs="Arial"/>
          <w:sz w:val="24"/>
          <w:szCs w:val="24"/>
        </w:rPr>
        <w:t>, y el Frente urbano Manuel Cepeda Varga se expandió en el territorio.</w:t>
      </w:r>
      <w:r w:rsidR="00B07AFB" w:rsidRPr="00E00F13">
        <w:rPr>
          <w:rFonts w:ascii="Arial" w:hAnsi="Arial" w:cs="Arial"/>
          <w:sz w:val="24"/>
          <w:szCs w:val="24"/>
        </w:rPr>
        <w:t xml:space="preserve"> </w:t>
      </w:r>
      <w:r w:rsidR="0041272C" w:rsidRPr="00E00F13">
        <w:rPr>
          <w:rFonts w:ascii="Arial" w:hAnsi="Arial" w:cs="Arial"/>
          <w:sz w:val="24"/>
          <w:szCs w:val="24"/>
        </w:rPr>
        <w:t>Desde</w:t>
      </w:r>
      <w:r w:rsidR="00B07AFB" w:rsidRPr="00E00F13">
        <w:rPr>
          <w:rFonts w:ascii="Arial" w:hAnsi="Arial" w:cs="Arial"/>
          <w:sz w:val="24"/>
          <w:szCs w:val="24"/>
        </w:rPr>
        <w:t xml:space="preserve"> los primeros años 2000 las Autodefensas Unidas de Colombia (AUC) desplegaron una mayor situación de violencia</w:t>
      </w:r>
      <w:r w:rsidR="0041272C" w:rsidRPr="00E00F13">
        <w:rPr>
          <w:rFonts w:ascii="Arial" w:hAnsi="Arial" w:cs="Arial"/>
          <w:sz w:val="24"/>
          <w:szCs w:val="24"/>
        </w:rPr>
        <w:t xml:space="preserve"> en ese lugar.</w:t>
      </w:r>
      <w:r w:rsidR="00247D3A" w:rsidRPr="00E00F13">
        <w:rPr>
          <w:rFonts w:ascii="Arial" w:hAnsi="Arial" w:cs="Arial"/>
          <w:sz w:val="24"/>
          <w:szCs w:val="24"/>
        </w:rPr>
        <w:t xml:space="preserve"> </w:t>
      </w:r>
      <w:r w:rsidRPr="00E00F13">
        <w:rPr>
          <w:rFonts w:ascii="Arial" w:hAnsi="Arial" w:cs="Arial"/>
          <w:sz w:val="24"/>
          <w:szCs w:val="24"/>
        </w:rPr>
        <w:t xml:space="preserve">Y, en época más reciente, aproximadamente desde 2022, se crean dos facciones que han entrado en enfrentamientos continuos: Los </w:t>
      </w:r>
      <w:proofErr w:type="spellStart"/>
      <w:r w:rsidRPr="00E00F13">
        <w:rPr>
          <w:rFonts w:ascii="Arial" w:hAnsi="Arial" w:cs="Arial"/>
          <w:sz w:val="24"/>
          <w:szCs w:val="24"/>
        </w:rPr>
        <w:t>Shottas</w:t>
      </w:r>
      <w:proofErr w:type="spellEnd"/>
      <w:r w:rsidRPr="00E00F13">
        <w:rPr>
          <w:rFonts w:ascii="Arial" w:hAnsi="Arial" w:cs="Arial"/>
          <w:sz w:val="24"/>
          <w:szCs w:val="24"/>
        </w:rPr>
        <w:t xml:space="preserve"> y Los Espartanos. Estos dos últimos se caracterizan como grupos delictivos organizados (GDO), en términos de la clasificación que establece la Directiva 015 de 2016, o como Grupos Armados Ilegales Urbanos, según lo indica el Decreto 2272 de 2022.</w:t>
      </w:r>
      <w:r w:rsidR="00247D3A" w:rsidRPr="00E00F13">
        <w:rPr>
          <w:rFonts w:ascii="Arial" w:hAnsi="Arial" w:cs="Arial"/>
          <w:sz w:val="24"/>
          <w:szCs w:val="24"/>
        </w:rPr>
        <w:t>El mismo documento de la Comisión de la Verdad señaló que</w:t>
      </w:r>
    </w:p>
    <w:p w14:paraId="4D197FB6" w14:textId="7F48FE09" w:rsidR="00247D3A" w:rsidRPr="00E00F13" w:rsidRDefault="00247D3A" w:rsidP="00247D3A">
      <w:pPr>
        <w:spacing w:after="0" w:line="360" w:lineRule="auto"/>
        <w:ind w:left="567"/>
        <w:jc w:val="both"/>
        <w:rPr>
          <w:rFonts w:ascii="Arial" w:hAnsi="Arial" w:cs="Arial"/>
          <w:sz w:val="20"/>
          <w:szCs w:val="20"/>
        </w:rPr>
      </w:pPr>
      <w:r w:rsidRPr="00E00F13">
        <w:rPr>
          <w:rFonts w:ascii="Arial" w:hAnsi="Arial" w:cs="Arial"/>
          <w:sz w:val="20"/>
          <w:szCs w:val="20"/>
        </w:rPr>
        <w:t>Las masacres, los asesinatos selectivos y el desplazamiento forzado fueron las violaciones a los derechos humanos más frecuentes en este capítulo del conflicto armado en Buenaventura. Tan solo entre 2000-2003 se cometieron 19 masacres, con 118 víctimas, y 36.165 personas se vieron obligadas a huir de sus territorios. La cifra representa el 64% de la población desplazada en el Valle del Cauca y los tres municipios de la costa caucana juntos. (</w:t>
      </w:r>
      <w:bookmarkStart w:id="114" w:name="_Hlk213390943"/>
      <w:r w:rsidRPr="00E00F13">
        <w:rPr>
          <w:rFonts w:ascii="Arial" w:hAnsi="Arial" w:cs="Arial"/>
          <w:sz w:val="20"/>
          <w:szCs w:val="20"/>
        </w:rPr>
        <w:t>CV, «Colombia adentro», 2023)</w:t>
      </w:r>
    </w:p>
    <w:bookmarkEnd w:id="114"/>
    <w:p w14:paraId="443506FE" w14:textId="415A1B56" w:rsidR="00726BE4" w:rsidRPr="00E00F13" w:rsidRDefault="00726BE4" w:rsidP="00F20B77">
      <w:pPr>
        <w:spacing w:after="0" w:line="360" w:lineRule="auto"/>
        <w:jc w:val="both"/>
        <w:rPr>
          <w:rFonts w:ascii="Arial" w:hAnsi="Arial" w:cs="Arial"/>
          <w:sz w:val="24"/>
          <w:szCs w:val="24"/>
        </w:rPr>
      </w:pPr>
    </w:p>
    <w:p w14:paraId="7E0F5BCC" w14:textId="5E04E181" w:rsidR="009F7162" w:rsidRPr="00E00F13" w:rsidRDefault="009F7162" w:rsidP="009F7162">
      <w:pPr>
        <w:spacing w:after="0" w:line="360" w:lineRule="auto"/>
        <w:jc w:val="both"/>
        <w:rPr>
          <w:rFonts w:ascii="Arial" w:hAnsi="Arial" w:cs="Arial"/>
          <w:sz w:val="24"/>
          <w:szCs w:val="24"/>
        </w:rPr>
      </w:pPr>
      <w:r w:rsidRPr="00E00F13">
        <w:rPr>
          <w:rFonts w:ascii="Arial" w:hAnsi="Arial" w:cs="Arial"/>
          <w:sz w:val="24"/>
          <w:szCs w:val="24"/>
        </w:rPr>
        <w:t xml:space="preserve">Eco Barrio de Paz para Buenaventura surgió a partir de la necesidad de contar con un plan para hacer las paces entre estos grupos armados ilegales. Las comunidades le han dicho al MVCT que no les sirven ni vivienda nueva ni usada, ni tampoco el mejoramiento, si la comunidad no cuenta con un conjunto de elementos para garantizar su permanencia en el territorio, porque existen en él apuestas por el control de parte de grupos armados ilegales. En este sentido, afirman que el último interés que tienen es el de la vivienda y que, en cambio, abrir oportunidades de paz, como una expresión de oportunidad para transformar el territorio, consiste en que puedan regresar a él, con intervención precisa y cuidadosa sobre los grupos armados. En este sentido, el hábitat y, en el caso de Buenaventura, el Eco Barrio de Paz, es todo aquello que permite permanecer en el territorio en perspectiva del desarrollo. En Buenaventura, la perspectiva de permanecer en el territorio es de apenas veinticuatro horas. </w:t>
      </w:r>
    </w:p>
    <w:p w14:paraId="2E41AE47" w14:textId="77777777" w:rsidR="009F7162" w:rsidRPr="00E00F13" w:rsidRDefault="009F7162" w:rsidP="009F7162">
      <w:pPr>
        <w:spacing w:after="0" w:line="360" w:lineRule="auto"/>
        <w:jc w:val="both"/>
        <w:rPr>
          <w:rFonts w:ascii="Arial" w:hAnsi="Arial" w:cs="Arial"/>
          <w:sz w:val="24"/>
          <w:szCs w:val="24"/>
        </w:rPr>
      </w:pPr>
      <w:r w:rsidRPr="00E00F13">
        <w:rPr>
          <w:rFonts w:ascii="Arial" w:hAnsi="Arial" w:cs="Arial"/>
          <w:sz w:val="24"/>
          <w:szCs w:val="24"/>
        </w:rPr>
        <w:t xml:space="preserve"> </w:t>
      </w:r>
    </w:p>
    <w:p w14:paraId="38D77CA6" w14:textId="64E114BE" w:rsidR="00726BE4" w:rsidRPr="00E00F13" w:rsidRDefault="0011555C" w:rsidP="00F20B77">
      <w:pPr>
        <w:spacing w:after="0" w:line="360" w:lineRule="auto"/>
        <w:jc w:val="both"/>
        <w:rPr>
          <w:rFonts w:ascii="Arial" w:hAnsi="Arial" w:cs="Arial"/>
          <w:sz w:val="24"/>
          <w:szCs w:val="24"/>
        </w:rPr>
      </w:pPr>
      <w:r w:rsidRPr="00E00F13">
        <w:rPr>
          <w:rFonts w:ascii="Arial" w:hAnsi="Arial" w:cs="Arial"/>
          <w:sz w:val="24"/>
          <w:szCs w:val="24"/>
        </w:rPr>
        <w:lastRenderedPageBreak/>
        <w:t>El paro de Buenaventura de 2017 fue un punto de partida materializar acciones de ajuste o de compensación estructural a los desequilibrios encontrados.</w:t>
      </w:r>
      <w:r w:rsidR="00A90843" w:rsidRPr="00E00F13">
        <w:rPr>
          <w:rFonts w:ascii="Arial" w:hAnsi="Arial" w:cs="Arial"/>
          <w:sz w:val="24"/>
          <w:szCs w:val="24"/>
        </w:rPr>
        <w:t xml:space="preserve"> </w:t>
      </w:r>
      <w:r w:rsidR="00726BE4" w:rsidRPr="00E00F13">
        <w:rPr>
          <w:rFonts w:ascii="Arial" w:hAnsi="Arial" w:cs="Arial"/>
          <w:sz w:val="24"/>
          <w:szCs w:val="24"/>
        </w:rPr>
        <w:t>En este contexto, la posibilidad de constitución de una base social y de redes comunitarias</w:t>
      </w:r>
      <w:r w:rsidR="004C6C1D" w:rsidRPr="00E00F13">
        <w:rPr>
          <w:rFonts w:ascii="Arial" w:hAnsi="Arial" w:cs="Arial"/>
          <w:sz w:val="24"/>
          <w:szCs w:val="24"/>
        </w:rPr>
        <w:t xml:space="preserve"> en Buenaventura</w:t>
      </w:r>
      <w:r w:rsidR="00726BE4" w:rsidRPr="00E00F13">
        <w:rPr>
          <w:rFonts w:ascii="Arial" w:hAnsi="Arial" w:cs="Arial"/>
          <w:sz w:val="24"/>
          <w:szCs w:val="24"/>
        </w:rPr>
        <w:t xml:space="preserve"> estuvo limitada por la constitución de un orden social violent</w:t>
      </w:r>
      <w:r w:rsidR="0090108F" w:rsidRPr="00E00F13">
        <w:rPr>
          <w:rFonts w:ascii="Arial" w:hAnsi="Arial" w:cs="Arial"/>
          <w:sz w:val="24"/>
          <w:szCs w:val="24"/>
        </w:rPr>
        <w:t>o dirigido por los grupos armados.</w:t>
      </w:r>
      <w:r w:rsidR="004C6C1D" w:rsidRPr="00E00F13">
        <w:rPr>
          <w:rFonts w:ascii="Arial" w:hAnsi="Arial" w:cs="Arial"/>
          <w:sz w:val="24"/>
          <w:szCs w:val="24"/>
        </w:rPr>
        <w:t xml:space="preserve"> Pero eso ha dado, también, la oportunidad para trabajar allí. </w:t>
      </w:r>
    </w:p>
    <w:p w14:paraId="50787ADB" w14:textId="390DFE5F" w:rsidR="004A7B6B" w:rsidRPr="00E00F13" w:rsidRDefault="004A7B6B" w:rsidP="00F20B77">
      <w:pPr>
        <w:spacing w:after="0" w:line="360" w:lineRule="auto"/>
        <w:jc w:val="both"/>
        <w:rPr>
          <w:rFonts w:ascii="Arial" w:hAnsi="Arial" w:cs="Arial"/>
          <w:sz w:val="24"/>
          <w:szCs w:val="24"/>
        </w:rPr>
      </w:pPr>
    </w:p>
    <w:p w14:paraId="1C92308A" w14:textId="230125AE" w:rsidR="004A7B6B" w:rsidRPr="00E00F13" w:rsidRDefault="004A7B6B" w:rsidP="004A7B6B">
      <w:pPr>
        <w:spacing w:after="0" w:line="360" w:lineRule="auto"/>
        <w:jc w:val="both"/>
        <w:rPr>
          <w:rFonts w:ascii="Arial" w:hAnsi="Arial" w:cs="Arial"/>
          <w:sz w:val="24"/>
          <w:szCs w:val="24"/>
        </w:rPr>
      </w:pPr>
      <w:r w:rsidRPr="00E00F13">
        <w:rPr>
          <w:rFonts w:ascii="Arial" w:hAnsi="Arial" w:cs="Arial"/>
          <w:sz w:val="24"/>
          <w:szCs w:val="24"/>
        </w:rPr>
        <w:t xml:space="preserve">A partir de la expedición del decreto, que tiene «(…) como propósito la construcción de paz en territorios desarrollados por las comunidades, para lo cual se requiere la puesta en marcha de tres procesos simultáneos: i) Aumento de la presencia institucional; </w:t>
      </w:r>
      <w:proofErr w:type="spellStart"/>
      <w:r w:rsidRPr="00E00F13">
        <w:rPr>
          <w:rFonts w:ascii="Arial" w:hAnsi="Arial" w:cs="Arial"/>
          <w:sz w:val="24"/>
          <w:szCs w:val="24"/>
        </w:rPr>
        <w:t>ii</w:t>
      </w:r>
      <w:proofErr w:type="spellEnd"/>
      <w:r w:rsidRPr="00E00F13">
        <w:rPr>
          <w:rFonts w:ascii="Arial" w:hAnsi="Arial" w:cs="Arial"/>
          <w:sz w:val="24"/>
          <w:szCs w:val="24"/>
        </w:rPr>
        <w:t xml:space="preserve">) celebración de pactos y acuerdos en un marco de gobernanza territorial; y </w:t>
      </w:r>
      <w:proofErr w:type="spellStart"/>
      <w:r w:rsidRPr="00E00F13">
        <w:rPr>
          <w:rFonts w:ascii="Arial" w:hAnsi="Arial" w:cs="Arial"/>
          <w:sz w:val="24"/>
          <w:szCs w:val="24"/>
        </w:rPr>
        <w:t>iii</w:t>
      </w:r>
      <w:proofErr w:type="spellEnd"/>
      <w:r w:rsidRPr="00E00F13">
        <w:rPr>
          <w:rFonts w:ascii="Arial" w:hAnsi="Arial" w:cs="Arial"/>
          <w:sz w:val="24"/>
          <w:szCs w:val="24"/>
        </w:rPr>
        <w:t xml:space="preserve">) desarrollo de procesos con las comunidades orientados al empoderamiento y fortalecimiento de la capacidad instalada, a partir de los procesos sociales que dieron origen al asentamiento», durante 2025 </w:t>
      </w:r>
      <w:r w:rsidR="009F7162" w:rsidRPr="00E00F13">
        <w:rPr>
          <w:rFonts w:ascii="Arial" w:hAnsi="Arial" w:cs="Arial"/>
          <w:sz w:val="24"/>
          <w:szCs w:val="24"/>
        </w:rPr>
        <w:t>el conjunto de catorce ministerios junto al</w:t>
      </w:r>
      <w:r w:rsidRPr="00E00F13">
        <w:rPr>
          <w:rFonts w:ascii="Arial" w:hAnsi="Arial" w:cs="Arial"/>
          <w:sz w:val="24"/>
          <w:szCs w:val="24"/>
        </w:rPr>
        <w:t xml:space="preserve"> MVCT ha</w:t>
      </w:r>
      <w:r w:rsidR="009F7162" w:rsidRPr="00E00F13">
        <w:rPr>
          <w:rFonts w:ascii="Arial" w:hAnsi="Arial" w:cs="Arial"/>
          <w:sz w:val="24"/>
          <w:szCs w:val="24"/>
        </w:rPr>
        <w:t>n</w:t>
      </w:r>
      <w:r w:rsidRPr="00E00F13">
        <w:rPr>
          <w:rFonts w:ascii="Arial" w:hAnsi="Arial" w:cs="Arial"/>
          <w:sz w:val="24"/>
          <w:szCs w:val="24"/>
        </w:rPr>
        <w:t xml:space="preserve"> venido desarrollando un proceso para la conceptualización, diseño y desarrollo de un barrio de paz </w:t>
      </w:r>
      <w:r w:rsidR="009F7162" w:rsidRPr="00E00F13">
        <w:rPr>
          <w:rFonts w:ascii="Arial" w:hAnsi="Arial" w:cs="Arial"/>
          <w:sz w:val="24"/>
          <w:szCs w:val="24"/>
        </w:rPr>
        <w:t>para</w:t>
      </w:r>
      <w:r w:rsidRPr="00E00F13">
        <w:rPr>
          <w:rFonts w:ascii="Arial" w:hAnsi="Arial" w:cs="Arial"/>
          <w:sz w:val="24"/>
          <w:szCs w:val="24"/>
        </w:rPr>
        <w:t xml:space="preserve"> Buenaventura.</w:t>
      </w:r>
    </w:p>
    <w:p w14:paraId="2F5CF13B" w14:textId="77777777" w:rsidR="004A7B6B" w:rsidRPr="00E00F13" w:rsidRDefault="004A7B6B" w:rsidP="004A7B6B">
      <w:pPr>
        <w:spacing w:after="0" w:line="360" w:lineRule="auto"/>
        <w:jc w:val="both"/>
        <w:rPr>
          <w:rFonts w:ascii="Arial" w:hAnsi="Arial" w:cs="Arial"/>
          <w:sz w:val="24"/>
          <w:szCs w:val="24"/>
        </w:rPr>
      </w:pPr>
    </w:p>
    <w:p w14:paraId="7E0BF7AF" w14:textId="398B2429" w:rsidR="004205B5" w:rsidRPr="00E00F13" w:rsidRDefault="004205B5" w:rsidP="004205B5">
      <w:pPr>
        <w:spacing w:after="0" w:line="360" w:lineRule="auto"/>
        <w:jc w:val="both"/>
        <w:rPr>
          <w:rFonts w:ascii="Arial" w:hAnsi="Arial" w:cs="Arial"/>
          <w:sz w:val="24"/>
          <w:szCs w:val="24"/>
        </w:rPr>
      </w:pPr>
      <w:r w:rsidRPr="00E00F13">
        <w:rPr>
          <w:rFonts w:ascii="Arial" w:hAnsi="Arial" w:cs="Arial"/>
          <w:sz w:val="24"/>
          <w:szCs w:val="24"/>
        </w:rPr>
        <w:t>Es importante destacar que se trata de un proceso, de un plan global, que está en construcción, y que es complejo; un hito cuyos resultados están planteados a mediano y largo plazo, para mostrar que no solo es viable, sino sostenible. Comenzar a documentar los aciertos y desaciertos de este proceso complejo es lo que permitirá repensar, reflexionar, establecer conceptos, reglamentar y cambiar cursos de acción de ser necesario. Es decir, todo lo que se puede decir de Buenaventura es que es un proyecto marco para comenzar a implementar la figura de los barrios y veredas de paz, en el marco del Decreto 1470 de 2024.</w:t>
      </w:r>
    </w:p>
    <w:p w14:paraId="2C29F873" w14:textId="77777777" w:rsidR="004205B5" w:rsidRPr="00E00F13" w:rsidRDefault="004205B5" w:rsidP="004205B5">
      <w:pPr>
        <w:spacing w:after="0" w:line="360" w:lineRule="auto"/>
        <w:jc w:val="both"/>
        <w:rPr>
          <w:rFonts w:ascii="Arial" w:hAnsi="Arial" w:cs="Arial"/>
          <w:sz w:val="24"/>
          <w:szCs w:val="24"/>
        </w:rPr>
      </w:pPr>
    </w:p>
    <w:p w14:paraId="1FC183B4" w14:textId="77777777" w:rsidR="008440E9" w:rsidRPr="00E00F13" w:rsidRDefault="000B2CD5" w:rsidP="00F20B77">
      <w:pPr>
        <w:spacing w:after="0" w:line="360" w:lineRule="auto"/>
        <w:jc w:val="both"/>
        <w:rPr>
          <w:rFonts w:ascii="Arial" w:hAnsi="Arial" w:cs="Arial"/>
          <w:sz w:val="24"/>
          <w:szCs w:val="24"/>
        </w:rPr>
      </w:pPr>
      <w:r w:rsidRPr="00E00F13">
        <w:rPr>
          <w:rFonts w:ascii="Arial" w:hAnsi="Arial" w:cs="Arial"/>
          <w:sz w:val="24"/>
          <w:szCs w:val="24"/>
        </w:rPr>
        <w:t xml:space="preserve">La experiencia comenzó hace alrededor de un año. </w:t>
      </w:r>
      <w:r w:rsidR="00800F7F" w:rsidRPr="00E00F13">
        <w:rPr>
          <w:rFonts w:ascii="Arial" w:hAnsi="Arial" w:cs="Arial"/>
          <w:sz w:val="24"/>
          <w:szCs w:val="24"/>
        </w:rPr>
        <w:t>En 2024.</w:t>
      </w:r>
      <w:r w:rsidR="008440E9" w:rsidRPr="00E00F13">
        <w:rPr>
          <w:rFonts w:ascii="Arial" w:hAnsi="Arial" w:cs="Arial"/>
          <w:sz w:val="24"/>
          <w:szCs w:val="24"/>
        </w:rPr>
        <w:t xml:space="preserve"> E</w:t>
      </w:r>
      <w:r w:rsidR="00E03F6C" w:rsidRPr="00E00F13">
        <w:rPr>
          <w:rFonts w:ascii="Arial" w:hAnsi="Arial" w:cs="Arial"/>
          <w:sz w:val="24"/>
          <w:szCs w:val="24"/>
        </w:rPr>
        <w:t>xiste un antecedente importante con respecto al mejoramiento integral de barrios como política nacional y</w:t>
      </w:r>
      <w:r w:rsidR="008440E9" w:rsidRPr="00E00F13">
        <w:rPr>
          <w:rFonts w:ascii="Arial" w:hAnsi="Arial" w:cs="Arial"/>
          <w:sz w:val="24"/>
          <w:szCs w:val="24"/>
        </w:rPr>
        <w:t>,</w:t>
      </w:r>
      <w:r w:rsidR="00E03F6C" w:rsidRPr="00E00F13">
        <w:rPr>
          <w:rFonts w:ascii="Arial" w:hAnsi="Arial" w:cs="Arial"/>
          <w:sz w:val="24"/>
          <w:szCs w:val="24"/>
        </w:rPr>
        <w:t xml:space="preserve"> sobre todo</w:t>
      </w:r>
      <w:r w:rsidR="008440E9" w:rsidRPr="00E00F13">
        <w:rPr>
          <w:rFonts w:ascii="Arial" w:hAnsi="Arial" w:cs="Arial"/>
          <w:sz w:val="24"/>
          <w:szCs w:val="24"/>
        </w:rPr>
        <w:t>,</w:t>
      </w:r>
      <w:r w:rsidR="00E03F6C" w:rsidRPr="00E00F13">
        <w:rPr>
          <w:rFonts w:ascii="Arial" w:hAnsi="Arial" w:cs="Arial"/>
          <w:sz w:val="24"/>
          <w:szCs w:val="24"/>
        </w:rPr>
        <w:t xml:space="preserve"> con experiencias importantes en las principales ciudades del país</w:t>
      </w:r>
      <w:r w:rsidR="008440E9" w:rsidRPr="00E00F13">
        <w:rPr>
          <w:rFonts w:ascii="Arial" w:hAnsi="Arial" w:cs="Arial"/>
          <w:sz w:val="24"/>
          <w:szCs w:val="24"/>
        </w:rPr>
        <w:t xml:space="preserve">, que es el </w:t>
      </w:r>
      <w:r w:rsidR="00E03F6C" w:rsidRPr="00E00F13">
        <w:rPr>
          <w:rFonts w:ascii="Arial" w:hAnsi="Arial" w:cs="Arial"/>
          <w:sz w:val="24"/>
          <w:szCs w:val="24"/>
        </w:rPr>
        <w:t>mejoramiento de barrios</w:t>
      </w:r>
      <w:r w:rsidR="008440E9" w:rsidRPr="00E00F13">
        <w:rPr>
          <w:rFonts w:ascii="Arial" w:hAnsi="Arial" w:cs="Arial"/>
          <w:sz w:val="24"/>
          <w:szCs w:val="24"/>
        </w:rPr>
        <w:t>. El mejoramiento de barrios</w:t>
      </w:r>
      <w:r w:rsidR="00E03F6C" w:rsidRPr="00E00F13">
        <w:rPr>
          <w:rFonts w:ascii="Arial" w:hAnsi="Arial" w:cs="Arial"/>
          <w:sz w:val="24"/>
          <w:szCs w:val="24"/>
        </w:rPr>
        <w:t xml:space="preserve"> se instrumentalizó a favor de indicadores </w:t>
      </w:r>
      <w:r w:rsidR="008440E9" w:rsidRPr="00E00F13">
        <w:rPr>
          <w:rFonts w:ascii="Arial" w:hAnsi="Arial" w:cs="Arial"/>
          <w:sz w:val="24"/>
          <w:szCs w:val="24"/>
        </w:rPr>
        <w:t>como la atención de</w:t>
      </w:r>
      <w:r w:rsidR="00E03F6C" w:rsidRPr="00E00F13">
        <w:rPr>
          <w:rFonts w:ascii="Arial" w:hAnsi="Arial" w:cs="Arial"/>
          <w:sz w:val="24"/>
          <w:szCs w:val="24"/>
        </w:rPr>
        <w:t xml:space="preserve"> demandas imperantes y de gran </w:t>
      </w:r>
      <w:r w:rsidR="00E03F6C" w:rsidRPr="00E00F13">
        <w:rPr>
          <w:rFonts w:ascii="Arial" w:hAnsi="Arial" w:cs="Arial"/>
          <w:sz w:val="24"/>
          <w:szCs w:val="24"/>
        </w:rPr>
        <w:lastRenderedPageBreak/>
        <w:t>complejidad en términos de saneamiento, de titulación</w:t>
      </w:r>
      <w:r w:rsidR="008440E9" w:rsidRPr="00E00F13">
        <w:rPr>
          <w:rFonts w:ascii="Arial" w:hAnsi="Arial" w:cs="Arial"/>
          <w:sz w:val="24"/>
          <w:szCs w:val="24"/>
        </w:rPr>
        <w:t xml:space="preserve"> y </w:t>
      </w:r>
      <w:r w:rsidR="00E03F6C" w:rsidRPr="00E00F13">
        <w:rPr>
          <w:rFonts w:ascii="Arial" w:hAnsi="Arial" w:cs="Arial"/>
          <w:sz w:val="24"/>
          <w:szCs w:val="24"/>
        </w:rPr>
        <w:t>de calidad habitacional</w:t>
      </w:r>
      <w:r w:rsidR="008440E9" w:rsidRPr="00E00F13">
        <w:rPr>
          <w:rFonts w:ascii="Arial" w:hAnsi="Arial" w:cs="Arial"/>
          <w:sz w:val="24"/>
          <w:szCs w:val="24"/>
        </w:rPr>
        <w:t xml:space="preserve">. Pero en ese camino </w:t>
      </w:r>
      <w:r w:rsidR="00E03F6C" w:rsidRPr="00E00F13">
        <w:rPr>
          <w:rFonts w:ascii="Arial" w:hAnsi="Arial" w:cs="Arial"/>
          <w:sz w:val="24"/>
          <w:szCs w:val="24"/>
        </w:rPr>
        <w:t xml:space="preserve">empezaron a evidenciarse vacíos </w:t>
      </w:r>
      <w:r w:rsidR="008440E9" w:rsidRPr="00E00F13">
        <w:rPr>
          <w:rFonts w:ascii="Arial" w:hAnsi="Arial" w:cs="Arial"/>
          <w:sz w:val="24"/>
          <w:szCs w:val="24"/>
        </w:rPr>
        <w:t>sin</w:t>
      </w:r>
      <w:r w:rsidR="00E03F6C" w:rsidRPr="00E00F13">
        <w:rPr>
          <w:rFonts w:ascii="Arial" w:hAnsi="Arial" w:cs="Arial"/>
          <w:sz w:val="24"/>
          <w:szCs w:val="24"/>
        </w:rPr>
        <w:t xml:space="preserve"> resolverse en el marco de esa estrategia del mejoramiento integral de barrios, particularmente en entornos de alto conflicto. </w:t>
      </w:r>
      <w:r w:rsidR="008440E9" w:rsidRPr="00E00F13">
        <w:rPr>
          <w:rFonts w:ascii="Arial" w:hAnsi="Arial" w:cs="Arial"/>
          <w:sz w:val="24"/>
          <w:szCs w:val="24"/>
        </w:rPr>
        <w:t>El c</w:t>
      </w:r>
      <w:r w:rsidR="00E03F6C" w:rsidRPr="00E00F13">
        <w:rPr>
          <w:rFonts w:ascii="Arial" w:hAnsi="Arial" w:cs="Arial"/>
          <w:sz w:val="24"/>
          <w:szCs w:val="24"/>
        </w:rPr>
        <w:t xml:space="preserve">onflicto interurbano tiene que ver con </w:t>
      </w:r>
      <w:r w:rsidR="008440E9" w:rsidRPr="00E00F13">
        <w:rPr>
          <w:rFonts w:ascii="Arial" w:hAnsi="Arial" w:cs="Arial"/>
          <w:sz w:val="24"/>
          <w:szCs w:val="24"/>
        </w:rPr>
        <w:t>los</w:t>
      </w:r>
      <w:r w:rsidR="00E03F6C" w:rsidRPr="00E00F13">
        <w:rPr>
          <w:rFonts w:ascii="Arial" w:hAnsi="Arial" w:cs="Arial"/>
          <w:sz w:val="24"/>
          <w:szCs w:val="24"/>
        </w:rPr>
        <w:t xml:space="preserve"> actores armados, ilegales, generando procesos paralelos de gobernanza.</w:t>
      </w:r>
      <w:r w:rsidR="008440E9" w:rsidRPr="00E00F13">
        <w:rPr>
          <w:rFonts w:ascii="Arial" w:hAnsi="Arial" w:cs="Arial"/>
          <w:sz w:val="24"/>
          <w:szCs w:val="24"/>
        </w:rPr>
        <w:t xml:space="preserve"> Y t</w:t>
      </w:r>
      <w:r w:rsidR="00E03F6C" w:rsidRPr="00E00F13">
        <w:rPr>
          <w:rFonts w:ascii="Arial" w:hAnsi="Arial" w:cs="Arial"/>
          <w:sz w:val="24"/>
          <w:szCs w:val="24"/>
        </w:rPr>
        <w:t xml:space="preserve">ambién tiene que ver con un conflicto en términos de explotación intensiva de recursos naturales. Cuando </w:t>
      </w:r>
      <w:r w:rsidR="008440E9" w:rsidRPr="00E00F13">
        <w:rPr>
          <w:rFonts w:ascii="Arial" w:hAnsi="Arial" w:cs="Arial"/>
          <w:sz w:val="24"/>
          <w:szCs w:val="24"/>
        </w:rPr>
        <w:t>se habla</w:t>
      </w:r>
      <w:r w:rsidR="00E03F6C" w:rsidRPr="00E00F13">
        <w:rPr>
          <w:rFonts w:ascii="Arial" w:hAnsi="Arial" w:cs="Arial"/>
          <w:sz w:val="24"/>
          <w:szCs w:val="24"/>
        </w:rPr>
        <w:t xml:space="preserve"> de asentamientos rurales que se encuentran en áreas de alta fragilidad ecosistémica, entonces ya no es simplemente hablar de mejoramiento rural, sino de entender que hay unas formas de borde urbano rural</w:t>
      </w:r>
      <w:r w:rsidR="008440E9" w:rsidRPr="00E00F13">
        <w:rPr>
          <w:rFonts w:ascii="Arial" w:hAnsi="Arial" w:cs="Arial"/>
          <w:sz w:val="24"/>
          <w:szCs w:val="24"/>
        </w:rPr>
        <w:t xml:space="preserve"> q</w:t>
      </w:r>
      <w:r w:rsidR="00E03F6C" w:rsidRPr="00E00F13">
        <w:rPr>
          <w:rFonts w:ascii="Arial" w:hAnsi="Arial" w:cs="Arial"/>
          <w:sz w:val="24"/>
          <w:szCs w:val="24"/>
        </w:rPr>
        <w:t>ue atentan contra estos ecosistemas de alta fragilidad y que</w:t>
      </w:r>
      <w:r w:rsidR="008440E9" w:rsidRPr="00E00F13">
        <w:rPr>
          <w:rFonts w:ascii="Arial" w:hAnsi="Arial" w:cs="Arial"/>
          <w:sz w:val="24"/>
          <w:szCs w:val="24"/>
        </w:rPr>
        <w:t>,</w:t>
      </w:r>
      <w:r w:rsidR="00E03F6C" w:rsidRPr="00E00F13">
        <w:rPr>
          <w:rFonts w:ascii="Arial" w:hAnsi="Arial" w:cs="Arial"/>
          <w:sz w:val="24"/>
          <w:szCs w:val="24"/>
        </w:rPr>
        <w:t xml:space="preserve"> en últimas</w:t>
      </w:r>
      <w:r w:rsidR="008440E9" w:rsidRPr="00E00F13">
        <w:rPr>
          <w:rFonts w:ascii="Arial" w:hAnsi="Arial" w:cs="Arial"/>
          <w:sz w:val="24"/>
          <w:szCs w:val="24"/>
        </w:rPr>
        <w:t>,</w:t>
      </w:r>
      <w:r w:rsidR="00E03F6C" w:rsidRPr="00E00F13">
        <w:rPr>
          <w:rFonts w:ascii="Arial" w:hAnsi="Arial" w:cs="Arial"/>
          <w:sz w:val="24"/>
          <w:szCs w:val="24"/>
        </w:rPr>
        <w:t xml:space="preserve"> involucran la dinámica de los ciclos del agua.</w:t>
      </w:r>
    </w:p>
    <w:p w14:paraId="7C702D3C" w14:textId="77777777" w:rsidR="006B30D3" w:rsidRPr="00E00F13" w:rsidRDefault="00E03F6C" w:rsidP="00F20B77">
      <w:pPr>
        <w:spacing w:after="0" w:line="360" w:lineRule="auto"/>
        <w:jc w:val="both"/>
        <w:rPr>
          <w:rFonts w:ascii="Arial" w:hAnsi="Arial" w:cs="Arial"/>
          <w:sz w:val="24"/>
          <w:szCs w:val="24"/>
        </w:rPr>
      </w:pPr>
      <w:r w:rsidRPr="00E00F13">
        <w:rPr>
          <w:rFonts w:ascii="Arial" w:hAnsi="Arial" w:cs="Arial"/>
          <w:sz w:val="24"/>
          <w:szCs w:val="24"/>
        </w:rPr>
        <w:br/>
      </w:r>
      <w:r w:rsidR="008440E9" w:rsidRPr="00E00F13">
        <w:rPr>
          <w:rFonts w:ascii="Arial" w:hAnsi="Arial" w:cs="Arial"/>
          <w:sz w:val="24"/>
          <w:szCs w:val="24"/>
        </w:rPr>
        <w:t>Así, e</w:t>
      </w:r>
      <w:r w:rsidRPr="00E00F13">
        <w:rPr>
          <w:rFonts w:ascii="Arial" w:hAnsi="Arial" w:cs="Arial"/>
          <w:sz w:val="24"/>
          <w:szCs w:val="24"/>
        </w:rPr>
        <w:t xml:space="preserve">l mejoramiento integral de barrios pasó a </w:t>
      </w:r>
      <w:r w:rsidR="008440E9" w:rsidRPr="00E00F13">
        <w:rPr>
          <w:rFonts w:ascii="Arial" w:hAnsi="Arial" w:cs="Arial"/>
          <w:sz w:val="24"/>
          <w:szCs w:val="24"/>
        </w:rPr>
        <w:t>un</w:t>
      </w:r>
      <w:r w:rsidRPr="00E00F13">
        <w:rPr>
          <w:rFonts w:ascii="Arial" w:hAnsi="Arial" w:cs="Arial"/>
          <w:sz w:val="24"/>
          <w:szCs w:val="24"/>
        </w:rPr>
        <w:t xml:space="preserve"> segundo </w:t>
      </w:r>
      <w:r w:rsidR="008440E9" w:rsidRPr="00E00F13">
        <w:rPr>
          <w:rFonts w:ascii="Arial" w:hAnsi="Arial" w:cs="Arial"/>
          <w:sz w:val="24"/>
          <w:szCs w:val="24"/>
        </w:rPr>
        <w:t>plano, superado por un punto fundamental que es la necesidad de</w:t>
      </w:r>
      <w:r w:rsidRPr="00E00F13">
        <w:rPr>
          <w:rFonts w:ascii="Arial" w:hAnsi="Arial" w:cs="Arial"/>
          <w:sz w:val="24"/>
          <w:szCs w:val="24"/>
        </w:rPr>
        <w:t xml:space="preserve"> la construcción de paz</w:t>
      </w:r>
      <w:r w:rsidR="008440E9" w:rsidRPr="00E00F13">
        <w:rPr>
          <w:rFonts w:ascii="Arial" w:hAnsi="Arial" w:cs="Arial"/>
          <w:sz w:val="24"/>
          <w:szCs w:val="24"/>
        </w:rPr>
        <w:t>. D</w:t>
      </w:r>
      <w:r w:rsidRPr="00E00F13">
        <w:rPr>
          <w:rFonts w:ascii="Arial" w:hAnsi="Arial" w:cs="Arial"/>
          <w:sz w:val="24"/>
          <w:szCs w:val="24"/>
        </w:rPr>
        <w:t>e lo contrario</w:t>
      </w:r>
      <w:r w:rsidR="008440E9" w:rsidRPr="00E00F13">
        <w:rPr>
          <w:rFonts w:ascii="Arial" w:hAnsi="Arial" w:cs="Arial"/>
          <w:sz w:val="24"/>
          <w:szCs w:val="24"/>
        </w:rPr>
        <w:t xml:space="preserve">, solo </w:t>
      </w:r>
      <w:r w:rsidR="007024DB" w:rsidRPr="00E00F13">
        <w:rPr>
          <w:rFonts w:ascii="Arial" w:hAnsi="Arial" w:cs="Arial"/>
          <w:sz w:val="24"/>
          <w:szCs w:val="24"/>
        </w:rPr>
        <w:t>se estaría</w:t>
      </w:r>
      <w:r w:rsidRPr="00E00F13">
        <w:rPr>
          <w:rFonts w:ascii="Arial" w:hAnsi="Arial" w:cs="Arial"/>
          <w:sz w:val="24"/>
          <w:szCs w:val="24"/>
        </w:rPr>
        <w:t xml:space="preserve"> hablando de mejoramientos de barrios</w:t>
      </w:r>
      <w:r w:rsidR="008440E9" w:rsidRPr="00E00F13">
        <w:rPr>
          <w:rFonts w:ascii="Arial" w:hAnsi="Arial" w:cs="Arial"/>
          <w:sz w:val="24"/>
          <w:szCs w:val="24"/>
        </w:rPr>
        <w:t xml:space="preserve"> y, </w:t>
      </w:r>
      <w:r w:rsidRPr="00E00F13">
        <w:rPr>
          <w:rFonts w:ascii="Arial" w:hAnsi="Arial" w:cs="Arial"/>
          <w:sz w:val="24"/>
          <w:szCs w:val="24"/>
        </w:rPr>
        <w:t>en este caso</w:t>
      </w:r>
      <w:r w:rsidR="008440E9" w:rsidRPr="00E00F13">
        <w:rPr>
          <w:rFonts w:ascii="Arial" w:hAnsi="Arial" w:cs="Arial"/>
          <w:sz w:val="24"/>
          <w:szCs w:val="24"/>
        </w:rPr>
        <w:t>,</w:t>
      </w:r>
      <w:r w:rsidRPr="00E00F13">
        <w:rPr>
          <w:rFonts w:ascii="Arial" w:hAnsi="Arial" w:cs="Arial"/>
          <w:sz w:val="24"/>
          <w:szCs w:val="24"/>
        </w:rPr>
        <w:t xml:space="preserve"> no </w:t>
      </w:r>
      <w:r w:rsidR="008440E9" w:rsidRPr="00E00F13">
        <w:rPr>
          <w:rFonts w:ascii="Arial" w:hAnsi="Arial" w:cs="Arial"/>
          <w:sz w:val="24"/>
          <w:szCs w:val="24"/>
        </w:rPr>
        <w:t>solo</w:t>
      </w:r>
      <w:r w:rsidRPr="00E00F13">
        <w:rPr>
          <w:rFonts w:ascii="Arial" w:hAnsi="Arial" w:cs="Arial"/>
          <w:sz w:val="24"/>
          <w:szCs w:val="24"/>
        </w:rPr>
        <w:t xml:space="preserve"> de barrios, sino también de veredas</w:t>
      </w:r>
      <w:r w:rsidR="008440E9" w:rsidRPr="00E00F13">
        <w:rPr>
          <w:rFonts w:ascii="Arial" w:hAnsi="Arial" w:cs="Arial"/>
          <w:sz w:val="24"/>
          <w:szCs w:val="24"/>
        </w:rPr>
        <w:t>. El</w:t>
      </w:r>
      <w:r w:rsidR="00752D44" w:rsidRPr="00E00F13">
        <w:rPr>
          <w:rFonts w:ascii="Arial" w:hAnsi="Arial" w:cs="Arial"/>
          <w:sz w:val="24"/>
          <w:szCs w:val="24"/>
        </w:rPr>
        <w:t xml:space="preserve"> </w:t>
      </w:r>
      <w:r w:rsidR="008440E9" w:rsidRPr="00E00F13">
        <w:rPr>
          <w:rFonts w:ascii="Arial" w:hAnsi="Arial" w:cs="Arial"/>
          <w:sz w:val="24"/>
          <w:szCs w:val="24"/>
        </w:rPr>
        <w:t>é</w:t>
      </w:r>
      <w:r w:rsidRPr="00E00F13">
        <w:rPr>
          <w:rFonts w:ascii="Arial" w:hAnsi="Arial" w:cs="Arial"/>
          <w:sz w:val="24"/>
          <w:szCs w:val="24"/>
        </w:rPr>
        <w:t xml:space="preserve">nfasis es generar a través de la estrategia no </w:t>
      </w:r>
      <w:r w:rsidR="007024DB" w:rsidRPr="00E00F13">
        <w:rPr>
          <w:rFonts w:ascii="Arial" w:hAnsi="Arial" w:cs="Arial"/>
          <w:sz w:val="24"/>
          <w:szCs w:val="24"/>
        </w:rPr>
        <w:t>solo</w:t>
      </w:r>
      <w:r w:rsidRPr="00E00F13">
        <w:rPr>
          <w:rFonts w:ascii="Arial" w:hAnsi="Arial" w:cs="Arial"/>
          <w:sz w:val="24"/>
          <w:szCs w:val="24"/>
        </w:rPr>
        <w:t xml:space="preserve"> transformaciones territoriales</w:t>
      </w:r>
      <w:r w:rsidR="008440E9" w:rsidRPr="00E00F13">
        <w:rPr>
          <w:rFonts w:ascii="Arial" w:hAnsi="Arial" w:cs="Arial"/>
          <w:sz w:val="24"/>
          <w:szCs w:val="24"/>
        </w:rPr>
        <w:t xml:space="preserve"> materiales,</w:t>
      </w:r>
      <w:r w:rsidRPr="00E00F13">
        <w:rPr>
          <w:rFonts w:ascii="Arial" w:hAnsi="Arial" w:cs="Arial"/>
          <w:sz w:val="24"/>
          <w:szCs w:val="24"/>
        </w:rPr>
        <w:t xml:space="preserve"> sino escenarios de fortalecimiento para la construcción de </w:t>
      </w:r>
      <w:r w:rsidR="008440E9" w:rsidRPr="00E00F13">
        <w:rPr>
          <w:rFonts w:ascii="Arial" w:hAnsi="Arial" w:cs="Arial"/>
          <w:sz w:val="24"/>
          <w:szCs w:val="24"/>
        </w:rPr>
        <w:t>procesos</w:t>
      </w:r>
      <w:r w:rsidRPr="00E00F13">
        <w:rPr>
          <w:rFonts w:ascii="Arial" w:hAnsi="Arial" w:cs="Arial"/>
          <w:sz w:val="24"/>
          <w:szCs w:val="24"/>
        </w:rPr>
        <w:t xml:space="preserve"> de paz</w:t>
      </w:r>
      <w:r w:rsidR="00BB31A5" w:rsidRPr="00E00F13">
        <w:rPr>
          <w:rFonts w:ascii="Arial" w:hAnsi="Arial" w:cs="Arial"/>
          <w:sz w:val="24"/>
          <w:szCs w:val="24"/>
        </w:rPr>
        <w:t xml:space="preserve"> –y</w:t>
      </w:r>
      <w:r w:rsidRPr="00E00F13">
        <w:rPr>
          <w:rFonts w:ascii="Arial" w:hAnsi="Arial" w:cs="Arial"/>
          <w:sz w:val="24"/>
          <w:szCs w:val="24"/>
        </w:rPr>
        <w:t xml:space="preserve"> paz</w:t>
      </w:r>
      <w:r w:rsidR="008440E9" w:rsidRPr="00E00F13">
        <w:rPr>
          <w:rFonts w:ascii="Arial" w:hAnsi="Arial" w:cs="Arial"/>
          <w:sz w:val="24"/>
          <w:szCs w:val="24"/>
        </w:rPr>
        <w:t xml:space="preserve"> </w:t>
      </w:r>
      <w:r w:rsidRPr="00E00F13">
        <w:rPr>
          <w:rFonts w:ascii="Arial" w:hAnsi="Arial" w:cs="Arial"/>
          <w:sz w:val="24"/>
          <w:szCs w:val="24"/>
        </w:rPr>
        <w:t>entre actores</w:t>
      </w:r>
      <w:r w:rsidR="007024DB" w:rsidRPr="00E00F13">
        <w:rPr>
          <w:rFonts w:ascii="Arial" w:hAnsi="Arial" w:cs="Arial"/>
          <w:sz w:val="24"/>
          <w:szCs w:val="24"/>
        </w:rPr>
        <w:t xml:space="preserve"> y</w:t>
      </w:r>
      <w:r w:rsidRPr="00E00F13">
        <w:rPr>
          <w:rFonts w:ascii="Arial" w:hAnsi="Arial" w:cs="Arial"/>
          <w:sz w:val="24"/>
          <w:szCs w:val="24"/>
        </w:rPr>
        <w:t xml:space="preserve"> con la naturaleza</w:t>
      </w:r>
      <w:r w:rsidR="00BB31A5" w:rsidRPr="00E00F13">
        <w:rPr>
          <w:rFonts w:ascii="Arial" w:hAnsi="Arial" w:cs="Arial"/>
          <w:sz w:val="24"/>
          <w:szCs w:val="24"/>
        </w:rPr>
        <w:t>–, afianzando procesos l</w:t>
      </w:r>
      <w:r w:rsidRPr="00E00F13">
        <w:rPr>
          <w:rFonts w:ascii="Arial" w:hAnsi="Arial" w:cs="Arial"/>
          <w:sz w:val="24"/>
          <w:szCs w:val="24"/>
        </w:rPr>
        <w:t xml:space="preserve">ocales </w:t>
      </w:r>
      <w:r w:rsidR="00BB31A5" w:rsidRPr="00E00F13">
        <w:rPr>
          <w:rFonts w:ascii="Arial" w:hAnsi="Arial" w:cs="Arial"/>
          <w:sz w:val="24"/>
          <w:szCs w:val="24"/>
        </w:rPr>
        <w:t>en curso</w:t>
      </w:r>
      <w:r w:rsidRPr="00E00F13">
        <w:rPr>
          <w:rFonts w:ascii="Arial" w:hAnsi="Arial" w:cs="Arial"/>
          <w:sz w:val="24"/>
          <w:szCs w:val="24"/>
        </w:rPr>
        <w:t xml:space="preserve"> en términos de reconciliación, de acuerdos con</w:t>
      </w:r>
      <w:r w:rsidR="00BB31A5" w:rsidRPr="00E00F13">
        <w:rPr>
          <w:rFonts w:ascii="Arial" w:hAnsi="Arial" w:cs="Arial"/>
          <w:sz w:val="24"/>
          <w:szCs w:val="24"/>
        </w:rPr>
        <w:t xml:space="preserve"> </w:t>
      </w:r>
      <w:r w:rsidRPr="00E00F13">
        <w:rPr>
          <w:rFonts w:ascii="Arial" w:hAnsi="Arial" w:cs="Arial"/>
          <w:sz w:val="24"/>
          <w:szCs w:val="24"/>
        </w:rPr>
        <w:t>firmantes</w:t>
      </w:r>
      <w:r w:rsidR="00BB31A5" w:rsidRPr="00E00F13">
        <w:rPr>
          <w:rFonts w:ascii="Arial" w:hAnsi="Arial" w:cs="Arial"/>
          <w:sz w:val="24"/>
          <w:szCs w:val="24"/>
        </w:rPr>
        <w:t xml:space="preserve"> del Acuerdo de Paz entre las FARC y el Estado en 2016,</w:t>
      </w:r>
      <w:r w:rsidRPr="00E00F13">
        <w:rPr>
          <w:rFonts w:ascii="Arial" w:hAnsi="Arial" w:cs="Arial"/>
          <w:sz w:val="24"/>
          <w:szCs w:val="24"/>
        </w:rPr>
        <w:t xml:space="preserve"> con víctimas de procesos con grupos que están tratando de dejar las armas y que generan influencia en asentamientos humanos que</w:t>
      </w:r>
      <w:r w:rsidR="00BB31A5" w:rsidRPr="00E00F13">
        <w:rPr>
          <w:rFonts w:ascii="Arial" w:hAnsi="Arial" w:cs="Arial"/>
          <w:sz w:val="24"/>
          <w:szCs w:val="24"/>
        </w:rPr>
        <w:t xml:space="preserve"> t</w:t>
      </w:r>
      <w:r w:rsidRPr="00E00F13">
        <w:rPr>
          <w:rFonts w:ascii="Arial" w:hAnsi="Arial" w:cs="Arial"/>
          <w:sz w:val="24"/>
          <w:szCs w:val="24"/>
        </w:rPr>
        <w:t xml:space="preserve">ienen altos niveles de precariedad como para aplicar estrategias de mejoramiento integral de barrios. </w:t>
      </w:r>
    </w:p>
    <w:p w14:paraId="4B418CD2" w14:textId="77777777" w:rsidR="006B30D3" w:rsidRPr="00E00F13" w:rsidRDefault="006B30D3" w:rsidP="00F20B77">
      <w:pPr>
        <w:spacing w:after="0" w:line="360" w:lineRule="auto"/>
        <w:jc w:val="both"/>
        <w:rPr>
          <w:rFonts w:ascii="Arial" w:hAnsi="Arial" w:cs="Arial"/>
          <w:sz w:val="24"/>
          <w:szCs w:val="24"/>
        </w:rPr>
      </w:pPr>
    </w:p>
    <w:p w14:paraId="1340A9F9" w14:textId="491EB044" w:rsidR="00BB31A5" w:rsidRPr="00E00F13" w:rsidRDefault="006B30D3" w:rsidP="00F20B77">
      <w:pPr>
        <w:spacing w:after="0" w:line="360" w:lineRule="auto"/>
        <w:jc w:val="both"/>
        <w:rPr>
          <w:rFonts w:ascii="Arial" w:hAnsi="Arial" w:cs="Arial"/>
          <w:sz w:val="24"/>
          <w:szCs w:val="24"/>
        </w:rPr>
      </w:pPr>
      <w:r w:rsidRPr="00E00F13">
        <w:rPr>
          <w:rFonts w:ascii="Arial" w:hAnsi="Arial" w:cs="Arial"/>
          <w:sz w:val="24"/>
          <w:szCs w:val="24"/>
        </w:rPr>
        <w:t xml:space="preserve">La lectura de los territorios desde el punto del hábitat y del ordenamiento en torno al agua hacen pensar en la necesidad de complejizar la lectura de los territorios, como paso previo para el diseño mismo del barrio o la vereda de paz. </w:t>
      </w:r>
      <w:r w:rsidR="00BB31A5" w:rsidRPr="00E00F13">
        <w:rPr>
          <w:rFonts w:ascii="Arial" w:hAnsi="Arial" w:cs="Arial"/>
          <w:sz w:val="24"/>
          <w:szCs w:val="24"/>
        </w:rPr>
        <w:t>La</w:t>
      </w:r>
      <w:r w:rsidRPr="00E00F13">
        <w:rPr>
          <w:rFonts w:ascii="Arial" w:hAnsi="Arial" w:cs="Arial"/>
          <w:sz w:val="24"/>
          <w:szCs w:val="24"/>
        </w:rPr>
        <w:t xml:space="preserve"> lectura sobre las</w:t>
      </w:r>
      <w:r w:rsidR="00BB31A5" w:rsidRPr="00E00F13">
        <w:rPr>
          <w:rFonts w:ascii="Arial" w:hAnsi="Arial" w:cs="Arial"/>
          <w:sz w:val="24"/>
          <w:szCs w:val="24"/>
        </w:rPr>
        <w:t xml:space="preserve"> características</w:t>
      </w:r>
      <w:r w:rsidRPr="00E00F13">
        <w:rPr>
          <w:rFonts w:ascii="Arial" w:hAnsi="Arial" w:cs="Arial"/>
          <w:sz w:val="24"/>
          <w:szCs w:val="24"/>
        </w:rPr>
        <w:t xml:space="preserve"> particulares</w:t>
      </w:r>
      <w:r w:rsidR="00BB31A5" w:rsidRPr="00E00F13">
        <w:rPr>
          <w:rFonts w:ascii="Arial" w:hAnsi="Arial" w:cs="Arial"/>
          <w:sz w:val="24"/>
          <w:szCs w:val="24"/>
        </w:rPr>
        <w:t xml:space="preserve"> de Buenaventura</w:t>
      </w:r>
      <w:r w:rsidR="00E03F6C" w:rsidRPr="00E00F13">
        <w:rPr>
          <w:rFonts w:ascii="Arial" w:hAnsi="Arial" w:cs="Arial"/>
          <w:sz w:val="24"/>
          <w:szCs w:val="24"/>
        </w:rPr>
        <w:t xml:space="preserve"> da pie</w:t>
      </w:r>
      <w:r w:rsidRPr="00E00F13">
        <w:rPr>
          <w:rFonts w:ascii="Arial" w:hAnsi="Arial" w:cs="Arial"/>
          <w:sz w:val="24"/>
          <w:szCs w:val="24"/>
        </w:rPr>
        <w:t>, también,</w:t>
      </w:r>
      <w:r w:rsidR="00E03F6C" w:rsidRPr="00E00F13">
        <w:rPr>
          <w:rFonts w:ascii="Arial" w:hAnsi="Arial" w:cs="Arial"/>
          <w:sz w:val="24"/>
          <w:szCs w:val="24"/>
        </w:rPr>
        <w:t xml:space="preserve"> </w:t>
      </w:r>
      <w:r w:rsidR="00BB31A5" w:rsidRPr="00E00F13">
        <w:rPr>
          <w:rFonts w:ascii="Arial" w:hAnsi="Arial" w:cs="Arial"/>
          <w:sz w:val="24"/>
          <w:szCs w:val="24"/>
        </w:rPr>
        <w:t>para pensar en que no existe un solo enfoque de intervención, sino que existen múltiples enfoques, estrategias y énfasis en la forma</w:t>
      </w:r>
      <w:r w:rsidR="00E03F6C" w:rsidRPr="00E00F13">
        <w:rPr>
          <w:rFonts w:ascii="Arial" w:hAnsi="Arial" w:cs="Arial"/>
          <w:sz w:val="24"/>
          <w:szCs w:val="24"/>
        </w:rPr>
        <w:t xml:space="preserve"> </w:t>
      </w:r>
      <w:r w:rsidR="00BB31A5" w:rsidRPr="00E00F13">
        <w:rPr>
          <w:rFonts w:ascii="Arial" w:hAnsi="Arial" w:cs="Arial"/>
          <w:sz w:val="24"/>
          <w:szCs w:val="24"/>
        </w:rPr>
        <w:t xml:space="preserve">en la que se mejora un barrio o una </w:t>
      </w:r>
      <w:r w:rsidR="00BB31A5" w:rsidRPr="00E00F13">
        <w:rPr>
          <w:rFonts w:ascii="Arial" w:hAnsi="Arial" w:cs="Arial"/>
          <w:sz w:val="24"/>
          <w:szCs w:val="24"/>
        </w:rPr>
        <w:lastRenderedPageBreak/>
        <w:t xml:space="preserve">vereda. Y que son tantos como experiencias de barrios de paz existan en el país. La </w:t>
      </w:r>
      <w:r w:rsidR="00E03F6C" w:rsidRPr="00E00F13">
        <w:rPr>
          <w:rFonts w:ascii="Arial" w:hAnsi="Arial" w:cs="Arial"/>
          <w:sz w:val="24"/>
          <w:szCs w:val="24"/>
        </w:rPr>
        <w:t>transformación territorial</w:t>
      </w:r>
      <w:r w:rsidR="00BB31A5" w:rsidRPr="00E00F13">
        <w:rPr>
          <w:rFonts w:ascii="Arial" w:hAnsi="Arial" w:cs="Arial"/>
          <w:sz w:val="24"/>
          <w:szCs w:val="24"/>
        </w:rPr>
        <w:t xml:space="preserve">, concebida así, es un concepto mucho más amplio. </w:t>
      </w:r>
    </w:p>
    <w:p w14:paraId="434C307B" w14:textId="500F69F8" w:rsidR="00A17D9C" w:rsidRPr="00E00F13" w:rsidRDefault="00A17D9C" w:rsidP="0077302B">
      <w:pPr>
        <w:spacing w:after="0" w:line="360" w:lineRule="auto"/>
        <w:jc w:val="both"/>
        <w:rPr>
          <w:rFonts w:ascii="Arial" w:hAnsi="Arial" w:cs="Arial"/>
          <w:sz w:val="24"/>
          <w:szCs w:val="24"/>
        </w:rPr>
      </w:pPr>
    </w:p>
    <w:p w14:paraId="22ABA974" w14:textId="2932AD40" w:rsidR="00BF7D10" w:rsidRPr="00E00F13" w:rsidRDefault="00EB1EC4" w:rsidP="0077302B">
      <w:pPr>
        <w:spacing w:after="0" w:line="360" w:lineRule="auto"/>
        <w:jc w:val="both"/>
        <w:rPr>
          <w:rFonts w:ascii="Arial" w:hAnsi="Arial" w:cs="Arial"/>
          <w:sz w:val="24"/>
          <w:szCs w:val="24"/>
        </w:rPr>
      </w:pPr>
      <w:r w:rsidRPr="00E00F13">
        <w:rPr>
          <w:rFonts w:ascii="Arial" w:hAnsi="Arial" w:cs="Arial"/>
          <w:sz w:val="24"/>
          <w:szCs w:val="24"/>
        </w:rPr>
        <w:t xml:space="preserve">Barrio de </w:t>
      </w:r>
      <w:r w:rsidR="009F70FD" w:rsidRPr="00E00F13">
        <w:rPr>
          <w:rFonts w:ascii="Arial" w:hAnsi="Arial" w:cs="Arial"/>
          <w:sz w:val="24"/>
          <w:szCs w:val="24"/>
        </w:rPr>
        <w:t>P</w:t>
      </w:r>
      <w:r w:rsidRPr="00E00F13">
        <w:rPr>
          <w:rFonts w:ascii="Arial" w:hAnsi="Arial" w:cs="Arial"/>
          <w:sz w:val="24"/>
          <w:szCs w:val="24"/>
        </w:rPr>
        <w:t xml:space="preserve">az </w:t>
      </w:r>
      <w:r w:rsidR="009F7162" w:rsidRPr="00E00F13">
        <w:rPr>
          <w:rFonts w:ascii="Arial" w:hAnsi="Arial" w:cs="Arial"/>
          <w:sz w:val="24"/>
          <w:szCs w:val="24"/>
        </w:rPr>
        <w:t>para</w:t>
      </w:r>
      <w:r w:rsidRPr="00E00F13">
        <w:rPr>
          <w:rFonts w:ascii="Arial" w:hAnsi="Arial" w:cs="Arial"/>
          <w:sz w:val="24"/>
          <w:szCs w:val="24"/>
        </w:rPr>
        <w:t xml:space="preserve"> Buenaventura</w:t>
      </w:r>
      <w:r w:rsidR="00BF7D10" w:rsidRPr="00E00F13">
        <w:rPr>
          <w:rFonts w:ascii="Arial" w:hAnsi="Arial" w:cs="Arial"/>
          <w:sz w:val="24"/>
          <w:szCs w:val="24"/>
        </w:rPr>
        <w:t>,</w:t>
      </w:r>
      <w:r w:rsidRPr="00E00F13">
        <w:rPr>
          <w:rFonts w:ascii="Arial" w:hAnsi="Arial" w:cs="Arial"/>
          <w:sz w:val="24"/>
          <w:szCs w:val="24"/>
        </w:rPr>
        <w:t xml:space="preserve"> como cualquier proyecto</w:t>
      </w:r>
      <w:r w:rsidR="00BF7D10" w:rsidRPr="00E00F13">
        <w:rPr>
          <w:rFonts w:ascii="Arial" w:hAnsi="Arial" w:cs="Arial"/>
          <w:sz w:val="24"/>
          <w:szCs w:val="24"/>
        </w:rPr>
        <w:t>,</w:t>
      </w:r>
      <w:r w:rsidRPr="00E00F13">
        <w:rPr>
          <w:rFonts w:ascii="Arial" w:hAnsi="Arial" w:cs="Arial"/>
          <w:sz w:val="24"/>
          <w:szCs w:val="24"/>
        </w:rPr>
        <w:t xml:space="preserve"> empieza de cero</w:t>
      </w:r>
      <w:r w:rsidR="00BF7D10" w:rsidRPr="00E00F13">
        <w:rPr>
          <w:rFonts w:ascii="Arial" w:hAnsi="Arial" w:cs="Arial"/>
          <w:sz w:val="24"/>
          <w:szCs w:val="24"/>
        </w:rPr>
        <w:t>. S</w:t>
      </w:r>
      <w:r w:rsidRPr="00E00F13">
        <w:rPr>
          <w:rFonts w:ascii="Arial" w:hAnsi="Arial" w:cs="Arial"/>
          <w:sz w:val="24"/>
          <w:szCs w:val="24"/>
        </w:rPr>
        <w:t xml:space="preserve">e asume en una ruta de trabajo </w:t>
      </w:r>
      <w:r w:rsidR="00BF7D10" w:rsidRPr="00E00F13">
        <w:rPr>
          <w:rFonts w:ascii="Arial" w:hAnsi="Arial" w:cs="Arial"/>
          <w:sz w:val="24"/>
          <w:szCs w:val="24"/>
        </w:rPr>
        <w:t>que empieza por</w:t>
      </w:r>
      <w:r w:rsidRPr="00E00F13">
        <w:rPr>
          <w:rFonts w:ascii="Arial" w:hAnsi="Arial" w:cs="Arial"/>
          <w:sz w:val="24"/>
          <w:szCs w:val="24"/>
        </w:rPr>
        <w:t xml:space="preserve"> hacer diagnósticos, reconocimientos</w:t>
      </w:r>
      <w:r w:rsidR="00BF7D10" w:rsidRPr="00E00F13">
        <w:rPr>
          <w:rFonts w:ascii="Arial" w:hAnsi="Arial" w:cs="Arial"/>
          <w:sz w:val="24"/>
          <w:szCs w:val="24"/>
        </w:rPr>
        <w:t xml:space="preserve"> y</w:t>
      </w:r>
      <w:r w:rsidRPr="00E00F13">
        <w:rPr>
          <w:rFonts w:ascii="Arial" w:hAnsi="Arial" w:cs="Arial"/>
          <w:sz w:val="24"/>
          <w:szCs w:val="24"/>
        </w:rPr>
        <w:t xml:space="preserve"> empoderamientos</w:t>
      </w:r>
      <w:r w:rsidR="00BF7D10" w:rsidRPr="00E00F13">
        <w:rPr>
          <w:rFonts w:ascii="Arial" w:hAnsi="Arial" w:cs="Arial"/>
          <w:sz w:val="24"/>
          <w:szCs w:val="24"/>
        </w:rPr>
        <w:t xml:space="preserve"> para g</w:t>
      </w:r>
      <w:r w:rsidRPr="00E00F13">
        <w:rPr>
          <w:rFonts w:ascii="Arial" w:hAnsi="Arial" w:cs="Arial"/>
          <w:sz w:val="24"/>
          <w:szCs w:val="24"/>
        </w:rPr>
        <w:t xml:space="preserve">enerar dinámicas de activación en </w:t>
      </w:r>
      <w:r w:rsidR="00BF7D10" w:rsidRPr="00E00F13">
        <w:rPr>
          <w:rFonts w:ascii="Arial" w:hAnsi="Arial" w:cs="Arial"/>
          <w:sz w:val="24"/>
          <w:szCs w:val="24"/>
        </w:rPr>
        <w:t xml:space="preserve">relación con </w:t>
      </w:r>
      <w:r w:rsidRPr="00E00F13">
        <w:rPr>
          <w:rFonts w:ascii="Arial" w:hAnsi="Arial" w:cs="Arial"/>
          <w:sz w:val="24"/>
          <w:szCs w:val="24"/>
        </w:rPr>
        <w:t xml:space="preserve">los alcances </w:t>
      </w:r>
      <w:r w:rsidR="00BF7D10" w:rsidRPr="00E00F13">
        <w:rPr>
          <w:rFonts w:ascii="Arial" w:hAnsi="Arial" w:cs="Arial"/>
          <w:sz w:val="24"/>
          <w:szCs w:val="24"/>
        </w:rPr>
        <w:t xml:space="preserve">amplios que tiene el proyecto. No se trata de lo simple y activar a una o dos personas, sino a varias instituciones del orden nacional, regional y local, al movilizar a todo el </w:t>
      </w:r>
      <w:r w:rsidRPr="00E00F13">
        <w:rPr>
          <w:rFonts w:ascii="Arial" w:hAnsi="Arial" w:cs="Arial"/>
          <w:sz w:val="24"/>
          <w:szCs w:val="24"/>
        </w:rPr>
        <w:t>aparato político</w:t>
      </w:r>
      <w:r w:rsidR="00BF7D10" w:rsidRPr="00E00F13">
        <w:rPr>
          <w:rFonts w:ascii="Arial" w:hAnsi="Arial" w:cs="Arial"/>
          <w:sz w:val="24"/>
          <w:szCs w:val="24"/>
        </w:rPr>
        <w:t>,</w:t>
      </w:r>
      <w:r w:rsidRPr="00E00F13">
        <w:rPr>
          <w:rFonts w:ascii="Arial" w:hAnsi="Arial" w:cs="Arial"/>
          <w:sz w:val="24"/>
          <w:szCs w:val="24"/>
        </w:rPr>
        <w:t xml:space="preserve"> técnico </w:t>
      </w:r>
      <w:r w:rsidR="00BF7D10" w:rsidRPr="00E00F13">
        <w:rPr>
          <w:rFonts w:ascii="Arial" w:hAnsi="Arial" w:cs="Arial"/>
          <w:sz w:val="24"/>
          <w:szCs w:val="24"/>
        </w:rPr>
        <w:t xml:space="preserve">e </w:t>
      </w:r>
      <w:r w:rsidRPr="00E00F13">
        <w:rPr>
          <w:rFonts w:ascii="Arial" w:hAnsi="Arial" w:cs="Arial"/>
          <w:sz w:val="24"/>
          <w:szCs w:val="24"/>
        </w:rPr>
        <w:t>interinstitucional para poder empezar a generar escenarios de concertación. Eso es</w:t>
      </w:r>
      <w:r w:rsidR="00BF7D10" w:rsidRPr="00E00F13">
        <w:rPr>
          <w:rFonts w:ascii="Arial" w:hAnsi="Arial" w:cs="Arial"/>
          <w:sz w:val="24"/>
          <w:szCs w:val="24"/>
        </w:rPr>
        <w:t>, en resumen,</w:t>
      </w:r>
      <w:r w:rsidRPr="00E00F13">
        <w:rPr>
          <w:rFonts w:ascii="Arial" w:hAnsi="Arial" w:cs="Arial"/>
          <w:sz w:val="24"/>
          <w:szCs w:val="24"/>
        </w:rPr>
        <w:t xml:space="preserve"> lo que sugiere</w:t>
      </w:r>
      <w:r w:rsidR="00BF7D10" w:rsidRPr="00E00F13">
        <w:rPr>
          <w:rFonts w:ascii="Arial" w:hAnsi="Arial" w:cs="Arial"/>
          <w:sz w:val="24"/>
          <w:szCs w:val="24"/>
        </w:rPr>
        <w:t xml:space="preserve"> </w:t>
      </w:r>
      <w:r w:rsidRPr="00E00F13">
        <w:rPr>
          <w:rFonts w:ascii="Arial" w:hAnsi="Arial" w:cs="Arial"/>
          <w:sz w:val="24"/>
          <w:szCs w:val="24"/>
        </w:rPr>
        <w:t>el decreto. Sin embargo, en Buenaventura ocurre lo opuesto</w:t>
      </w:r>
      <w:r w:rsidR="00BF7D10" w:rsidRPr="00E00F13">
        <w:rPr>
          <w:rFonts w:ascii="Arial" w:hAnsi="Arial" w:cs="Arial"/>
          <w:sz w:val="24"/>
          <w:szCs w:val="24"/>
        </w:rPr>
        <w:t xml:space="preserve">: el MVCT llega a una mesa de trabajo con posterioridad a la gestión iniciada por </w:t>
      </w:r>
      <w:r w:rsidR="007E3F68" w:rsidRPr="00E00F13">
        <w:rPr>
          <w:rFonts w:ascii="Arial" w:hAnsi="Arial" w:cs="Arial"/>
          <w:sz w:val="24"/>
          <w:szCs w:val="24"/>
        </w:rPr>
        <w:t>cerca de catorce entidades del Gobierno nacional con representación de directivos de alto nivel</w:t>
      </w:r>
      <w:r w:rsidR="00BF7D10" w:rsidRPr="00E00F13">
        <w:rPr>
          <w:rFonts w:ascii="Arial" w:hAnsi="Arial" w:cs="Arial"/>
          <w:sz w:val="24"/>
          <w:szCs w:val="24"/>
        </w:rPr>
        <w:t>. Y llega pensando en darle conceptualización al proyecto como primer punto de la ruta de trabajo.</w:t>
      </w:r>
    </w:p>
    <w:p w14:paraId="778BF344" w14:textId="77777777" w:rsidR="00BF7D10" w:rsidRPr="00E00F13" w:rsidRDefault="00BF7D10" w:rsidP="0077302B">
      <w:pPr>
        <w:spacing w:after="0" w:line="360" w:lineRule="auto"/>
        <w:jc w:val="both"/>
        <w:rPr>
          <w:rFonts w:ascii="Segoe UI" w:eastAsia="Segoe UI" w:hAnsi="Segoe UI" w:cs="Segoe UI"/>
          <w:sz w:val="24"/>
          <w:szCs w:val="24"/>
        </w:rPr>
      </w:pPr>
    </w:p>
    <w:p w14:paraId="7A6141F5" w14:textId="3EF97A29" w:rsidR="00C61B0B" w:rsidRPr="00E00F13" w:rsidRDefault="00EB1EC4" w:rsidP="0077302B">
      <w:pPr>
        <w:spacing w:after="0" w:line="360" w:lineRule="auto"/>
        <w:jc w:val="both"/>
        <w:rPr>
          <w:rFonts w:ascii="Arial" w:hAnsi="Arial" w:cs="Arial"/>
          <w:sz w:val="24"/>
          <w:szCs w:val="24"/>
        </w:rPr>
      </w:pPr>
      <w:r w:rsidRPr="00E00F13">
        <w:rPr>
          <w:rFonts w:ascii="Arial" w:hAnsi="Arial" w:cs="Arial"/>
          <w:sz w:val="24"/>
          <w:szCs w:val="24"/>
        </w:rPr>
        <w:t xml:space="preserve">Eso </w:t>
      </w:r>
      <w:r w:rsidR="00E27B0D" w:rsidRPr="00E00F13">
        <w:rPr>
          <w:rFonts w:ascii="Arial" w:hAnsi="Arial" w:cs="Arial"/>
          <w:sz w:val="24"/>
          <w:szCs w:val="24"/>
        </w:rPr>
        <w:t xml:space="preserve">puso al MCVT </w:t>
      </w:r>
      <w:r w:rsidRPr="00E00F13">
        <w:rPr>
          <w:rFonts w:ascii="Arial" w:hAnsi="Arial" w:cs="Arial"/>
          <w:sz w:val="24"/>
          <w:szCs w:val="24"/>
        </w:rPr>
        <w:t xml:space="preserve">en un escenario de deconstrucción del concepto de </w:t>
      </w:r>
      <w:r w:rsidR="00E27B0D" w:rsidRPr="00E00F13">
        <w:rPr>
          <w:rFonts w:ascii="Arial" w:hAnsi="Arial" w:cs="Arial"/>
          <w:sz w:val="24"/>
          <w:szCs w:val="24"/>
        </w:rPr>
        <w:t xml:space="preserve">eco barrios de paz, con el cual se había trabajado en otros espacios, en </w:t>
      </w:r>
      <w:r w:rsidRPr="00E00F13">
        <w:rPr>
          <w:rFonts w:ascii="Arial" w:hAnsi="Arial" w:cs="Arial"/>
          <w:sz w:val="24"/>
          <w:szCs w:val="24"/>
        </w:rPr>
        <w:t>ejercicio</w:t>
      </w:r>
      <w:r w:rsidR="00E27B0D" w:rsidRPr="00E00F13">
        <w:rPr>
          <w:rFonts w:ascii="Arial" w:hAnsi="Arial" w:cs="Arial"/>
          <w:sz w:val="24"/>
          <w:szCs w:val="24"/>
        </w:rPr>
        <w:t>s centrados en el diálogo</w:t>
      </w:r>
      <w:r w:rsidRPr="00E00F13">
        <w:rPr>
          <w:rFonts w:ascii="Arial" w:hAnsi="Arial" w:cs="Arial"/>
          <w:sz w:val="24"/>
          <w:szCs w:val="24"/>
        </w:rPr>
        <w:t>, en el reconocimiento d</w:t>
      </w:r>
      <w:r w:rsidR="00E27B0D" w:rsidRPr="00E00F13">
        <w:rPr>
          <w:rFonts w:ascii="Arial" w:hAnsi="Arial" w:cs="Arial"/>
          <w:sz w:val="24"/>
          <w:szCs w:val="24"/>
        </w:rPr>
        <w:t>e</w:t>
      </w:r>
      <w:r w:rsidRPr="00E00F13">
        <w:rPr>
          <w:rFonts w:ascii="Arial" w:hAnsi="Arial" w:cs="Arial"/>
          <w:sz w:val="24"/>
          <w:szCs w:val="24"/>
        </w:rPr>
        <w:t xml:space="preserve"> los valores que el </w:t>
      </w:r>
      <w:r w:rsidR="00E27B0D" w:rsidRPr="00E00F13">
        <w:rPr>
          <w:rFonts w:ascii="Arial" w:hAnsi="Arial" w:cs="Arial"/>
          <w:sz w:val="24"/>
          <w:szCs w:val="24"/>
        </w:rPr>
        <w:t>E</w:t>
      </w:r>
      <w:r w:rsidRPr="00E00F13">
        <w:rPr>
          <w:rFonts w:ascii="Arial" w:hAnsi="Arial" w:cs="Arial"/>
          <w:sz w:val="24"/>
          <w:szCs w:val="24"/>
        </w:rPr>
        <w:t xml:space="preserve">quipo de </w:t>
      </w:r>
      <w:r w:rsidR="00E27B0D" w:rsidRPr="00E00F13">
        <w:rPr>
          <w:rFonts w:ascii="Arial" w:hAnsi="Arial" w:cs="Arial"/>
          <w:sz w:val="24"/>
          <w:szCs w:val="24"/>
        </w:rPr>
        <w:t>E</w:t>
      </w:r>
      <w:r w:rsidRPr="00E00F13">
        <w:rPr>
          <w:rFonts w:ascii="Arial" w:hAnsi="Arial" w:cs="Arial"/>
          <w:sz w:val="24"/>
          <w:szCs w:val="24"/>
        </w:rPr>
        <w:t xml:space="preserve">strategia </w:t>
      </w:r>
      <w:r w:rsidR="00E27B0D" w:rsidRPr="00E00F13">
        <w:rPr>
          <w:rFonts w:ascii="Arial" w:hAnsi="Arial" w:cs="Arial"/>
          <w:sz w:val="24"/>
          <w:szCs w:val="24"/>
        </w:rPr>
        <w:t>S</w:t>
      </w:r>
      <w:r w:rsidRPr="00E00F13">
        <w:rPr>
          <w:rFonts w:ascii="Arial" w:hAnsi="Arial" w:cs="Arial"/>
          <w:sz w:val="24"/>
          <w:szCs w:val="24"/>
        </w:rPr>
        <w:t>ocial</w:t>
      </w:r>
      <w:r w:rsidR="00E27B0D" w:rsidRPr="00E00F13">
        <w:rPr>
          <w:rFonts w:ascii="Arial" w:hAnsi="Arial" w:cs="Arial"/>
          <w:sz w:val="24"/>
          <w:szCs w:val="24"/>
        </w:rPr>
        <w:t xml:space="preserve"> del Despacho del MVCT</w:t>
      </w:r>
      <w:r w:rsidRPr="00E00F13">
        <w:rPr>
          <w:rFonts w:ascii="Arial" w:hAnsi="Arial" w:cs="Arial"/>
          <w:sz w:val="24"/>
          <w:szCs w:val="24"/>
        </w:rPr>
        <w:t xml:space="preserve"> ha venido promoviendo en términos de enfoques, tanto diferenciales como territoriales</w:t>
      </w:r>
      <w:r w:rsidR="00E27B0D" w:rsidRPr="00E00F13">
        <w:rPr>
          <w:rFonts w:ascii="Arial" w:hAnsi="Arial" w:cs="Arial"/>
          <w:sz w:val="24"/>
          <w:szCs w:val="24"/>
        </w:rPr>
        <w:t xml:space="preserve">, aterrizando la </w:t>
      </w:r>
      <w:r w:rsidRPr="00E00F13">
        <w:rPr>
          <w:rFonts w:ascii="Arial" w:hAnsi="Arial" w:cs="Arial"/>
          <w:sz w:val="24"/>
          <w:szCs w:val="24"/>
        </w:rPr>
        <w:t>negociación de</w:t>
      </w:r>
      <w:r w:rsidR="00E27B0D" w:rsidRPr="00E00F13">
        <w:rPr>
          <w:rFonts w:ascii="Arial" w:hAnsi="Arial" w:cs="Arial"/>
          <w:sz w:val="24"/>
          <w:szCs w:val="24"/>
        </w:rPr>
        <w:t>l</w:t>
      </w:r>
      <w:r w:rsidRPr="00E00F13">
        <w:rPr>
          <w:rFonts w:ascii="Arial" w:hAnsi="Arial" w:cs="Arial"/>
          <w:sz w:val="24"/>
          <w:szCs w:val="24"/>
        </w:rPr>
        <w:t xml:space="preserve"> </w:t>
      </w:r>
      <w:r w:rsidR="00E27B0D" w:rsidRPr="00E00F13">
        <w:rPr>
          <w:rFonts w:ascii="Arial" w:hAnsi="Arial" w:cs="Arial"/>
          <w:sz w:val="24"/>
          <w:szCs w:val="24"/>
        </w:rPr>
        <w:t>G</w:t>
      </w:r>
      <w:r w:rsidRPr="00E00F13">
        <w:rPr>
          <w:rFonts w:ascii="Arial" w:hAnsi="Arial" w:cs="Arial"/>
          <w:sz w:val="24"/>
          <w:szCs w:val="24"/>
        </w:rPr>
        <w:t xml:space="preserve">obierno </w:t>
      </w:r>
      <w:r w:rsidR="00E27B0D" w:rsidRPr="00E00F13">
        <w:rPr>
          <w:rFonts w:ascii="Arial" w:hAnsi="Arial" w:cs="Arial"/>
          <w:sz w:val="24"/>
          <w:szCs w:val="24"/>
        </w:rPr>
        <w:t>n</w:t>
      </w:r>
      <w:r w:rsidRPr="00E00F13">
        <w:rPr>
          <w:rFonts w:ascii="Arial" w:hAnsi="Arial" w:cs="Arial"/>
          <w:sz w:val="24"/>
          <w:szCs w:val="24"/>
        </w:rPr>
        <w:t>acional centrada en la disminución de las violencias y que empieza a tener un lugar, un espacio, un tiempo</w:t>
      </w:r>
      <w:r w:rsidR="00E27B0D" w:rsidRPr="00E00F13">
        <w:rPr>
          <w:rFonts w:ascii="Arial" w:hAnsi="Arial" w:cs="Arial"/>
          <w:sz w:val="24"/>
          <w:szCs w:val="24"/>
        </w:rPr>
        <w:t xml:space="preserve"> y</w:t>
      </w:r>
      <w:r w:rsidRPr="00E00F13">
        <w:rPr>
          <w:rFonts w:ascii="Arial" w:hAnsi="Arial" w:cs="Arial"/>
          <w:sz w:val="24"/>
          <w:szCs w:val="24"/>
        </w:rPr>
        <w:t xml:space="preserve"> una cara reconocible para poder priorizar la intervención desde </w:t>
      </w:r>
      <w:r w:rsidR="00E27B0D" w:rsidRPr="00E00F13">
        <w:rPr>
          <w:rFonts w:ascii="Arial" w:hAnsi="Arial" w:cs="Arial"/>
          <w:sz w:val="24"/>
          <w:szCs w:val="24"/>
        </w:rPr>
        <w:t>lo comunitario y lo público</w:t>
      </w:r>
      <w:r w:rsidRPr="00E00F13">
        <w:rPr>
          <w:rFonts w:ascii="Arial" w:hAnsi="Arial" w:cs="Arial"/>
          <w:sz w:val="24"/>
          <w:szCs w:val="24"/>
        </w:rPr>
        <w:t xml:space="preserve">. </w:t>
      </w:r>
      <w:r w:rsidR="00E27B0D" w:rsidRPr="00E00F13">
        <w:rPr>
          <w:rFonts w:ascii="Arial" w:hAnsi="Arial" w:cs="Arial"/>
          <w:sz w:val="24"/>
          <w:szCs w:val="24"/>
        </w:rPr>
        <w:t>Ese es el</w:t>
      </w:r>
      <w:r w:rsidRPr="00E00F13">
        <w:rPr>
          <w:rFonts w:ascii="Arial" w:hAnsi="Arial" w:cs="Arial"/>
          <w:sz w:val="24"/>
          <w:szCs w:val="24"/>
        </w:rPr>
        <w:t xml:space="preserve"> gran desafío a nivel conceptual.</w:t>
      </w:r>
    </w:p>
    <w:p w14:paraId="3FB99C94" w14:textId="77777777" w:rsidR="00970CB5" w:rsidRPr="00E00F13" w:rsidRDefault="00970CB5" w:rsidP="0077302B">
      <w:pPr>
        <w:spacing w:after="0" w:line="360" w:lineRule="auto"/>
        <w:jc w:val="both"/>
        <w:rPr>
          <w:rFonts w:ascii="Arial" w:hAnsi="Arial" w:cs="Arial"/>
          <w:sz w:val="24"/>
          <w:szCs w:val="24"/>
        </w:rPr>
      </w:pPr>
    </w:p>
    <w:p w14:paraId="5CECA6FD" w14:textId="595B5A40" w:rsidR="00A17D9C" w:rsidRPr="00E00F13" w:rsidRDefault="00A17D9C" w:rsidP="00970CB5">
      <w:pPr>
        <w:spacing w:after="0" w:line="360" w:lineRule="auto"/>
        <w:jc w:val="both"/>
        <w:rPr>
          <w:rFonts w:ascii="Arial" w:hAnsi="Arial" w:cs="Arial"/>
          <w:sz w:val="24"/>
          <w:szCs w:val="24"/>
        </w:rPr>
      </w:pPr>
      <w:r w:rsidRPr="00E00F13">
        <w:rPr>
          <w:rFonts w:ascii="Arial" w:hAnsi="Arial" w:cs="Arial"/>
          <w:sz w:val="24"/>
          <w:szCs w:val="24"/>
        </w:rPr>
        <w:t xml:space="preserve">Lo que quiere decir que el Decreto </w:t>
      </w:r>
      <w:r w:rsidR="001E626D" w:rsidRPr="00E00F13">
        <w:rPr>
          <w:rFonts w:ascii="Arial" w:hAnsi="Arial" w:cs="Arial"/>
          <w:sz w:val="24"/>
          <w:szCs w:val="24"/>
        </w:rPr>
        <w:t xml:space="preserve">1470 </w:t>
      </w:r>
      <w:r w:rsidRPr="00E00F13">
        <w:rPr>
          <w:rFonts w:ascii="Arial" w:hAnsi="Arial" w:cs="Arial"/>
          <w:sz w:val="24"/>
          <w:szCs w:val="24"/>
        </w:rPr>
        <w:t>no debe leerse como una estrategia de contención a los grandes problemas que seguro aquejan muchos asentamientos, sobre todo de origen informal, sino tiene que leerse en clave de oportunidad,</w:t>
      </w:r>
      <w:r w:rsidR="001E626D" w:rsidRPr="00E00F13">
        <w:rPr>
          <w:rFonts w:ascii="Arial" w:hAnsi="Arial" w:cs="Arial"/>
          <w:sz w:val="24"/>
          <w:szCs w:val="24"/>
        </w:rPr>
        <w:t xml:space="preserve"> </w:t>
      </w:r>
      <w:r w:rsidRPr="00E00F13">
        <w:rPr>
          <w:rFonts w:ascii="Arial" w:hAnsi="Arial" w:cs="Arial"/>
          <w:sz w:val="24"/>
          <w:szCs w:val="24"/>
        </w:rPr>
        <w:t>como la posibilidad de fortalecer y posicionar agendas públicas en torno a la</w:t>
      </w:r>
      <w:r w:rsidR="00970CB5" w:rsidRPr="00E00F13">
        <w:rPr>
          <w:rFonts w:ascii="Arial" w:hAnsi="Arial" w:cs="Arial"/>
          <w:sz w:val="24"/>
          <w:szCs w:val="24"/>
        </w:rPr>
        <w:t xml:space="preserve"> </w:t>
      </w:r>
      <w:r w:rsidRPr="00E00F13">
        <w:rPr>
          <w:rFonts w:ascii="Arial" w:hAnsi="Arial" w:cs="Arial"/>
          <w:sz w:val="24"/>
          <w:szCs w:val="24"/>
        </w:rPr>
        <w:t>transformación de los territorios, no en el corto plazo, sin</w:t>
      </w:r>
      <w:r w:rsidR="001E626D" w:rsidRPr="00E00F13">
        <w:rPr>
          <w:rFonts w:ascii="Arial" w:hAnsi="Arial" w:cs="Arial"/>
          <w:sz w:val="24"/>
          <w:szCs w:val="24"/>
        </w:rPr>
        <w:t>o e</w:t>
      </w:r>
      <w:r w:rsidRPr="00E00F13">
        <w:rPr>
          <w:rFonts w:ascii="Arial" w:hAnsi="Arial" w:cs="Arial"/>
          <w:sz w:val="24"/>
          <w:szCs w:val="24"/>
        </w:rPr>
        <w:t xml:space="preserve">n el mediano y largo </w:t>
      </w:r>
      <w:r w:rsidRPr="00E00F13">
        <w:rPr>
          <w:rFonts w:ascii="Arial" w:hAnsi="Arial" w:cs="Arial"/>
          <w:sz w:val="24"/>
          <w:szCs w:val="24"/>
        </w:rPr>
        <w:lastRenderedPageBreak/>
        <w:t>plazo</w:t>
      </w:r>
      <w:r w:rsidR="001E626D" w:rsidRPr="00E00F13">
        <w:rPr>
          <w:rFonts w:ascii="Arial" w:hAnsi="Arial" w:cs="Arial"/>
          <w:sz w:val="24"/>
          <w:szCs w:val="24"/>
        </w:rPr>
        <w:t>,</w:t>
      </w:r>
      <w:r w:rsidRPr="00E00F13">
        <w:rPr>
          <w:rFonts w:ascii="Arial" w:hAnsi="Arial" w:cs="Arial"/>
          <w:sz w:val="24"/>
          <w:szCs w:val="24"/>
        </w:rPr>
        <w:t xml:space="preserve"> </w:t>
      </w:r>
      <w:r w:rsidR="001E626D" w:rsidRPr="00E00F13">
        <w:rPr>
          <w:rFonts w:ascii="Arial" w:hAnsi="Arial" w:cs="Arial"/>
          <w:sz w:val="24"/>
          <w:szCs w:val="24"/>
        </w:rPr>
        <w:t>para</w:t>
      </w:r>
      <w:r w:rsidRPr="00E00F13">
        <w:rPr>
          <w:rFonts w:ascii="Arial" w:hAnsi="Arial" w:cs="Arial"/>
          <w:sz w:val="24"/>
          <w:szCs w:val="24"/>
        </w:rPr>
        <w:t xml:space="preserve"> empodera</w:t>
      </w:r>
      <w:r w:rsidR="001E626D" w:rsidRPr="00E00F13">
        <w:rPr>
          <w:rFonts w:ascii="Arial" w:hAnsi="Arial" w:cs="Arial"/>
          <w:sz w:val="24"/>
          <w:szCs w:val="24"/>
        </w:rPr>
        <w:t>r</w:t>
      </w:r>
      <w:r w:rsidRPr="00E00F13">
        <w:rPr>
          <w:rFonts w:ascii="Arial" w:hAnsi="Arial" w:cs="Arial"/>
          <w:sz w:val="24"/>
          <w:szCs w:val="24"/>
        </w:rPr>
        <w:t xml:space="preserve"> a las comunidades en el contexto de la autogestión de sus asentamientos humanos, en lo que la norma y las políticas públicas les ofrezcan.</w:t>
      </w:r>
    </w:p>
    <w:p w14:paraId="0EEF998C" w14:textId="28EA2BB2" w:rsidR="00FB362E" w:rsidRPr="00E00F13" w:rsidRDefault="00FB362E" w:rsidP="0077302B">
      <w:pPr>
        <w:spacing w:after="0" w:line="360" w:lineRule="auto"/>
        <w:jc w:val="both"/>
        <w:rPr>
          <w:rFonts w:ascii="Arial" w:hAnsi="Arial" w:cs="Arial"/>
          <w:sz w:val="24"/>
          <w:szCs w:val="24"/>
        </w:rPr>
      </w:pPr>
    </w:p>
    <w:p w14:paraId="3A9B02BD" w14:textId="46476361" w:rsidR="00083043" w:rsidRPr="00E00F13" w:rsidRDefault="00083043" w:rsidP="0077302B">
      <w:pPr>
        <w:spacing w:after="0" w:line="360" w:lineRule="auto"/>
        <w:jc w:val="both"/>
        <w:rPr>
          <w:rFonts w:ascii="Arial" w:hAnsi="Arial" w:cs="Arial"/>
          <w:sz w:val="24"/>
          <w:szCs w:val="24"/>
        </w:rPr>
      </w:pPr>
      <w:r w:rsidRPr="00E00F13">
        <w:rPr>
          <w:rFonts w:ascii="Arial" w:hAnsi="Arial" w:cs="Arial"/>
          <w:sz w:val="24"/>
          <w:szCs w:val="24"/>
        </w:rPr>
        <w:t xml:space="preserve">Parte de las disputas entre Los Chotas y Los Espartanos tiene que ver con la transformación territorial de las áreas más pobres en Buenaventura: ¿cómo es posible que Colombia tenga uno de los puertos más importantes del país en Buenaventura y haya tal situación de conflictividad y pobreza? </w:t>
      </w:r>
    </w:p>
    <w:p w14:paraId="3BBC6A90" w14:textId="77777777" w:rsidR="00F338F1" w:rsidRPr="00E00F13" w:rsidRDefault="00F338F1" w:rsidP="0077302B">
      <w:pPr>
        <w:spacing w:after="0" w:line="360" w:lineRule="auto"/>
        <w:jc w:val="both"/>
        <w:rPr>
          <w:rFonts w:ascii="Arial" w:hAnsi="Arial" w:cs="Arial"/>
          <w:sz w:val="24"/>
          <w:szCs w:val="24"/>
        </w:rPr>
      </w:pPr>
    </w:p>
    <w:p w14:paraId="4F83104A" w14:textId="49E1E0B6" w:rsidR="00226A94" w:rsidRPr="00E00F13" w:rsidRDefault="00226A94" w:rsidP="00226A94">
      <w:pPr>
        <w:spacing w:after="0" w:line="360" w:lineRule="auto"/>
        <w:jc w:val="both"/>
        <w:rPr>
          <w:rFonts w:ascii="Arial" w:hAnsi="Arial" w:cs="Arial"/>
          <w:sz w:val="24"/>
          <w:szCs w:val="24"/>
        </w:rPr>
      </w:pPr>
      <w:r w:rsidRPr="00E00F13">
        <w:rPr>
          <w:rFonts w:ascii="Arial" w:hAnsi="Arial" w:cs="Arial"/>
          <w:sz w:val="24"/>
          <w:szCs w:val="24"/>
        </w:rPr>
        <w:t xml:space="preserve">La forma en la que se transforma integralmente los territorios da cuenta tanto de la necesidad de garantizar saneamiento, agua e infraestructura, </w:t>
      </w:r>
      <w:r w:rsidR="009F7162" w:rsidRPr="00E00F13">
        <w:rPr>
          <w:rFonts w:ascii="Arial" w:hAnsi="Arial" w:cs="Arial"/>
          <w:sz w:val="24"/>
          <w:szCs w:val="24"/>
        </w:rPr>
        <w:t>como d</w:t>
      </w:r>
      <w:r w:rsidRPr="00E00F13">
        <w:rPr>
          <w:rFonts w:ascii="Arial" w:hAnsi="Arial" w:cs="Arial"/>
          <w:sz w:val="24"/>
          <w:szCs w:val="24"/>
        </w:rPr>
        <w:t xml:space="preserve">el potencial y la productividad para mejorar las condiciones de ingreso. A jóvenes en condición de vulnerabilidad –que son quienes en este momento están dinamizando las disputas armadas– es preciso mejorarles sus condiciones de vida como habitantes </w:t>
      </w:r>
      <w:r w:rsidR="009F7162" w:rsidRPr="00E00F13">
        <w:rPr>
          <w:rFonts w:ascii="Arial" w:hAnsi="Arial" w:cs="Arial"/>
          <w:sz w:val="24"/>
          <w:szCs w:val="24"/>
        </w:rPr>
        <w:t>de los</w:t>
      </w:r>
      <w:r w:rsidRPr="00E00F13">
        <w:rPr>
          <w:rFonts w:ascii="Arial" w:hAnsi="Arial" w:cs="Arial"/>
          <w:sz w:val="24"/>
          <w:szCs w:val="24"/>
        </w:rPr>
        <w:t xml:space="preserve"> barrios. Esta interpretación, tanto </w:t>
      </w:r>
      <w:r w:rsidR="009F7162" w:rsidRPr="00E00F13">
        <w:rPr>
          <w:rFonts w:ascii="Arial" w:hAnsi="Arial" w:cs="Arial"/>
          <w:sz w:val="24"/>
          <w:szCs w:val="24"/>
        </w:rPr>
        <w:t>d</w:t>
      </w:r>
      <w:r w:rsidRPr="00E00F13">
        <w:rPr>
          <w:rFonts w:ascii="Arial" w:hAnsi="Arial" w:cs="Arial"/>
          <w:sz w:val="24"/>
          <w:szCs w:val="24"/>
        </w:rPr>
        <w:t xml:space="preserve">el decreto como del contexto territorial, es la que determina para el MVCT la importancia de precisar de qué hablamos cuando hablamos del barrio de paz </w:t>
      </w:r>
      <w:r w:rsidR="009F7162" w:rsidRPr="00E00F13">
        <w:rPr>
          <w:rFonts w:ascii="Arial" w:hAnsi="Arial" w:cs="Arial"/>
          <w:sz w:val="24"/>
          <w:szCs w:val="24"/>
        </w:rPr>
        <w:t>para</w:t>
      </w:r>
      <w:r w:rsidRPr="00E00F13">
        <w:rPr>
          <w:rFonts w:ascii="Arial" w:hAnsi="Arial" w:cs="Arial"/>
          <w:sz w:val="24"/>
          <w:szCs w:val="24"/>
        </w:rPr>
        <w:t xml:space="preserve"> Buenaventura como un instrumento de política pública muy potente para el desarrollo de los territorios, sus comunidades y de la paz, más allá de verse como una herramienta de contención.</w:t>
      </w:r>
    </w:p>
    <w:p w14:paraId="355E5F68" w14:textId="063CCFF7" w:rsidR="00226A94" w:rsidRPr="00E00F13" w:rsidRDefault="00226A94" w:rsidP="00226A94">
      <w:pPr>
        <w:spacing w:after="0" w:line="360" w:lineRule="auto"/>
        <w:jc w:val="both"/>
        <w:rPr>
          <w:rFonts w:ascii="Arial" w:hAnsi="Arial" w:cs="Arial"/>
          <w:sz w:val="24"/>
          <w:szCs w:val="24"/>
        </w:rPr>
      </w:pPr>
    </w:p>
    <w:p w14:paraId="06B364DD" w14:textId="071A826A" w:rsidR="00FB362E" w:rsidRPr="00E00F13" w:rsidRDefault="00A03426" w:rsidP="0077302B">
      <w:pPr>
        <w:spacing w:after="0" w:line="360" w:lineRule="auto"/>
        <w:jc w:val="both"/>
        <w:rPr>
          <w:rFonts w:ascii="Arial" w:hAnsi="Arial" w:cs="Arial"/>
          <w:sz w:val="24"/>
          <w:szCs w:val="24"/>
        </w:rPr>
      </w:pPr>
      <w:r w:rsidRPr="00E00F13">
        <w:rPr>
          <w:rFonts w:ascii="Arial" w:hAnsi="Arial" w:cs="Arial"/>
          <w:sz w:val="24"/>
          <w:szCs w:val="24"/>
        </w:rPr>
        <w:t>Este programa piloto en Buenaventura ha sido una oportunidad invaluable para generar estas y otras reflexiones y, a partir de allí, situar la experiencia hacia donde debe ir.</w:t>
      </w:r>
    </w:p>
    <w:p w14:paraId="75893B55" w14:textId="77777777" w:rsidR="009F7162" w:rsidRPr="00E00F13" w:rsidRDefault="009F7162" w:rsidP="009F7162">
      <w:pPr>
        <w:spacing w:after="0" w:line="360" w:lineRule="auto"/>
        <w:jc w:val="both"/>
        <w:rPr>
          <w:rFonts w:ascii="Arial" w:hAnsi="Arial" w:cs="Arial"/>
          <w:sz w:val="24"/>
          <w:szCs w:val="24"/>
        </w:rPr>
      </w:pPr>
    </w:p>
    <w:p w14:paraId="4BD2F88C" w14:textId="0899175F" w:rsidR="009F7162" w:rsidRPr="00E00F13" w:rsidRDefault="009F7162" w:rsidP="009F7162">
      <w:pPr>
        <w:spacing w:after="0" w:line="360" w:lineRule="auto"/>
        <w:jc w:val="both"/>
        <w:rPr>
          <w:rFonts w:ascii="Arial" w:hAnsi="Arial" w:cs="Arial"/>
          <w:sz w:val="24"/>
          <w:szCs w:val="24"/>
        </w:rPr>
      </w:pPr>
      <w:r w:rsidRPr="00E00F13">
        <w:rPr>
          <w:rFonts w:ascii="Arial" w:hAnsi="Arial" w:cs="Arial"/>
          <w:sz w:val="24"/>
          <w:szCs w:val="24"/>
        </w:rPr>
        <w:t xml:space="preserve">Por otro lado, como primer paso para el inicio del Eco barrio de Paz para Buenaventura es importante reactivar un espacio para los servicios públicos. La red de conectividad que nos garantice esa sostenibilidad no se puede ejecutar el proyecto. Se necesitaron corredores por donde caminar y transitar, redes comunitarias, espacios seguros para niños, el enfoque del cuidado, y viviendas donde no haya exposición a violencia intrafamiliar. La gente debe mentir sobre su lugar de vivienda para que les puedan dar trabajo. Entonces, lograr el conjunto va </w:t>
      </w:r>
      <w:r w:rsidRPr="00E00F13">
        <w:rPr>
          <w:rFonts w:ascii="Arial" w:hAnsi="Arial" w:cs="Arial"/>
          <w:sz w:val="24"/>
          <w:szCs w:val="24"/>
        </w:rPr>
        <w:lastRenderedPageBreak/>
        <w:t xml:space="preserve">más allá de las viviendas en sí mismas. El hábitat es, de manera evidente, lo que se necesita. </w:t>
      </w:r>
    </w:p>
    <w:p w14:paraId="7795EE92" w14:textId="77777777" w:rsidR="009F7162" w:rsidRPr="00E00F13" w:rsidRDefault="009F7162" w:rsidP="009F7162">
      <w:pPr>
        <w:spacing w:after="0" w:line="360" w:lineRule="auto"/>
        <w:jc w:val="both"/>
        <w:rPr>
          <w:rFonts w:ascii="Arial" w:hAnsi="Arial" w:cs="Arial"/>
          <w:sz w:val="24"/>
          <w:szCs w:val="24"/>
        </w:rPr>
      </w:pPr>
    </w:p>
    <w:p w14:paraId="4DEE3D77" w14:textId="77777777" w:rsidR="009F7162" w:rsidRPr="00E00F13" w:rsidRDefault="009F7162" w:rsidP="009F7162">
      <w:pPr>
        <w:spacing w:after="0" w:line="360" w:lineRule="auto"/>
        <w:jc w:val="both"/>
        <w:rPr>
          <w:rFonts w:ascii="Arial" w:hAnsi="Arial" w:cs="Arial"/>
          <w:sz w:val="24"/>
          <w:szCs w:val="24"/>
        </w:rPr>
      </w:pPr>
      <w:r w:rsidRPr="00E00F13">
        <w:rPr>
          <w:rFonts w:ascii="Arial" w:hAnsi="Arial" w:cs="Arial"/>
          <w:sz w:val="24"/>
          <w:szCs w:val="24"/>
        </w:rPr>
        <w:t xml:space="preserve">En términos metodológicos, esa situación interinstitucional ya tiene recorridos de autodiagnósticos como metodologías de priorización. Ir con instrumentos para saber cuál de todos ellos, es lo más importante. No obstante, a veces, hacer encuestas donde hay fronteras invisibles no es propicio cuando hay estigmatización. Por ello una caja de herramientas es fundamental, para aplicar solo la que corresponda con cada realidad. </w:t>
      </w:r>
    </w:p>
    <w:p w14:paraId="47B8E3C2" w14:textId="77777777" w:rsidR="009F7162" w:rsidRPr="00E00F13" w:rsidRDefault="009F7162" w:rsidP="009F7162">
      <w:pPr>
        <w:spacing w:after="0" w:line="360" w:lineRule="auto"/>
        <w:jc w:val="both"/>
        <w:rPr>
          <w:rFonts w:ascii="Arial" w:hAnsi="Arial" w:cs="Arial"/>
          <w:sz w:val="24"/>
          <w:szCs w:val="24"/>
        </w:rPr>
      </w:pPr>
    </w:p>
    <w:p w14:paraId="1B06680A" w14:textId="77777777" w:rsidR="009F7162" w:rsidRPr="00E00F13" w:rsidRDefault="009F7162" w:rsidP="009F7162">
      <w:pPr>
        <w:spacing w:after="0" w:line="360" w:lineRule="auto"/>
        <w:jc w:val="both"/>
        <w:rPr>
          <w:rFonts w:ascii="Arial" w:hAnsi="Arial" w:cs="Arial"/>
          <w:sz w:val="24"/>
          <w:szCs w:val="24"/>
        </w:rPr>
      </w:pPr>
      <w:r w:rsidRPr="00E00F13">
        <w:rPr>
          <w:rFonts w:ascii="Arial" w:hAnsi="Arial" w:cs="Arial"/>
          <w:sz w:val="24"/>
          <w:szCs w:val="24"/>
        </w:rPr>
        <w:t>Lo primero es entender qué productos son dinamizadores para generar resultados. En cada región y experiencia es diferente. Por eso es tan necesario contar con una caja de herramientas con diversas metodologías, y usar, de manera flexible, la que corresponda con el territorio y los actores.</w:t>
      </w:r>
    </w:p>
    <w:p w14:paraId="5FD203F3" w14:textId="77777777" w:rsidR="009F7162" w:rsidRPr="00E00F13" w:rsidRDefault="009F7162" w:rsidP="009F7162">
      <w:pPr>
        <w:spacing w:after="0" w:line="360" w:lineRule="auto"/>
        <w:jc w:val="both"/>
        <w:rPr>
          <w:rFonts w:ascii="Arial" w:hAnsi="Arial" w:cs="Arial"/>
          <w:sz w:val="24"/>
          <w:szCs w:val="24"/>
        </w:rPr>
      </w:pPr>
    </w:p>
    <w:p w14:paraId="16EE6396" w14:textId="77777777" w:rsidR="009F7162" w:rsidRPr="00E00F13" w:rsidRDefault="009F7162" w:rsidP="009F7162">
      <w:pPr>
        <w:spacing w:after="0" w:line="360" w:lineRule="auto"/>
        <w:jc w:val="both"/>
        <w:rPr>
          <w:rFonts w:ascii="Arial" w:hAnsi="Arial" w:cs="Arial"/>
          <w:sz w:val="24"/>
          <w:szCs w:val="24"/>
        </w:rPr>
      </w:pPr>
      <w:r w:rsidRPr="00E00F13">
        <w:rPr>
          <w:rFonts w:ascii="Arial" w:hAnsi="Arial" w:cs="Arial"/>
          <w:sz w:val="24"/>
          <w:szCs w:val="24"/>
        </w:rPr>
        <w:t xml:space="preserve">En el caso de Buenaventura el punto de partida fue la construcción de confianza.  Como aprendizaje, a partir de preguntas orientadoras se establecieron mesas de trabajo, y hubo acuerdos municipales que no eran propicios, pues, según la lectura política actual y de confianza, no era viable solicitar firmas a funcionarios como la alcaldesa, no existía una construcción de confianza madura que permitiera avanzar en un Plan de Gestión del Hábitat. El aprendizaje fue que no se necesitaba su firma para avanzar, sino su voluntad política. </w:t>
      </w:r>
    </w:p>
    <w:p w14:paraId="526F30F5" w14:textId="77777777" w:rsidR="009F7162" w:rsidRPr="00E00F13" w:rsidRDefault="009F7162" w:rsidP="009F7162">
      <w:pPr>
        <w:spacing w:after="0" w:line="360" w:lineRule="auto"/>
        <w:jc w:val="both"/>
        <w:rPr>
          <w:rFonts w:ascii="Arial" w:hAnsi="Arial" w:cs="Arial"/>
          <w:sz w:val="24"/>
          <w:szCs w:val="24"/>
        </w:rPr>
      </w:pPr>
    </w:p>
    <w:p w14:paraId="0EB5FB14" w14:textId="77777777" w:rsidR="009F7162" w:rsidRPr="00E00F13" w:rsidRDefault="009F7162" w:rsidP="009F7162">
      <w:pPr>
        <w:spacing w:after="0" w:line="360" w:lineRule="auto"/>
        <w:jc w:val="both"/>
        <w:rPr>
          <w:rFonts w:ascii="Arial" w:hAnsi="Arial" w:cs="Arial"/>
          <w:sz w:val="24"/>
          <w:szCs w:val="24"/>
        </w:rPr>
      </w:pPr>
      <w:r w:rsidRPr="00E00F13">
        <w:rPr>
          <w:rFonts w:ascii="Arial" w:hAnsi="Arial" w:cs="Arial"/>
          <w:sz w:val="24"/>
          <w:szCs w:val="24"/>
        </w:rPr>
        <w:t>El paso siguiente en esta experiencia ha sido construir la Caja de Herramientas metodológicas, con un propósito de uso flexible según corresponda con la comunidad y el territorio.</w:t>
      </w:r>
    </w:p>
    <w:p w14:paraId="766DDA18" w14:textId="77777777" w:rsidR="009F7162" w:rsidRPr="00E00F13" w:rsidRDefault="009F7162" w:rsidP="009F7162">
      <w:pPr>
        <w:spacing w:after="0" w:line="360" w:lineRule="auto"/>
        <w:jc w:val="both"/>
        <w:rPr>
          <w:rFonts w:ascii="Arial" w:hAnsi="Arial" w:cs="Arial"/>
          <w:sz w:val="24"/>
          <w:szCs w:val="24"/>
        </w:rPr>
      </w:pPr>
    </w:p>
    <w:p w14:paraId="331C9FDE" w14:textId="6F54D4E2" w:rsidR="009F7162" w:rsidRPr="00E00F13" w:rsidRDefault="009F7162" w:rsidP="009F7162">
      <w:pPr>
        <w:spacing w:after="0" w:line="360" w:lineRule="auto"/>
        <w:jc w:val="both"/>
        <w:rPr>
          <w:rFonts w:ascii="Arial" w:hAnsi="Arial" w:cs="Arial"/>
          <w:sz w:val="24"/>
          <w:szCs w:val="24"/>
        </w:rPr>
      </w:pPr>
      <w:r w:rsidRPr="00E00F13">
        <w:rPr>
          <w:rFonts w:ascii="Arial" w:hAnsi="Arial" w:cs="Arial"/>
          <w:sz w:val="24"/>
          <w:szCs w:val="24"/>
        </w:rPr>
        <w:t>Eco Barrio de Paz para Buenaventura es un esfuerzo tanto de lo comunitario como de lo institucional.</w:t>
      </w:r>
    </w:p>
    <w:p w14:paraId="78B9ED16" w14:textId="4D13557E" w:rsidR="00836DDA" w:rsidRPr="00E00F13" w:rsidRDefault="00E03F6C" w:rsidP="00C239AD">
      <w:pPr>
        <w:spacing w:after="0" w:line="360" w:lineRule="auto"/>
        <w:jc w:val="both"/>
        <w:rPr>
          <w:rFonts w:ascii="Arial" w:hAnsi="Arial" w:cs="Arial"/>
          <w:sz w:val="24"/>
          <w:szCs w:val="24"/>
        </w:rPr>
      </w:pPr>
      <w:r w:rsidRPr="00E00F13">
        <w:rPr>
          <w:rFonts w:ascii="Arial" w:hAnsi="Arial" w:cs="Arial"/>
          <w:sz w:val="24"/>
          <w:szCs w:val="24"/>
        </w:rPr>
        <w:br/>
      </w:r>
      <w:r w:rsidR="0077302B" w:rsidRPr="00E00F13">
        <w:rPr>
          <w:rFonts w:ascii="Arial" w:hAnsi="Arial" w:cs="Arial"/>
          <w:sz w:val="24"/>
          <w:szCs w:val="24"/>
        </w:rPr>
        <w:t xml:space="preserve">Este enfoque de la transformación territorial coincide plenamente con las apuestas </w:t>
      </w:r>
      <w:r w:rsidR="0077302B" w:rsidRPr="00E00F13">
        <w:rPr>
          <w:rFonts w:ascii="Arial" w:hAnsi="Arial" w:cs="Arial"/>
          <w:sz w:val="24"/>
          <w:szCs w:val="24"/>
        </w:rPr>
        <w:lastRenderedPageBreak/>
        <w:t xml:space="preserve">del Plan Nacional de Desarrollo y, </w:t>
      </w:r>
      <w:r w:rsidR="006B30D3" w:rsidRPr="00E00F13">
        <w:rPr>
          <w:rFonts w:ascii="Arial" w:hAnsi="Arial" w:cs="Arial"/>
          <w:sz w:val="24"/>
          <w:szCs w:val="24"/>
        </w:rPr>
        <w:t>en particular, con</w:t>
      </w:r>
      <w:r w:rsidR="0077302B" w:rsidRPr="00E00F13">
        <w:rPr>
          <w:rFonts w:ascii="Arial" w:hAnsi="Arial" w:cs="Arial"/>
          <w:sz w:val="24"/>
          <w:szCs w:val="24"/>
        </w:rPr>
        <w:t xml:space="preserve"> los desafíos </w:t>
      </w:r>
      <w:r w:rsidR="006B30D3" w:rsidRPr="00E00F13">
        <w:rPr>
          <w:rFonts w:ascii="Arial" w:hAnsi="Arial" w:cs="Arial"/>
          <w:sz w:val="24"/>
          <w:szCs w:val="24"/>
        </w:rPr>
        <w:t>que tiene el MVCT de</w:t>
      </w:r>
      <w:r w:rsidR="0077302B" w:rsidRPr="00E00F13">
        <w:rPr>
          <w:rFonts w:ascii="Arial" w:hAnsi="Arial" w:cs="Arial"/>
          <w:sz w:val="24"/>
          <w:szCs w:val="24"/>
        </w:rPr>
        <w:t xml:space="preserve"> orientar las inversiones. </w:t>
      </w:r>
    </w:p>
    <w:p w14:paraId="59F225E3" w14:textId="597551BA" w:rsidR="00836DDA" w:rsidRPr="00E00F13" w:rsidRDefault="00836DDA" w:rsidP="004C6C1D">
      <w:pPr>
        <w:spacing w:after="0" w:line="360" w:lineRule="auto"/>
        <w:jc w:val="both"/>
        <w:rPr>
          <w:rFonts w:ascii="Arial" w:hAnsi="Arial" w:cs="Arial"/>
          <w:sz w:val="24"/>
          <w:szCs w:val="24"/>
        </w:rPr>
      </w:pPr>
    </w:p>
    <w:p w14:paraId="2E3E574C" w14:textId="233C6A9E" w:rsidR="0047459D" w:rsidRPr="00E00F13" w:rsidRDefault="00F5469C" w:rsidP="00B76F4F">
      <w:pPr>
        <w:pStyle w:val="Ttulo3"/>
        <w:rPr>
          <w:color w:val="auto"/>
        </w:rPr>
      </w:pPr>
      <w:r w:rsidRPr="00E00F13">
        <w:rPr>
          <w:color w:val="auto"/>
        </w:rPr>
        <w:tab/>
      </w:r>
      <w:bookmarkStart w:id="115" w:name="_Toc234242840"/>
      <w:r w:rsidR="0047459D" w:rsidRPr="00E00F13">
        <w:rPr>
          <w:color w:val="auto"/>
        </w:rPr>
        <w:t>Retos</w:t>
      </w:r>
      <w:bookmarkEnd w:id="115"/>
    </w:p>
    <w:p w14:paraId="28A7D381" w14:textId="3197AC7E" w:rsidR="0047459D" w:rsidRPr="00E00F13" w:rsidRDefault="0047459D" w:rsidP="0047459D">
      <w:pPr>
        <w:spacing w:after="0" w:line="360" w:lineRule="auto"/>
        <w:jc w:val="both"/>
        <w:rPr>
          <w:rFonts w:ascii="Arial" w:hAnsi="Arial" w:cs="Arial"/>
          <w:sz w:val="24"/>
          <w:szCs w:val="24"/>
        </w:rPr>
      </w:pPr>
      <w:r w:rsidRPr="00E00F13">
        <w:rPr>
          <w:rFonts w:ascii="Arial" w:hAnsi="Arial" w:cs="Arial"/>
          <w:sz w:val="24"/>
          <w:szCs w:val="24"/>
        </w:rPr>
        <w:t>Uno de los principales retos del proceso de Buenaventura es la conceptualización de lo que para la gente local significa barrio de paz. Ciertamente este programa está establecido en el Decreto 1470, sin embargo, es necesario reglamentar, entre otros asuntos, de qué hablamos cuando hablamos de barrios y veredas de paz y de qué hablamos cuando hablamos de paz. La paz tiene un significado diferente para cada actor y para cada territorio. Una conceptualización sobre barrios y veredas de paz no puede darse de forma homogénea, sino que debe ser flexible y particular. Flexible porque recogería aquellos elementos significantes para las personas en cada territorio, y particular porque en cada lugar se vislumbran variantes, contenidos y objetivos distintos sobre la paz. En términos muy generales se puede conceptualizar el Barrio de Paz en Buenaventura como una estrategia de transformación territorial</w:t>
      </w:r>
      <w:r w:rsidR="00752D44" w:rsidRPr="00E00F13">
        <w:rPr>
          <w:rFonts w:ascii="Arial" w:hAnsi="Arial" w:cs="Arial"/>
          <w:sz w:val="24"/>
          <w:szCs w:val="24"/>
        </w:rPr>
        <w:t xml:space="preserve"> </w:t>
      </w:r>
      <w:r w:rsidR="00B70C1F" w:rsidRPr="00E00F13">
        <w:rPr>
          <w:rFonts w:ascii="Arial" w:hAnsi="Arial" w:cs="Arial"/>
          <w:sz w:val="24"/>
          <w:szCs w:val="24"/>
        </w:rPr>
        <w:t>con énfasis</w:t>
      </w:r>
      <w:r w:rsidR="00752D44" w:rsidRPr="00E00F13">
        <w:rPr>
          <w:rFonts w:ascii="Arial" w:hAnsi="Arial" w:cs="Arial"/>
          <w:sz w:val="24"/>
          <w:szCs w:val="24"/>
        </w:rPr>
        <w:t xml:space="preserve"> en el desarrollo</w:t>
      </w:r>
      <w:r w:rsidRPr="00E00F13">
        <w:rPr>
          <w:rFonts w:ascii="Arial" w:hAnsi="Arial" w:cs="Arial"/>
          <w:sz w:val="24"/>
          <w:szCs w:val="24"/>
        </w:rPr>
        <w:t xml:space="preserve"> </w:t>
      </w:r>
      <w:r w:rsidR="00752D44" w:rsidRPr="00E00F13">
        <w:rPr>
          <w:rFonts w:ascii="Arial" w:hAnsi="Arial" w:cs="Arial"/>
          <w:sz w:val="24"/>
          <w:szCs w:val="24"/>
        </w:rPr>
        <w:t>y fortalecimiento de</w:t>
      </w:r>
      <w:r w:rsidRPr="00E00F13">
        <w:rPr>
          <w:rFonts w:ascii="Arial" w:hAnsi="Arial" w:cs="Arial"/>
          <w:sz w:val="24"/>
          <w:szCs w:val="24"/>
        </w:rPr>
        <w:t xml:space="preserve"> escenarios para la construcción de gobernanza de actores comunitarios y sociales y de un hábitat integral que determina un entorno de respeto con la naturaleza y entre los actores locales, digno y de calidad para la vida en el territorio. </w:t>
      </w:r>
    </w:p>
    <w:p w14:paraId="6DF1F9C3" w14:textId="77777777" w:rsidR="00476B87" w:rsidRPr="00E00F13" w:rsidRDefault="00476B87" w:rsidP="00E372F2">
      <w:pPr>
        <w:spacing w:after="0" w:line="360" w:lineRule="auto"/>
        <w:ind w:firstLine="708"/>
        <w:jc w:val="both"/>
        <w:rPr>
          <w:rFonts w:ascii="Arial" w:hAnsi="Arial" w:cs="Arial"/>
          <w:sz w:val="24"/>
          <w:szCs w:val="24"/>
        </w:rPr>
      </w:pPr>
      <w:bookmarkStart w:id="116" w:name="_Toc213341861"/>
    </w:p>
    <w:p w14:paraId="7B798C0C" w14:textId="34FE26A0" w:rsidR="00BF76DA" w:rsidRPr="00E00F13" w:rsidRDefault="00476B87" w:rsidP="00AC24D1">
      <w:pPr>
        <w:pStyle w:val="Ttulo3"/>
        <w:rPr>
          <w:color w:val="auto"/>
        </w:rPr>
      </w:pPr>
      <w:bookmarkStart w:id="117" w:name="_Toc234242841"/>
      <w:r w:rsidRPr="00E00F13">
        <w:rPr>
          <w:color w:val="auto"/>
        </w:rPr>
        <w:t>2.</w:t>
      </w:r>
      <w:r w:rsidR="003A01CD" w:rsidRPr="00E00F13">
        <w:rPr>
          <w:color w:val="auto"/>
        </w:rPr>
        <w:t>7</w:t>
      </w:r>
      <w:r w:rsidRPr="00E00F13">
        <w:rPr>
          <w:color w:val="auto"/>
        </w:rPr>
        <w:t xml:space="preserve">.2. </w:t>
      </w:r>
      <w:r w:rsidR="00E372F2" w:rsidRPr="00E00F13">
        <w:rPr>
          <w:color w:val="auto"/>
        </w:rPr>
        <w:t>Timbiquí como autogestión</w:t>
      </w:r>
      <w:bookmarkEnd w:id="116"/>
      <w:bookmarkEnd w:id="117"/>
      <w:r w:rsidR="00E372F2" w:rsidRPr="00E00F13">
        <w:rPr>
          <w:color w:val="auto"/>
        </w:rPr>
        <w:t xml:space="preserve">  </w:t>
      </w:r>
    </w:p>
    <w:p w14:paraId="5A4A9072" w14:textId="1C9EA75E" w:rsidR="00424DDD" w:rsidRPr="00E00F13" w:rsidRDefault="004605F9" w:rsidP="004605F9">
      <w:pPr>
        <w:spacing w:after="0" w:line="360" w:lineRule="auto"/>
        <w:jc w:val="both"/>
        <w:rPr>
          <w:rFonts w:ascii="Arial" w:hAnsi="Arial" w:cs="Arial"/>
          <w:sz w:val="24"/>
          <w:szCs w:val="24"/>
        </w:rPr>
      </w:pPr>
      <w:r w:rsidRPr="00E00F13">
        <w:rPr>
          <w:rFonts w:ascii="Arial" w:hAnsi="Arial" w:cs="Arial"/>
          <w:sz w:val="24"/>
          <w:szCs w:val="24"/>
        </w:rPr>
        <w:t xml:space="preserve">Timbiquí es un municipio ubicado en la Costa Pacífica, en el departamento de Cauca. Allí, la experiencia del MVCT se refiere a </w:t>
      </w:r>
      <w:r w:rsidR="006014BA" w:rsidRPr="00E00F13">
        <w:rPr>
          <w:rFonts w:ascii="Arial" w:hAnsi="Arial" w:cs="Arial"/>
          <w:sz w:val="24"/>
          <w:szCs w:val="24"/>
        </w:rPr>
        <w:t>75 viviendas nueva rurales.</w:t>
      </w:r>
      <w:r w:rsidRPr="00E00F13">
        <w:rPr>
          <w:rFonts w:ascii="Arial" w:hAnsi="Arial" w:cs="Arial"/>
          <w:sz w:val="24"/>
          <w:szCs w:val="24"/>
        </w:rPr>
        <w:t xml:space="preserve"> Estas viviendas aún no se han entregado, no obstante, se destaca la experiencia con el </w:t>
      </w:r>
      <w:r w:rsidR="006014BA" w:rsidRPr="00E00F13">
        <w:rPr>
          <w:rFonts w:ascii="Arial" w:hAnsi="Arial" w:cs="Arial"/>
          <w:sz w:val="24"/>
          <w:szCs w:val="24"/>
        </w:rPr>
        <w:t xml:space="preserve">Consejo Regional </w:t>
      </w:r>
      <w:r w:rsidRPr="00E00F13">
        <w:rPr>
          <w:rFonts w:ascii="Arial" w:hAnsi="Arial" w:cs="Arial"/>
          <w:sz w:val="24"/>
          <w:szCs w:val="24"/>
        </w:rPr>
        <w:t>I</w:t>
      </w:r>
      <w:r w:rsidR="006014BA" w:rsidRPr="00E00F13">
        <w:rPr>
          <w:rFonts w:ascii="Arial" w:hAnsi="Arial" w:cs="Arial"/>
          <w:sz w:val="24"/>
          <w:szCs w:val="24"/>
        </w:rPr>
        <w:t xml:space="preserve">ndígena del </w:t>
      </w:r>
      <w:r w:rsidRPr="00E00F13">
        <w:rPr>
          <w:rFonts w:ascii="Arial" w:hAnsi="Arial" w:cs="Arial"/>
          <w:sz w:val="24"/>
          <w:szCs w:val="24"/>
        </w:rPr>
        <w:t>C</w:t>
      </w:r>
      <w:r w:rsidR="006014BA" w:rsidRPr="00E00F13">
        <w:rPr>
          <w:rFonts w:ascii="Arial" w:hAnsi="Arial" w:cs="Arial"/>
          <w:sz w:val="24"/>
          <w:szCs w:val="24"/>
        </w:rPr>
        <w:t>auca</w:t>
      </w:r>
      <w:r w:rsidR="0040758D" w:rsidRPr="00E00F13">
        <w:rPr>
          <w:rFonts w:ascii="Arial" w:hAnsi="Arial" w:cs="Arial"/>
          <w:sz w:val="24"/>
          <w:szCs w:val="24"/>
        </w:rPr>
        <w:t xml:space="preserve"> y</w:t>
      </w:r>
      <w:r w:rsidR="00F370E3" w:rsidRPr="00E00F13">
        <w:rPr>
          <w:rFonts w:ascii="Arial" w:hAnsi="Arial" w:cs="Arial"/>
          <w:sz w:val="24"/>
          <w:szCs w:val="24"/>
        </w:rPr>
        <w:t>,</w:t>
      </w:r>
      <w:r w:rsidR="0040758D" w:rsidRPr="00E00F13">
        <w:rPr>
          <w:rFonts w:ascii="Arial" w:hAnsi="Arial" w:cs="Arial"/>
          <w:sz w:val="24"/>
          <w:szCs w:val="24"/>
        </w:rPr>
        <w:t xml:space="preserve"> en especial, </w:t>
      </w:r>
      <w:r w:rsidR="00F370E3" w:rsidRPr="00E00F13">
        <w:rPr>
          <w:rFonts w:ascii="Arial" w:hAnsi="Arial" w:cs="Arial"/>
          <w:sz w:val="24"/>
          <w:szCs w:val="24"/>
        </w:rPr>
        <w:t xml:space="preserve">como proceso de autogestión </w:t>
      </w:r>
      <w:r w:rsidR="0040758D" w:rsidRPr="00E00F13">
        <w:rPr>
          <w:rFonts w:ascii="Arial" w:hAnsi="Arial" w:cs="Arial"/>
          <w:sz w:val="24"/>
          <w:szCs w:val="24"/>
        </w:rPr>
        <w:t>por la participación comunitaria</w:t>
      </w:r>
      <w:r w:rsidR="00771C28" w:rsidRPr="00E00F13">
        <w:rPr>
          <w:rFonts w:ascii="Arial" w:hAnsi="Arial" w:cs="Arial"/>
          <w:sz w:val="24"/>
          <w:szCs w:val="24"/>
        </w:rPr>
        <w:t xml:space="preserve"> en todo el proceso.</w:t>
      </w:r>
    </w:p>
    <w:p w14:paraId="0D878F87" w14:textId="2499E15F" w:rsidR="00771C28" w:rsidRPr="00E00F13" w:rsidRDefault="00771C28" w:rsidP="004605F9">
      <w:pPr>
        <w:spacing w:after="0" w:line="360" w:lineRule="auto"/>
        <w:jc w:val="both"/>
        <w:rPr>
          <w:rFonts w:ascii="Arial" w:hAnsi="Arial" w:cs="Arial"/>
          <w:sz w:val="24"/>
          <w:szCs w:val="24"/>
        </w:rPr>
      </w:pPr>
    </w:p>
    <w:p w14:paraId="30F1C1F6" w14:textId="0FA7DB0C" w:rsidR="00983D3F" w:rsidRPr="00E00F13" w:rsidRDefault="00771C28" w:rsidP="004605F9">
      <w:pPr>
        <w:spacing w:after="0" w:line="360" w:lineRule="auto"/>
        <w:jc w:val="both"/>
        <w:rPr>
          <w:rFonts w:ascii="Arial" w:hAnsi="Arial" w:cs="Arial"/>
          <w:sz w:val="24"/>
          <w:szCs w:val="24"/>
        </w:rPr>
      </w:pPr>
      <w:r w:rsidRPr="00E00F13">
        <w:rPr>
          <w:rFonts w:ascii="Arial" w:hAnsi="Arial" w:cs="Arial"/>
          <w:sz w:val="24"/>
          <w:szCs w:val="24"/>
        </w:rPr>
        <w:t>Nace con la idea de trascender la obtención de la vivienda generada por el mercado, privilegiando no solo el énfasis en el mercado</w:t>
      </w:r>
      <w:r w:rsidR="00CB529A" w:rsidRPr="00E00F13">
        <w:rPr>
          <w:rFonts w:ascii="Arial" w:hAnsi="Arial" w:cs="Arial"/>
          <w:sz w:val="24"/>
          <w:szCs w:val="24"/>
        </w:rPr>
        <w:t>,</w:t>
      </w:r>
      <w:r w:rsidRPr="00E00F13">
        <w:rPr>
          <w:rFonts w:ascii="Arial" w:hAnsi="Arial" w:cs="Arial"/>
          <w:sz w:val="24"/>
          <w:szCs w:val="24"/>
        </w:rPr>
        <w:t xml:space="preserve"> sino en ciertos </w:t>
      </w:r>
      <w:proofErr w:type="spellStart"/>
      <w:r w:rsidR="000A10AF" w:rsidRPr="00E00F13">
        <w:rPr>
          <w:rFonts w:ascii="Arial" w:hAnsi="Arial" w:cs="Arial"/>
          <w:sz w:val="24"/>
          <w:szCs w:val="24"/>
        </w:rPr>
        <w:t>actores</w:t>
      </w:r>
      <w:proofErr w:type="spellEnd"/>
      <w:r w:rsidR="000A10AF" w:rsidRPr="00E00F13">
        <w:rPr>
          <w:rFonts w:ascii="Arial" w:hAnsi="Arial" w:cs="Arial"/>
          <w:sz w:val="24"/>
          <w:szCs w:val="24"/>
        </w:rPr>
        <w:t xml:space="preserve"> </w:t>
      </w:r>
      <w:r w:rsidRPr="00E00F13">
        <w:rPr>
          <w:rFonts w:ascii="Arial" w:hAnsi="Arial" w:cs="Arial"/>
          <w:sz w:val="24"/>
          <w:szCs w:val="24"/>
        </w:rPr>
        <w:t>ajenos a lo</w:t>
      </w:r>
      <w:r w:rsidR="00C51924" w:rsidRPr="00E00F13">
        <w:rPr>
          <w:rFonts w:ascii="Arial" w:hAnsi="Arial" w:cs="Arial"/>
          <w:sz w:val="24"/>
          <w:szCs w:val="24"/>
        </w:rPr>
        <w:t>s procesos</w:t>
      </w:r>
      <w:r w:rsidRPr="00E00F13">
        <w:rPr>
          <w:rFonts w:ascii="Arial" w:hAnsi="Arial" w:cs="Arial"/>
          <w:sz w:val="24"/>
          <w:szCs w:val="24"/>
        </w:rPr>
        <w:t xml:space="preserve"> comunitario</w:t>
      </w:r>
      <w:r w:rsidR="00C51924" w:rsidRPr="00E00F13">
        <w:rPr>
          <w:rFonts w:ascii="Arial" w:hAnsi="Arial" w:cs="Arial"/>
          <w:sz w:val="24"/>
          <w:szCs w:val="24"/>
        </w:rPr>
        <w:t>s</w:t>
      </w:r>
      <w:r w:rsidRPr="00E00F13">
        <w:rPr>
          <w:rFonts w:ascii="Arial" w:hAnsi="Arial" w:cs="Arial"/>
          <w:sz w:val="24"/>
          <w:szCs w:val="24"/>
        </w:rPr>
        <w:t>.</w:t>
      </w:r>
      <w:r w:rsidR="00CB529A" w:rsidRPr="00E00F13">
        <w:rPr>
          <w:rFonts w:ascii="Arial" w:hAnsi="Arial" w:cs="Arial"/>
          <w:sz w:val="24"/>
          <w:szCs w:val="24"/>
        </w:rPr>
        <w:t xml:space="preserve"> E</w:t>
      </w:r>
      <w:r w:rsidR="00CF1017" w:rsidRPr="00E00F13">
        <w:rPr>
          <w:rFonts w:ascii="Arial" w:hAnsi="Arial" w:cs="Arial"/>
          <w:sz w:val="24"/>
          <w:szCs w:val="24"/>
        </w:rPr>
        <w:t>s claro que e</w:t>
      </w:r>
      <w:r w:rsidR="00CB529A" w:rsidRPr="00E00F13">
        <w:rPr>
          <w:rFonts w:ascii="Arial" w:hAnsi="Arial" w:cs="Arial"/>
          <w:sz w:val="24"/>
          <w:szCs w:val="24"/>
        </w:rPr>
        <w:t>l mercado llega con muchas dificultades a algunos escenarios territoriale</w:t>
      </w:r>
      <w:r w:rsidR="00983D3F" w:rsidRPr="00E00F13">
        <w:rPr>
          <w:rFonts w:ascii="Arial" w:hAnsi="Arial" w:cs="Arial"/>
          <w:sz w:val="24"/>
          <w:szCs w:val="24"/>
        </w:rPr>
        <w:t>s y en los últimos veinte años ha sido evidente la entrega de</w:t>
      </w:r>
      <w:r w:rsidR="00CB529A" w:rsidRPr="00E00F13">
        <w:rPr>
          <w:rFonts w:ascii="Arial" w:hAnsi="Arial" w:cs="Arial"/>
          <w:sz w:val="24"/>
          <w:szCs w:val="24"/>
        </w:rPr>
        <w:t xml:space="preserve"> viviendas cuyo comportamiento climático</w:t>
      </w:r>
      <w:r w:rsidR="00983D3F" w:rsidRPr="00E00F13">
        <w:rPr>
          <w:rFonts w:ascii="Arial" w:hAnsi="Arial" w:cs="Arial"/>
          <w:sz w:val="24"/>
          <w:szCs w:val="24"/>
        </w:rPr>
        <w:t>,</w:t>
      </w:r>
      <w:r w:rsidR="00CB529A" w:rsidRPr="00E00F13">
        <w:rPr>
          <w:rFonts w:ascii="Arial" w:hAnsi="Arial" w:cs="Arial"/>
          <w:sz w:val="24"/>
          <w:szCs w:val="24"/>
        </w:rPr>
        <w:t xml:space="preserve"> acción o mitigación frente a </w:t>
      </w:r>
      <w:r w:rsidR="00CB529A" w:rsidRPr="00E00F13">
        <w:rPr>
          <w:rFonts w:ascii="Arial" w:hAnsi="Arial" w:cs="Arial"/>
          <w:sz w:val="24"/>
          <w:szCs w:val="24"/>
        </w:rPr>
        <w:lastRenderedPageBreak/>
        <w:t>temas tan simples como el de la temperatura</w:t>
      </w:r>
      <w:r w:rsidR="00983D3F" w:rsidRPr="00E00F13">
        <w:rPr>
          <w:rFonts w:ascii="Arial" w:hAnsi="Arial" w:cs="Arial"/>
          <w:sz w:val="24"/>
          <w:szCs w:val="24"/>
        </w:rPr>
        <w:t xml:space="preserve"> es inconsecuente con las características de las zonas</w:t>
      </w:r>
      <w:r w:rsidR="00C51924" w:rsidRPr="00E00F13">
        <w:rPr>
          <w:rFonts w:ascii="Arial" w:hAnsi="Arial" w:cs="Arial"/>
          <w:sz w:val="24"/>
          <w:szCs w:val="24"/>
        </w:rPr>
        <w:t>, e incluso descontextualizada de patrones culturales o de ocupación del territorio.</w:t>
      </w:r>
    </w:p>
    <w:p w14:paraId="15357281" w14:textId="1A76CB1A" w:rsidR="004235BA" w:rsidRPr="00E00F13" w:rsidRDefault="004235BA" w:rsidP="004605F9">
      <w:pPr>
        <w:spacing w:after="0" w:line="360" w:lineRule="auto"/>
        <w:jc w:val="both"/>
        <w:rPr>
          <w:rFonts w:ascii="Arial" w:hAnsi="Arial" w:cs="Arial"/>
          <w:sz w:val="24"/>
          <w:szCs w:val="24"/>
        </w:rPr>
      </w:pPr>
    </w:p>
    <w:p w14:paraId="5A5A6854" w14:textId="31E6CFC6" w:rsidR="00CC18D3" w:rsidRPr="00E00F13" w:rsidRDefault="00CC18D3" w:rsidP="004605F9">
      <w:pPr>
        <w:spacing w:after="0" w:line="360" w:lineRule="auto"/>
        <w:jc w:val="both"/>
        <w:rPr>
          <w:rFonts w:ascii="Arial" w:hAnsi="Arial" w:cs="Arial"/>
          <w:sz w:val="24"/>
          <w:szCs w:val="24"/>
        </w:rPr>
      </w:pPr>
      <w:r w:rsidRPr="00E00F13">
        <w:rPr>
          <w:rFonts w:ascii="Arial" w:hAnsi="Arial" w:cs="Arial"/>
          <w:sz w:val="24"/>
          <w:szCs w:val="24"/>
        </w:rPr>
        <w:t xml:space="preserve">Ese es, juntamente, el reto en el viraje en la experiencia de Timbiquí. </w:t>
      </w:r>
    </w:p>
    <w:p w14:paraId="490C74A4" w14:textId="4D4E494A" w:rsidR="00CC18D3" w:rsidRPr="00E00F13" w:rsidRDefault="00CC18D3" w:rsidP="004605F9">
      <w:pPr>
        <w:spacing w:after="0" w:line="360" w:lineRule="auto"/>
        <w:jc w:val="both"/>
        <w:rPr>
          <w:rFonts w:ascii="Arial" w:hAnsi="Arial" w:cs="Arial"/>
          <w:sz w:val="24"/>
          <w:szCs w:val="24"/>
        </w:rPr>
      </w:pPr>
    </w:p>
    <w:p w14:paraId="4F5E87A1" w14:textId="15C985D2" w:rsidR="00CC18D3" w:rsidRPr="00E00F13" w:rsidRDefault="00CC18D3" w:rsidP="00CC18D3">
      <w:pPr>
        <w:spacing w:after="0" w:line="360" w:lineRule="auto"/>
        <w:jc w:val="both"/>
        <w:rPr>
          <w:rFonts w:ascii="Arial" w:hAnsi="Arial" w:cs="Arial"/>
          <w:sz w:val="24"/>
          <w:szCs w:val="24"/>
        </w:rPr>
      </w:pPr>
      <w:r w:rsidRPr="00E00F13">
        <w:rPr>
          <w:rFonts w:ascii="Arial" w:hAnsi="Arial" w:cs="Arial"/>
          <w:sz w:val="24"/>
          <w:szCs w:val="24"/>
        </w:rPr>
        <w:t>El Plan Nacional de Desarrollo 2022-2026 diversifica actores y soluciones para generar espacios para que las comunidades puedan participar buscando que los modos de vida y patrones socioculturales asociados a la vivienda sean coherentes con el hábitat del territorio, y que ese viraje se entienda en las acciones del Estado. Un viraje que no ha sido sencillo. Requirió que la institucionalidad del MVCT se ocupara de ajustar el grupo humano que interviene en los proyectos de infraestructura</w:t>
      </w:r>
      <w:r w:rsidR="008877DC" w:rsidRPr="00E00F13">
        <w:rPr>
          <w:rFonts w:ascii="Arial" w:hAnsi="Arial" w:cs="Arial"/>
          <w:sz w:val="24"/>
          <w:szCs w:val="24"/>
        </w:rPr>
        <w:t>,</w:t>
      </w:r>
      <w:r w:rsidRPr="00E00F13">
        <w:rPr>
          <w:rFonts w:ascii="Arial" w:hAnsi="Arial" w:cs="Arial"/>
          <w:sz w:val="24"/>
          <w:szCs w:val="24"/>
        </w:rPr>
        <w:t xml:space="preserve"> acercando perfiles sociales a lo estrictamente técnico constructivo. </w:t>
      </w:r>
    </w:p>
    <w:p w14:paraId="7BF95CB9" w14:textId="1CDC3801" w:rsidR="00CC18D3" w:rsidRPr="00E00F13" w:rsidRDefault="00CC18D3" w:rsidP="00CC18D3">
      <w:pPr>
        <w:spacing w:after="0" w:line="360" w:lineRule="auto"/>
        <w:jc w:val="both"/>
        <w:rPr>
          <w:rFonts w:ascii="Arial" w:hAnsi="Arial" w:cs="Arial"/>
          <w:sz w:val="24"/>
          <w:szCs w:val="24"/>
        </w:rPr>
      </w:pPr>
      <w:r w:rsidRPr="00E00F13">
        <w:rPr>
          <w:rFonts w:ascii="Segoe UI" w:eastAsia="Segoe UI" w:hAnsi="Segoe UI" w:cs="Segoe UI"/>
          <w:sz w:val="24"/>
          <w:szCs w:val="24"/>
        </w:rPr>
        <w:br/>
      </w:r>
      <w:r w:rsidRPr="00E00F13">
        <w:rPr>
          <w:rFonts w:ascii="Arial" w:hAnsi="Arial" w:cs="Arial"/>
          <w:sz w:val="24"/>
          <w:szCs w:val="24"/>
        </w:rPr>
        <w:t>En estos últimos tres años, al concepto de hábitat popular se integró el concepto de hábitat biodiverso</w:t>
      </w:r>
      <w:r w:rsidR="008877DC" w:rsidRPr="00E00F13">
        <w:rPr>
          <w:rFonts w:ascii="Arial" w:hAnsi="Arial" w:cs="Arial"/>
          <w:sz w:val="24"/>
          <w:szCs w:val="24"/>
        </w:rPr>
        <w:t>,</w:t>
      </w:r>
      <w:r w:rsidRPr="00E00F13">
        <w:rPr>
          <w:rFonts w:ascii="Arial" w:hAnsi="Arial" w:cs="Arial"/>
          <w:sz w:val="24"/>
          <w:szCs w:val="24"/>
        </w:rPr>
        <w:t xml:space="preserve"> y desde la Subdirección de Acompañamiento y Evaluación del MVCT se diseñó y desarrolló una ruta de trabajo con las comunidades fundamentado en la Asistencia Técnica Integral orientada a organizaciones comunitarias, para pasar de lo conceptual a lo práctico</w:t>
      </w:r>
      <w:r w:rsidR="008877DC" w:rsidRPr="00E00F13">
        <w:rPr>
          <w:rFonts w:ascii="Arial" w:hAnsi="Arial" w:cs="Arial"/>
          <w:sz w:val="24"/>
          <w:szCs w:val="24"/>
        </w:rPr>
        <w:t>, con una pregunta tan básica como fundamental: ¿</w:t>
      </w:r>
      <w:r w:rsidRPr="00E00F13">
        <w:rPr>
          <w:rFonts w:ascii="Arial" w:hAnsi="Arial" w:cs="Arial"/>
          <w:sz w:val="24"/>
          <w:szCs w:val="24"/>
        </w:rPr>
        <w:t>cómo vive la gente en el territorio</w:t>
      </w:r>
      <w:r w:rsidR="000649C4" w:rsidRPr="00E00F13">
        <w:rPr>
          <w:rFonts w:ascii="Arial" w:hAnsi="Arial" w:cs="Arial"/>
          <w:sz w:val="24"/>
          <w:szCs w:val="24"/>
        </w:rPr>
        <w:t xml:space="preserve"> </w:t>
      </w:r>
      <w:r w:rsidRPr="00E00F13">
        <w:rPr>
          <w:rFonts w:ascii="Arial" w:hAnsi="Arial" w:cs="Arial"/>
          <w:sz w:val="24"/>
          <w:szCs w:val="24"/>
        </w:rPr>
        <w:t xml:space="preserve">y qué viviendas necesita según </w:t>
      </w:r>
      <w:r w:rsidR="00D336B9" w:rsidRPr="00E00F13">
        <w:rPr>
          <w:rFonts w:ascii="Arial" w:hAnsi="Arial" w:cs="Arial"/>
          <w:sz w:val="24"/>
          <w:szCs w:val="24"/>
        </w:rPr>
        <w:t>su</w:t>
      </w:r>
      <w:r w:rsidRPr="00E00F13">
        <w:rPr>
          <w:rFonts w:ascii="Arial" w:hAnsi="Arial" w:cs="Arial"/>
          <w:sz w:val="24"/>
          <w:szCs w:val="24"/>
        </w:rPr>
        <w:t xml:space="preserve"> hábitat</w:t>
      </w:r>
      <w:r w:rsidR="008877DC" w:rsidRPr="00E00F13">
        <w:rPr>
          <w:rFonts w:ascii="Arial" w:hAnsi="Arial" w:cs="Arial"/>
          <w:sz w:val="24"/>
          <w:szCs w:val="24"/>
        </w:rPr>
        <w:t xml:space="preserve">? ¿Son viviendas para </w:t>
      </w:r>
      <w:r w:rsidR="000649C4" w:rsidRPr="00E00F13">
        <w:rPr>
          <w:rFonts w:ascii="Arial" w:hAnsi="Arial" w:cs="Arial"/>
          <w:sz w:val="24"/>
          <w:szCs w:val="24"/>
        </w:rPr>
        <w:t>campesinos, palafíticos, marítimos, indígenas</w:t>
      </w:r>
      <w:r w:rsidR="008877DC" w:rsidRPr="00E00F13">
        <w:rPr>
          <w:rFonts w:ascii="Arial" w:hAnsi="Arial" w:cs="Arial"/>
          <w:sz w:val="24"/>
          <w:szCs w:val="24"/>
        </w:rPr>
        <w:t>?</w:t>
      </w:r>
    </w:p>
    <w:p w14:paraId="686D9FD9" w14:textId="77777777" w:rsidR="00932357" w:rsidRPr="00E00F13" w:rsidRDefault="00932357" w:rsidP="00CC18D3">
      <w:pPr>
        <w:spacing w:after="0" w:line="360" w:lineRule="auto"/>
        <w:jc w:val="both"/>
        <w:rPr>
          <w:rFonts w:ascii="Segoe UI" w:eastAsia="Segoe UI" w:hAnsi="Segoe UI" w:cs="Segoe UI"/>
          <w:sz w:val="24"/>
          <w:szCs w:val="24"/>
        </w:rPr>
      </w:pPr>
    </w:p>
    <w:p w14:paraId="02B08A4A" w14:textId="4139E87A" w:rsidR="00932357" w:rsidRPr="00E00F13" w:rsidRDefault="00932357" w:rsidP="00CC18D3">
      <w:pPr>
        <w:spacing w:after="0" w:line="360" w:lineRule="auto"/>
        <w:jc w:val="both"/>
        <w:rPr>
          <w:rFonts w:ascii="Arial" w:hAnsi="Arial" w:cs="Arial"/>
          <w:sz w:val="24"/>
          <w:szCs w:val="24"/>
        </w:rPr>
      </w:pPr>
      <w:r w:rsidRPr="00E00F13">
        <w:rPr>
          <w:rFonts w:ascii="Arial" w:hAnsi="Arial" w:cs="Arial"/>
          <w:sz w:val="24"/>
          <w:szCs w:val="24"/>
        </w:rPr>
        <w:t>E</w:t>
      </w:r>
      <w:r w:rsidR="000649C4" w:rsidRPr="00E00F13">
        <w:rPr>
          <w:rFonts w:ascii="Arial" w:hAnsi="Arial" w:cs="Arial"/>
          <w:sz w:val="24"/>
          <w:szCs w:val="24"/>
        </w:rPr>
        <w:t xml:space="preserve">s así </w:t>
      </w:r>
      <w:proofErr w:type="gramStart"/>
      <w:r w:rsidR="000649C4" w:rsidRPr="00E00F13">
        <w:rPr>
          <w:rFonts w:ascii="Arial" w:hAnsi="Arial" w:cs="Arial"/>
          <w:sz w:val="24"/>
          <w:szCs w:val="24"/>
        </w:rPr>
        <w:t>que</w:t>
      </w:r>
      <w:proofErr w:type="gramEnd"/>
      <w:r w:rsidR="000649C4" w:rsidRPr="00E00F13">
        <w:rPr>
          <w:rFonts w:ascii="Arial" w:hAnsi="Arial" w:cs="Arial"/>
          <w:sz w:val="24"/>
          <w:szCs w:val="24"/>
        </w:rPr>
        <w:t xml:space="preserve"> </w:t>
      </w:r>
      <w:r w:rsidRPr="00E00F13">
        <w:rPr>
          <w:rFonts w:ascii="Arial" w:hAnsi="Arial" w:cs="Arial"/>
          <w:sz w:val="24"/>
          <w:szCs w:val="24"/>
        </w:rPr>
        <w:t>en Timbiquí</w:t>
      </w:r>
      <w:r w:rsidR="000649C4" w:rsidRPr="00E00F13">
        <w:rPr>
          <w:rFonts w:ascii="Arial" w:hAnsi="Arial" w:cs="Arial"/>
          <w:sz w:val="24"/>
          <w:szCs w:val="24"/>
        </w:rPr>
        <w:t xml:space="preserve"> se diseñaron m</w:t>
      </w:r>
      <w:r w:rsidRPr="00E00F13">
        <w:rPr>
          <w:rFonts w:ascii="Arial" w:hAnsi="Arial" w:cs="Arial"/>
          <w:sz w:val="24"/>
          <w:szCs w:val="24"/>
        </w:rPr>
        <w:t>ecanismos de reconocimiento</w:t>
      </w:r>
      <w:r w:rsidR="000649C4" w:rsidRPr="00E00F13">
        <w:rPr>
          <w:rFonts w:ascii="Arial" w:hAnsi="Arial" w:cs="Arial"/>
          <w:sz w:val="24"/>
          <w:szCs w:val="24"/>
        </w:rPr>
        <w:t xml:space="preserve"> y </w:t>
      </w:r>
      <w:r w:rsidRPr="00E00F13">
        <w:rPr>
          <w:rFonts w:ascii="Arial" w:hAnsi="Arial" w:cs="Arial"/>
          <w:sz w:val="24"/>
          <w:szCs w:val="24"/>
        </w:rPr>
        <w:t>de sistematización de</w:t>
      </w:r>
      <w:r w:rsidR="000649C4" w:rsidRPr="00E00F13">
        <w:rPr>
          <w:rFonts w:ascii="Arial" w:hAnsi="Arial" w:cs="Arial"/>
          <w:sz w:val="24"/>
          <w:szCs w:val="24"/>
        </w:rPr>
        <w:t xml:space="preserve">l tipo de </w:t>
      </w:r>
      <w:r w:rsidRPr="00E00F13">
        <w:rPr>
          <w:rFonts w:ascii="Arial" w:hAnsi="Arial" w:cs="Arial"/>
          <w:sz w:val="24"/>
          <w:szCs w:val="24"/>
        </w:rPr>
        <w:t>hábitat</w:t>
      </w:r>
      <w:r w:rsidR="000649C4" w:rsidRPr="00E00F13">
        <w:rPr>
          <w:rFonts w:ascii="Arial" w:hAnsi="Arial" w:cs="Arial"/>
          <w:sz w:val="24"/>
          <w:szCs w:val="24"/>
        </w:rPr>
        <w:t xml:space="preserve"> y, en este sentido, el reto ha sido, también, producir una solución acorde con las personas en el territorio, más allá del dato mismo de medir la meta en el número de viviendas (indicador cuantitativo), para enfocarse en el tipo de vivienda (indicador cualitativo)</w:t>
      </w:r>
      <w:r w:rsidRPr="00E00F13">
        <w:rPr>
          <w:rFonts w:ascii="Arial" w:hAnsi="Arial" w:cs="Arial"/>
          <w:sz w:val="24"/>
          <w:szCs w:val="24"/>
        </w:rPr>
        <w:t>.</w:t>
      </w:r>
    </w:p>
    <w:p w14:paraId="659879BE" w14:textId="25835DAB" w:rsidR="00272FF3" w:rsidRPr="00E00F13" w:rsidRDefault="00272FF3" w:rsidP="00CC18D3">
      <w:pPr>
        <w:spacing w:after="0" w:line="360" w:lineRule="auto"/>
        <w:jc w:val="both"/>
        <w:rPr>
          <w:rFonts w:ascii="Arial" w:hAnsi="Arial" w:cs="Arial"/>
          <w:sz w:val="24"/>
          <w:szCs w:val="24"/>
        </w:rPr>
      </w:pPr>
    </w:p>
    <w:p w14:paraId="167273E6" w14:textId="48B282F9" w:rsidR="00031CB4" w:rsidRPr="00E00F13" w:rsidRDefault="00272FF3" w:rsidP="00CC18D3">
      <w:pPr>
        <w:spacing w:after="0" w:line="360" w:lineRule="auto"/>
        <w:jc w:val="both"/>
        <w:rPr>
          <w:rFonts w:ascii="Arial" w:hAnsi="Arial" w:cs="Arial"/>
          <w:sz w:val="24"/>
          <w:szCs w:val="24"/>
        </w:rPr>
      </w:pPr>
      <w:r w:rsidRPr="00E00F13">
        <w:rPr>
          <w:rFonts w:ascii="Arial" w:hAnsi="Arial" w:cs="Arial"/>
          <w:sz w:val="24"/>
          <w:szCs w:val="24"/>
        </w:rPr>
        <w:t xml:space="preserve">Lo que ha estado en el centro de la experiencia en Timbiquí ha sido la discusión sobre el significado de la autogestión. ¿Qué entienden las comunidades por </w:t>
      </w:r>
      <w:r w:rsidRPr="00E00F13">
        <w:rPr>
          <w:rFonts w:ascii="Arial" w:hAnsi="Arial" w:cs="Arial"/>
          <w:sz w:val="24"/>
          <w:szCs w:val="24"/>
        </w:rPr>
        <w:lastRenderedPageBreak/>
        <w:t xml:space="preserve">autogestión? </w:t>
      </w:r>
      <w:r w:rsidR="008864E8" w:rsidRPr="00E00F13">
        <w:rPr>
          <w:rFonts w:ascii="Arial" w:hAnsi="Arial" w:cs="Arial"/>
          <w:sz w:val="24"/>
          <w:szCs w:val="24"/>
        </w:rPr>
        <w:t xml:space="preserve">En esta pregunta subyace el otro cambio de paradigma, que es la transferencia de conocimiento. Tanto los técnicos institucionales como las comunidades tienen saberes valiosos, que deben armonizarse. </w:t>
      </w:r>
    </w:p>
    <w:p w14:paraId="03575D68" w14:textId="77777777" w:rsidR="00D13537" w:rsidRPr="00E00F13" w:rsidRDefault="00D13537" w:rsidP="00CC18D3">
      <w:pPr>
        <w:spacing w:after="0" w:line="360" w:lineRule="auto"/>
        <w:jc w:val="both"/>
        <w:rPr>
          <w:rFonts w:ascii="Arial" w:hAnsi="Arial" w:cs="Arial"/>
          <w:sz w:val="24"/>
          <w:szCs w:val="24"/>
        </w:rPr>
      </w:pPr>
    </w:p>
    <w:p w14:paraId="2D18612B" w14:textId="358B064B" w:rsidR="00031CB4" w:rsidRPr="00E00F13" w:rsidRDefault="001B4076" w:rsidP="00CC18D3">
      <w:pPr>
        <w:spacing w:after="0" w:line="360" w:lineRule="auto"/>
        <w:jc w:val="both"/>
        <w:rPr>
          <w:rFonts w:ascii="Arial" w:hAnsi="Arial" w:cs="Arial"/>
          <w:sz w:val="24"/>
          <w:szCs w:val="24"/>
        </w:rPr>
      </w:pPr>
      <w:r w:rsidRPr="00E00F13">
        <w:rPr>
          <w:rFonts w:ascii="Arial" w:hAnsi="Arial" w:cs="Arial"/>
          <w:sz w:val="24"/>
          <w:szCs w:val="24"/>
        </w:rPr>
        <w:t>E</w:t>
      </w:r>
      <w:r w:rsidR="00031CB4" w:rsidRPr="00E00F13">
        <w:rPr>
          <w:rFonts w:ascii="Arial" w:hAnsi="Arial" w:cs="Arial"/>
          <w:sz w:val="24"/>
          <w:szCs w:val="24"/>
        </w:rPr>
        <w:t xml:space="preserve">l </w:t>
      </w:r>
      <w:r w:rsidRPr="00E00F13">
        <w:rPr>
          <w:rFonts w:ascii="Arial" w:hAnsi="Arial" w:cs="Arial"/>
          <w:sz w:val="24"/>
          <w:szCs w:val="24"/>
        </w:rPr>
        <w:t>Consejo Regional Indígena del Cauca (Cric) tiene espacios de concertación en mesas establecidas, en los cuales estuvo el MVCT para darle, en conjunto, un sentido a lo que es el diálogo social entre comunidades y gobierno nacional, dado que ha habido diversos intentos desde los años noventa de iniciar este diálogo para llevar a cabo proyectos de vivienda en Timbiquí. Por su parte, el Plan Nacional de Desarrollo estableció también compromisos presupuestales con el Cric para soluciones de vivienda. Fue favorable entonces contar con escenarios de concertación y mesas de trabajo para dialogar sobre la autogestión, su significado y ejecución. Así se llega al compromiso de hacer las viviendas con el modelo de autogestión, que le</w:t>
      </w:r>
      <w:r w:rsidR="000A10AF" w:rsidRPr="00E00F13">
        <w:rPr>
          <w:rFonts w:ascii="Arial" w:hAnsi="Arial" w:cs="Arial"/>
          <w:sz w:val="24"/>
          <w:szCs w:val="24"/>
        </w:rPr>
        <w:t>s</w:t>
      </w:r>
      <w:r w:rsidRPr="00E00F13">
        <w:rPr>
          <w:rFonts w:ascii="Arial" w:hAnsi="Arial" w:cs="Arial"/>
          <w:sz w:val="24"/>
          <w:szCs w:val="24"/>
        </w:rPr>
        <w:t xml:space="preserve"> permite a las comunidades participar de forma clara y firme en la solución de sus necesidades conforme a su cosmovisión</w:t>
      </w:r>
      <w:r w:rsidR="0072619D" w:rsidRPr="00E00F13">
        <w:rPr>
          <w:rFonts w:ascii="Arial" w:hAnsi="Arial" w:cs="Arial"/>
          <w:sz w:val="24"/>
          <w:szCs w:val="24"/>
        </w:rPr>
        <w:t>.</w:t>
      </w:r>
      <w:r w:rsidRPr="00E00F13">
        <w:rPr>
          <w:rFonts w:ascii="Arial" w:hAnsi="Arial" w:cs="Arial"/>
          <w:sz w:val="24"/>
          <w:szCs w:val="24"/>
        </w:rPr>
        <w:t xml:space="preserve"> </w:t>
      </w:r>
    </w:p>
    <w:p w14:paraId="4354243B" w14:textId="0DFED277" w:rsidR="00BA05CC" w:rsidRPr="00E00F13" w:rsidRDefault="00BA05CC" w:rsidP="00CC18D3">
      <w:pPr>
        <w:spacing w:after="0" w:line="360" w:lineRule="auto"/>
        <w:jc w:val="both"/>
        <w:rPr>
          <w:rFonts w:ascii="Arial" w:hAnsi="Arial" w:cs="Arial"/>
          <w:sz w:val="24"/>
          <w:szCs w:val="24"/>
        </w:rPr>
      </w:pPr>
    </w:p>
    <w:p w14:paraId="614B06BD" w14:textId="49537425" w:rsidR="00C15624" w:rsidRPr="00E00F13" w:rsidRDefault="0072619D" w:rsidP="00D13537">
      <w:pPr>
        <w:spacing w:after="0" w:line="360" w:lineRule="auto"/>
        <w:jc w:val="both"/>
        <w:rPr>
          <w:rFonts w:ascii="Arial" w:hAnsi="Arial" w:cs="Arial"/>
          <w:sz w:val="24"/>
          <w:szCs w:val="24"/>
        </w:rPr>
      </w:pPr>
      <w:r w:rsidRPr="00E00F13">
        <w:rPr>
          <w:rFonts w:ascii="Arial" w:hAnsi="Arial" w:cs="Arial"/>
          <w:sz w:val="24"/>
          <w:szCs w:val="24"/>
        </w:rPr>
        <w:t>La</w:t>
      </w:r>
      <w:r w:rsidR="00031CB4" w:rsidRPr="00E00F13">
        <w:rPr>
          <w:rFonts w:ascii="Arial" w:hAnsi="Arial" w:cs="Arial"/>
          <w:sz w:val="24"/>
          <w:szCs w:val="24"/>
        </w:rPr>
        <w:t xml:space="preserve"> autogestión lo que plantea es </w:t>
      </w:r>
      <w:r w:rsidRPr="00E00F13">
        <w:rPr>
          <w:rFonts w:ascii="Arial" w:hAnsi="Arial" w:cs="Arial"/>
          <w:sz w:val="24"/>
          <w:szCs w:val="24"/>
        </w:rPr>
        <w:t xml:space="preserve">que </w:t>
      </w:r>
      <w:r w:rsidR="00031CB4" w:rsidRPr="00E00F13">
        <w:rPr>
          <w:rFonts w:ascii="Arial" w:hAnsi="Arial" w:cs="Arial"/>
          <w:sz w:val="24"/>
          <w:szCs w:val="24"/>
        </w:rPr>
        <w:t xml:space="preserve">la organización que </w:t>
      </w:r>
      <w:r w:rsidRPr="00E00F13">
        <w:rPr>
          <w:rFonts w:ascii="Arial" w:hAnsi="Arial" w:cs="Arial"/>
          <w:sz w:val="24"/>
          <w:szCs w:val="24"/>
        </w:rPr>
        <w:t xml:space="preserve">habita en la zona tendrá mucha más </w:t>
      </w:r>
      <w:r w:rsidR="00031CB4" w:rsidRPr="00E00F13">
        <w:rPr>
          <w:rFonts w:ascii="Arial" w:hAnsi="Arial" w:cs="Arial"/>
          <w:sz w:val="24"/>
          <w:szCs w:val="24"/>
        </w:rPr>
        <w:t>incidencia</w:t>
      </w:r>
      <w:r w:rsidRPr="00E00F13">
        <w:rPr>
          <w:rFonts w:ascii="Arial" w:hAnsi="Arial" w:cs="Arial"/>
          <w:sz w:val="24"/>
          <w:szCs w:val="24"/>
        </w:rPr>
        <w:t xml:space="preserve"> al punto de</w:t>
      </w:r>
      <w:r w:rsidR="00031CB4" w:rsidRPr="00E00F13">
        <w:rPr>
          <w:rFonts w:ascii="Arial" w:hAnsi="Arial" w:cs="Arial"/>
          <w:sz w:val="24"/>
          <w:szCs w:val="24"/>
        </w:rPr>
        <w:t>, por ejemplo, llevar a cabo escenarios que fortalezcan su propia economía popular.</w:t>
      </w:r>
      <w:r w:rsidRPr="00E00F13">
        <w:rPr>
          <w:rFonts w:ascii="Arial" w:hAnsi="Arial" w:cs="Arial"/>
          <w:sz w:val="24"/>
          <w:szCs w:val="24"/>
        </w:rPr>
        <w:t xml:space="preserve"> Esto hizo que Timbiquí fuera uno de los primeros procesos de autogestión por construcción delegada. Lo que planteó la necesidad de modificar los instrumentos y acoplarlos para asumir ese proceso.</w:t>
      </w:r>
      <w:r w:rsidR="00031CB4" w:rsidRPr="00E00F13">
        <w:rPr>
          <w:rFonts w:ascii="Arial" w:hAnsi="Arial" w:cs="Arial"/>
          <w:sz w:val="24"/>
          <w:szCs w:val="24"/>
        </w:rPr>
        <w:br/>
      </w:r>
    </w:p>
    <w:p w14:paraId="4394999A" w14:textId="2ED16707" w:rsidR="0072619D" w:rsidRPr="00E00F13" w:rsidRDefault="00C77A0B" w:rsidP="00D13537">
      <w:pPr>
        <w:spacing w:after="0" w:line="360" w:lineRule="auto"/>
        <w:jc w:val="both"/>
        <w:rPr>
          <w:rFonts w:ascii="Arial" w:hAnsi="Arial" w:cs="Arial"/>
          <w:sz w:val="24"/>
          <w:szCs w:val="24"/>
        </w:rPr>
      </w:pPr>
      <w:r w:rsidRPr="00E00F13">
        <w:rPr>
          <w:rFonts w:ascii="Arial" w:hAnsi="Arial" w:cs="Arial"/>
          <w:sz w:val="24"/>
          <w:szCs w:val="24"/>
        </w:rPr>
        <w:t>Si bien l</w:t>
      </w:r>
      <w:r w:rsidR="0072619D" w:rsidRPr="00E00F13">
        <w:rPr>
          <w:rFonts w:ascii="Arial" w:hAnsi="Arial" w:cs="Arial"/>
          <w:sz w:val="24"/>
          <w:szCs w:val="24"/>
        </w:rPr>
        <w:t>a política pública de vivienda rural permite un parámetro para la autogestión, este no estaba reglamentado dentro del Ministerio</w:t>
      </w:r>
      <w:r w:rsidRPr="00E00F13">
        <w:rPr>
          <w:rFonts w:ascii="Arial" w:hAnsi="Arial" w:cs="Arial"/>
          <w:sz w:val="24"/>
          <w:szCs w:val="24"/>
        </w:rPr>
        <w:t>. Por ello, en 2023 se expide</w:t>
      </w:r>
      <w:r w:rsidR="0072619D" w:rsidRPr="00E00F13">
        <w:rPr>
          <w:rFonts w:ascii="Arial" w:hAnsi="Arial" w:cs="Arial"/>
          <w:sz w:val="24"/>
          <w:szCs w:val="24"/>
        </w:rPr>
        <w:t xml:space="preserve"> la Resolución 099</w:t>
      </w:r>
      <w:r w:rsidR="00A726BE" w:rsidRPr="00E00F13">
        <w:rPr>
          <w:rFonts w:ascii="Arial" w:hAnsi="Arial" w:cs="Arial"/>
          <w:sz w:val="24"/>
          <w:szCs w:val="24"/>
        </w:rPr>
        <w:t>. Con posterioridad, el MVCT diseñó un instrumento que permitiera obtener líneas orientadoras sobre el diálogo comunitario que respondiera a preguntas fundamentales sobre qué es la autogestión, qué implica y cómo se haría, entre otros asuntos. La ruta de trabajo realizada con las comunidades y el Cric generó que el MVCT elaborara la Guía de Autogestión, en abril de</w:t>
      </w:r>
      <w:r w:rsidR="0072619D" w:rsidRPr="00E00F13">
        <w:rPr>
          <w:rFonts w:ascii="Arial" w:hAnsi="Arial" w:cs="Arial"/>
          <w:sz w:val="24"/>
          <w:szCs w:val="24"/>
        </w:rPr>
        <w:t xml:space="preserve"> 2025</w:t>
      </w:r>
      <w:r w:rsidR="00A726BE" w:rsidRPr="00E00F13">
        <w:rPr>
          <w:rFonts w:ascii="Arial" w:hAnsi="Arial" w:cs="Arial"/>
          <w:sz w:val="24"/>
          <w:szCs w:val="24"/>
        </w:rPr>
        <w:t>, con la finalidad, entre otras, de</w:t>
      </w:r>
      <w:r w:rsidR="0072619D" w:rsidRPr="00E00F13">
        <w:rPr>
          <w:rFonts w:ascii="Arial" w:hAnsi="Arial" w:cs="Arial"/>
          <w:sz w:val="24"/>
          <w:szCs w:val="24"/>
        </w:rPr>
        <w:t xml:space="preserve"> poder canalizar el subsidio</w:t>
      </w:r>
      <w:r w:rsidR="00D13537" w:rsidRPr="00E00F13">
        <w:rPr>
          <w:rFonts w:ascii="Arial" w:hAnsi="Arial" w:cs="Arial"/>
          <w:sz w:val="24"/>
          <w:szCs w:val="24"/>
        </w:rPr>
        <w:t xml:space="preserve"> y operativizar el proceso de autogestión</w:t>
      </w:r>
      <w:r w:rsidR="0072619D" w:rsidRPr="00E00F13">
        <w:rPr>
          <w:rFonts w:ascii="Arial" w:hAnsi="Arial" w:cs="Arial"/>
          <w:sz w:val="24"/>
          <w:szCs w:val="24"/>
        </w:rPr>
        <w:t>.</w:t>
      </w:r>
    </w:p>
    <w:p w14:paraId="22CE3320" w14:textId="5B8C0743" w:rsidR="0072619D" w:rsidRPr="00E00F13" w:rsidRDefault="0072619D" w:rsidP="00CE4ADB">
      <w:pPr>
        <w:spacing w:after="0" w:line="360" w:lineRule="auto"/>
        <w:jc w:val="both"/>
        <w:rPr>
          <w:rFonts w:ascii="Arial" w:hAnsi="Arial" w:cs="Arial"/>
          <w:sz w:val="24"/>
          <w:szCs w:val="24"/>
        </w:rPr>
      </w:pPr>
    </w:p>
    <w:p w14:paraId="5C63F66E" w14:textId="4BB56016" w:rsidR="00F25F25" w:rsidRPr="00E00F13" w:rsidRDefault="004856C9" w:rsidP="00CE4ADB">
      <w:pPr>
        <w:spacing w:after="0" w:line="360" w:lineRule="auto"/>
        <w:jc w:val="both"/>
        <w:rPr>
          <w:rFonts w:ascii="Arial" w:hAnsi="Arial" w:cs="Arial"/>
          <w:sz w:val="24"/>
          <w:szCs w:val="24"/>
        </w:rPr>
      </w:pPr>
      <w:r w:rsidRPr="00E00F13">
        <w:rPr>
          <w:rFonts w:ascii="Arial" w:hAnsi="Arial" w:cs="Arial"/>
          <w:sz w:val="24"/>
          <w:szCs w:val="24"/>
        </w:rPr>
        <w:t xml:space="preserve">En los </w:t>
      </w:r>
      <w:r w:rsidR="004E42A1" w:rsidRPr="00E00F13">
        <w:rPr>
          <w:rFonts w:ascii="Arial" w:hAnsi="Arial" w:cs="Arial"/>
          <w:sz w:val="24"/>
          <w:szCs w:val="24"/>
        </w:rPr>
        <w:t>entornos territoriales</w:t>
      </w:r>
      <w:r w:rsidRPr="00E00F13">
        <w:rPr>
          <w:rFonts w:ascii="Arial" w:hAnsi="Arial" w:cs="Arial"/>
          <w:sz w:val="24"/>
          <w:szCs w:val="24"/>
        </w:rPr>
        <w:t xml:space="preserve">, como el de Timbiquí, existen innumerables y diversas </w:t>
      </w:r>
      <w:r w:rsidR="004E42A1" w:rsidRPr="00E00F13">
        <w:rPr>
          <w:rFonts w:ascii="Arial" w:hAnsi="Arial" w:cs="Arial"/>
          <w:sz w:val="24"/>
          <w:szCs w:val="24"/>
        </w:rPr>
        <w:t>técnicas tradicionales constructivas que son de orden tradicional.</w:t>
      </w:r>
      <w:r w:rsidR="008A247F" w:rsidRPr="00E00F13">
        <w:rPr>
          <w:rFonts w:ascii="Arial" w:hAnsi="Arial" w:cs="Arial"/>
          <w:sz w:val="24"/>
          <w:szCs w:val="24"/>
        </w:rPr>
        <w:t xml:space="preserve"> Etas técnicas </w:t>
      </w:r>
      <w:r w:rsidR="004E42A1" w:rsidRPr="00E00F13">
        <w:rPr>
          <w:rFonts w:ascii="Arial" w:hAnsi="Arial" w:cs="Arial"/>
          <w:sz w:val="24"/>
          <w:szCs w:val="24"/>
        </w:rPr>
        <w:t xml:space="preserve">son el primer recurso de la </w:t>
      </w:r>
      <w:r w:rsidR="008A247F" w:rsidRPr="00E00F13">
        <w:rPr>
          <w:rFonts w:ascii="Arial" w:hAnsi="Arial" w:cs="Arial"/>
          <w:sz w:val="24"/>
          <w:szCs w:val="24"/>
        </w:rPr>
        <w:t>c</w:t>
      </w:r>
      <w:r w:rsidR="004E42A1" w:rsidRPr="00E00F13">
        <w:rPr>
          <w:rFonts w:ascii="Arial" w:hAnsi="Arial" w:cs="Arial"/>
          <w:sz w:val="24"/>
          <w:szCs w:val="24"/>
        </w:rPr>
        <w:t xml:space="preserve">omunidad </w:t>
      </w:r>
      <w:r w:rsidR="008A247F" w:rsidRPr="00E00F13">
        <w:rPr>
          <w:rFonts w:ascii="Arial" w:hAnsi="Arial" w:cs="Arial"/>
          <w:sz w:val="24"/>
          <w:szCs w:val="24"/>
        </w:rPr>
        <w:t>y de</w:t>
      </w:r>
      <w:r w:rsidR="004E42A1" w:rsidRPr="00E00F13">
        <w:rPr>
          <w:rFonts w:ascii="Arial" w:hAnsi="Arial" w:cs="Arial"/>
          <w:sz w:val="24"/>
          <w:szCs w:val="24"/>
        </w:rPr>
        <w:t xml:space="preserve"> aquellos quienes carecen de una vivienda</w:t>
      </w:r>
      <w:r w:rsidR="008A247F" w:rsidRPr="00E00F13">
        <w:rPr>
          <w:rFonts w:ascii="Arial" w:hAnsi="Arial" w:cs="Arial"/>
          <w:sz w:val="24"/>
          <w:szCs w:val="24"/>
        </w:rPr>
        <w:t xml:space="preserve">, en especial, en el ámbito rural. Aproximadamente el </w:t>
      </w:r>
      <w:r w:rsidR="004E42A1" w:rsidRPr="00E00F13">
        <w:rPr>
          <w:rFonts w:ascii="Arial" w:hAnsi="Arial" w:cs="Arial"/>
          <w:sz w:val="24"/>
          <w:szCs w:val="24"/>
        </w:rPr>
        <w:t>90%</w:t>
      </w:r>
      <w:r w:rsidR="00F25F25" w:rsidRPr="00E00F13">
        <w:rPr>
          <w:rFonts w:ascii="Arial" w:hAnsi="Arial" w:cs="Arial"/>
          <w:sz w:val="24"/>
          <w:szCs w:val="24"/>
        </w:rPr>
        <w:t xml:space="preserve"> </w:t>
      </w:r>
      <w:r w:rsidR="004E42A1" w:rsidRPr="00E00F13">
        <w:rPr>
          <w:rFonts w:ascii="Arial" w:hAnsi="Arial" w:cs="Arial"/>
          <w:sz w:val="24"/>
          <w:szCs w:val="24"/>
        </w:rPr>
        <w:t>de esas técnicas constructivas a las que recurren las comunidades en entornos rurales no están homologadas</w:t>
      </w:r>
      <w:r w:rsidR="00F25F25" w:rsidRPr="00E00F13">
        <w:rPr>
          <w:rFonts w:ascii="Arial" w:hAnsi="Arial" w:cs="Arial"/>
          <w:sz w:val="24"/>
          <w:szCs w:val="24"/>
        </w:rPr>
        <w:t xml:space="preserve"> y</w:t>
      </w:r>
      <w:r w:rsidR="004E42A1" w:rsidRPr="00E00F13">
        <w:rPr>
          <w:rFonts w:ascii="Arial" w:hAnsi="Arial" w:cs="Arial"/>
          <w:sz w:val="24"/>
          <w:szCs w:val="24"/>
        </w:rPr>
        <w:t xml:space="preserve"> no están incluidas en la normativa de construcción </w:t>
      </w:r>
      <w:proofErr w:type="spellStart"/>
      <w:r w:rsidR="004E42A1" w:rsidRPr="00E00F13">
        <w:rPr>
          <w:rFonts w:ascii="Arial" w:hAnsi="Arial" w:cs="Arial"/>
          <w:sz w:val="24"/>
          <w:szCs w:val="24"/>
        </w:rPr>
        <w:t>sismoresistente</w:t>
      </w:r>
      <w:proofErr w:type="spellEnd"/>
      <w:r w:rsidR="004E42A1" w:rsidRPr="00E00F13">
        <w:rPr>
          <w:rFonts w:ascii="Arial" w:hAnsi="Arial" w:cs="Arial"/>
          <w:sz w:val="24"/>
          <w:szCs w:val="24"/>
        </w:rPr>
        <w:t xml:space="preserve"> en Colombia</w:t>
      </w:r>
      <w:r w:rsidR="00F25F25" w:rsidRPr="00E00F13">
        <w:rPr>
          <w:rFonts w:ascii="Arial" w:hAnsi="Arial" w:cs="Arial"/>
          <w:sz w:val="24"/>
          <w:szCs w:val="24"/>
        </w:rPr>
        <w:t xml:space="preserve">, por lo que </w:t>
      </w:r>
      <w:r w:rsidR="004E42A1" w:rsidRPr="00E00F13">
        <w:rPr>
          <w:rFonts w:ascii="Arial" w:hAnsi="Arial" w:cs="Arial"/>
          <w:sz w:val="24"/>
          <w:szCs w:val="24"/>
        </w:rPr>
        <w:t>no pueden ser incorporadas a ningún diseño de la vivienda. Esto deja por fuera buena parte de la relación que los grupos étnicos, comunidades campesinas y otros grupos</w:t>
      </w:r>
      <w:r w:rsidR="00CE4ADB" w:rsidRPr="00E00F13">
        <w:rPr>
          <w:rFonts w:ascii="Arial" w:hAnsi="Arial" w:cs="Arial"/>
          <w:sz w:val="24"/>
          <w:szCs w:val="24"/>
        </w:rPr>
        <w:t xml:space="preserve"> poblacionales</w:t>
      </w:r>
      <w:r w:rsidR="004E42A1" w:rsidRPr="00E00F13">
        <w:rPr>
          <w:rFonts w:ascii="Arial" w:hAnsi="Arial" w:cs="Arial"/>
          <w:sz w:val="24"/>
          <w:szCs w:val="24"/>
        </w:rPr>
        <w:t xml:space="preserve"> han establecido a través del tiempo con la vivienda, especialmente en escenarios rurales</w:t>
      </w:r>
      <w:r w:rsidR="00F25F25" w:rsidRPr="00E00F13">
        <w:rPr>
          <w:rFonts w:ascii="Arial" w:hAnsi="Arial" w:cs="Arial"/>
          <w:sz w:val="24"/>
          <w:szCs w:val="24"/>
        </w:rPr>
        <w:t xml:space="preserve">. Eso es un asunto que </w:t>
      </w:r>
      <w:r w:rsidR="004E42A1" w:rsidRPr="00E00F13">
        <w:rPr>
          <w:rFonts w:ascii="Arial" w:hAnsi="Arial" w:cs="Arial"/>
          <w:sz w:val="24"/>
          <w:szCs w:val="24"/>
        </w:rPr>
        <w:t xml:space="preserve">no se ha podido ni trabajar ni discutir </w:t>
      </w:r>
      <w:r w:rsidR="00F25F25" w:rsidRPr="00E00F13">
        <w:rPr>
          <w:rFonts w:ascii="Arial" w:hAnsi="Arial" w:cs="Arial"/>
          <w:sz w:val="24"/>
          <w:szCs w:val="24"/>
        </w:rPr>
        <w:t>con</w:t>
      </w:r>
      <w:r w:rsidR="004E42A1" w:rsidRPr="00E00F13">
        <w:rPr>
          <w:rFonts w:ascii="Arial" w:hAnsi="Arial" w:cs="Arial"/>
          <w:sz w:val="24"/>
          <w:szCs w:val="24"/>
        </w:rPr>
        <w:t xml:space="preserve"> la profundidad </w:t>
      </w:r>
      <w:r w:rsidR="00F25F25" w:rsidRPr="00E00F13">
        <w:rPr>
          <w:rFonts w:ascii="Arial" w:hAnsi="Arial" w:cs="Arial"/>
          <w:sz w:val="24"/>
          <w:szCs w:val="24"/>
        </w:rPr>
        <w:t xml:space="preserve">necesaria, y forma parte de los </w:t>
      </w:r>
      <w:r w:rsidR="004E42A1" w:rsidRPr="00E00F13">
        <w:rPr>
          <w:rFonts w:ascii="Arial" w:hAnsi="Arial" w:cs="Arial"/>
          <w:sz w:val="24"/>
          <w:szCs w:val="24"/>
        </w:rPr>
        <w:t>virajes de largo aliento. Eso obliga a que la producción de la vivienda, si bien está avalada en el marco del manual operativo de autogestión por construcción delegada para escenarios rurales</w:t>
      </w:r>
      <w:r w:rsidR="00CE4ADB" w:rsidRPr="00E00F13">
        <w:rPr>
          <w:rFonts w:ascii="Arial" w:hAnsi="Arial" w:cs="Arial"/>
          <w:sz w:val="24"/>
          <w:szCs w:val="24"/>
        </w:rPr>
        <w:t>,</w:t>
      </w:r>
      <w:r w:rsidR="004E42A1" w:rsidRPr="00E00F13">
        <w:rPr>
          <w:rFonts w:ascii="Arial" w:hAnsi="Arial" w:cs="Arial"/>
          <w:sz w:val="24"/>
          <w:szCs w:val="24"/>
        </w:rPr>
        <w:t xml:space="preserve"> y tiene una serie de instrumentos que lo acompañan, igual debe ceñirse al cumplimiento de </w:t>
      </w:r>
      <w:r w:rsidR="00CE4ADB" w:rsidRPr="00E00F13">
        <w:rPr>
          <w:rFonts w:ascii="Arial" w:hAnsi="Arial" w:cs="Arial"/>
          <w:sz w:val="24"/>
          <w:szCs w:val="24"/>
        </w:rPr>
        <w:t>la</w:t>
      </w:r>
      <w:r w:rsidR="004E42A1" w:rsidRPr="00E00F13">
        <w:rPr>
          <w:rFonts w:ascii="Arial" w:hAnsi="Arial" w:cs="Arial"/>
          <w:sz w:val="24"/>
          <w:szCs w:val="24"/>
        </w:rPr>
        <w:t>s normas más amplias</w:t>
      </w:r>
      <w:r w:rsidR="00F25F25" w:rsidRPr="00E00F13">
        <w:rPr>
          <w:rFonts w:ascii="Arial" w:hAnsi="Arial" w:cs="Arial"/>
          <w:sz w:val="24"/>
          <w:szCs w:val="24"/>
        </w:rPr>
        <w:t xml:space="preserve">. </w:t>
      </w:r>
    </w:p>
    <w:p w14:paraId="083408C2" w14:textId="77777777" w:rsidR="00CE4ADB" w:rsidRPr="00E00F13" w:rsidRDefault="00CE4ADB" w:rsidP="00CE4ADB">
      <w:pPr>
        <w:spacing w:after="0" w:line="360" w:lineRule="auto"/>
        <w:jc w:val="both"/>
        <w:rPr>
          <w:rFonts w:ascii="Arial" w:hAnsi="Arial" w:cs="Arial"/>
          <w:sz w:val="24"/>
          <w:szCs w:val="24"/>
        </w:rPr>
      </w:pPr>
    </w:p>
    <w:p w14:paraId="60C6940E" w14:textId="77777777" w:rsidR="00CE4ADB" w:rsidRPr="00E00F13" w:rsidRDefault="00F25F25" w:rsidP="00CE4ADB">
      <w:pPr>
        <w:spacing w:after="0" w:line="360" w:lineRule="auto"/>
        <w:jc w:val="both"/>
        <w:rPr>
          <w:rFonts w:ascii="Arial" w:hAnsi="Arial" w:cs="Arial"/>
          <w:sz w:val="24"/>
          <w:szCs w:val="24"/>
        </w:rPr>
      </w:pPr>
      <w:r w:rsidRPr="00E00F13">
        <w:rPr>
          <w:rFonts w:ascii="Arial" w:hAnsi="Arial" w:cs="Arial"/>
          <w:sz w:val="24"/>
          <w:szCs w:val="24"/>
        </w:rPr>
        <w:t xml:space="preserve">En </w:t>
      </w:r>
      <w:r w:rsidR="004E42A1" w:rsidRPr="00E00F13">
        <w:rPr>
          <w:rFonts w:ascii="Arial" w:hAnsi="Arial" w:cs="Arial"/>
          <w:sz w:val="24"/>
          <w:szCs w:val="24"/>
        </w:rPr>
        <w:t>Timbiqu</w:t>
      </w:r>
      <w:r w:rsidRPr="00E00F13">
        <w:rPr>
          <w:rFonts w:ascii="Arial" w:hAnsi="Arial" w:cs="Arial"/>
          <w:sz w:val="24"/>
          <w:szCs w:val="24"/>
        </w:rPr>
        <w:t xml:space="preserve">í hay población afrocolombiana e indígena, esta última de comunidades </w:t>
      </w:r>
      <w:proofErr w:type="spellStart"/>
      <w:r w:rsidRPr="00E00F13">
        <w:rPr>
          <w:rFonts w:ascii="Arial" w:hAnsi="Arial" w:cs="Arial"/>
          <w:sz w:val="24"/>
          <w:szCs w:val="24"/>
        </w:rPr>
        <w:t>Eperara</w:t>
      </w:r>
      <w:proofErr w:type="spellEnd"/>
      <w:r w:rsidRPr="00E00F13">
        <w:rPr>
          <w:rFonts w:ascii="Arial" w:hAnsi="Arial" w:cs="Arial"/>
          <w:sz w:val="24"/>
          <w:szCs w:val="24"/>
        </w:rPr>
        <w:t xml:space="preserve"> </w:t>
      </w:r>
      <w:proofErr w:type="spellStart"/>
      <w:r w:rsidR="00CE4ADB" w:rsidRPr="00E00F13">
        <w:rPr>
          <w:rFonts w:ascii="Arial" w:hAnsi="Arial" w:cs="Arial"/>
          <w:sz w:val="24"/>
          <w:szCs w:val="24"/>
        </w:rPr>
        <w:t>Sia</w:t>
      </w:r>
      <w:r w:rsidR="004E42A1" w:rsidRPr="00E00F13">
        <w:rPr>
          <w:rFonts w:ascii="Arial" w:hAnsi="Arial" w:cs="Arial"/>
          <w:sz w:val="24"/>
          <w:szCs w:val="24"/>
        </w:rPr>
        <w:t>pidara</w:t>
      </w:r>
      <w:proofErr w:type="spellEnd"/>
      <w:r w:rsidR="004E42A1" w:rsidRPr="00E00F13">
        <w:rPr>
          <w:rFonts w:ascii="Arial" w:hAnsi="Arial" w:cs="Arial"/>
          <w:sz w:val="24"/>
          <w:szCs w:val="24"/>
        </w:rPr>
        <w:t xml:space="preserve">, de familia </w:t>
      </w:r>
      <w:r w:rsidRPr="00E00F13">
        <w:rPr>
          <w:rFonts w:ascii="Arial" w:hAnsi="Arial" w:cs="Arial"/>
          <w:sz w:val="24"/>
          <w:szCs w:val="24"/>
        </w:rPr>
        <w:t>o</w:t>
      </w:r>
      <w:r w:rsidR="004E42A1" w:rsidRPr="00E00F13">
        <w:rPr>
          <w:rFonts w:ascii="Arial" w:hAnsi="Arial" w:cs="Arial"/>
          <w:sz w:val="24"/>
          <w:szCs w:val="24"/>
        </w:rPr>
        <w:t xml:space="preserve"> tronco lingüístico</w:t>
      </w:r>
      <w:r w:rsidRPr="00E00F13">
        <w:rPr>
          <w:rFonts w:ascii="Arial" w:hAnsi="Arial" w:cs="Arial"/>
          <w:sz w:val="24"/>
          <w:szCs w:val="24"/>
        </w:rPr>
        <w:t xml:space="preserve"> </w:t>
      </w:r>
      <w:proofErr w:type="spellStart"/>
      <w:r w:rsidRPr="00E00F13">
        <w:rPr>
          <w:rFonts w:ascii="Arial" w:hAnsi="Arial" w:cs="Arial"/>
          <w:sz w:val="24"/>
          <w:szCs w:val="24"/>
        </w:rPr>
        <w:t>Embera</w:t>
      </w:r>
      <w:proofErr w:type="spellEnd"/>
      <w:r w:rsidR="002972C9" w:rsidRPr="00E00F13">
        <w:rPr>
          <w:rFonts w:ascii="Arial" w:hAnsi="Arial" w:cs="Arial"/>
          <w:sz w:val="24"/>
          <w:szCs w:val="24"/>
        </w:rPr>
        <w:t xml:space="preserve"> </w:t>
      </w:r>
      <w:r w:rsidR="00CE4ADB" w:rsidRPr="00E00F13">
        <w:rPr>
          <w:rFonts w:ascii="Arial" w:hAnsi="Arial" w:cs="Arial"/>
          <w:sz w:val="24"/>
          <w:szCs w:val="24"/>
        </w:rPr>
        <w:t>que, junto a los tres resguardos, h</w:t>
      </w:r>
      <w:r w:rsidR="002972C9" w:rsidRPr="00E00F13">
        <w:rPr>
          <w:rFonts w:ascii="Arial" w:hAnsi="Arial" w:cs="Arial"/>
          <w:sz w:val="24"/>
          <w:szCs w:val="24"/>
        </w:rPr>
        <w:t xml:space="preserve">abitan en </w:t>
      </w:r>
      <w:r w:rsidR="004E42A1" w:rsidRPr="00E00F13">
        <w:rPr>
          <w:rFonts w:ascii="Arial" w:hAnsi="Arial" w:cs="Arial"/>
          <w:sz w:val="24"/>
          <w:szCs w:val="24"/>
        </w:rPr>
        <w:t>el Pacífico colombiano</w:t>
      </w:r>
      <w:r w:rsidR="002972C9" w:rsidRPr="00E00F13">
        <w:rPr>
          <w:rFonts w:ascii="Arial" w:hAnsi="Arial" w:cs="Arial"/>
          <w:sz w:val="24"/>
          <w:szCs w:val="24"/>
        </w:rPr>
        <w:t xml:space="preserve"> desde</w:t>
      </w:r>
      <w:r w:rsidR="004E42A1" w:rsidRPr="00E00F13">
        <w:rPr>
          <w:rFonts w:ascii="Arial" w:hAnsi="Arial" w:cs="Arial"/>
          <w:sz w:val="24"/>
          <w:szCs w:val="24"/>
        </w:rPr>
        <w:t xml:space="preserve"> los últimos 2</w:t>
      </w:r>
      <w:r w:rsidR="002972C9" w:rsidRPr="00E00F13">
        <w:rPr>
          <w:rFonts w:ascii="Arial" w:hAnsi="Arial" w:cs="Arial"/>
          <w:sz w:val="24"/>
          <w:szCs w:val="24"/>
        </w:rPr>
        <w:t>.</w:t>
      </w:r>
      <w:r w:rsidR="004E42A1" w:rsidRPr="00E00F13">
        <w:rPr>
          <w:rFonts w:ascii="Arial" w:hAnsi="Arial" w:cs="Arial"/>
          <w:sz w:val="24"/>
          <w:szCs w:val="24"/>
        </w:rPr>
        <w:t xml:space="preserve">000 años, </w:t>
      </w:r>
      <w:r w:rsidR="002972C9" w:rsidRPr="00E00F13">
        <w:rPr>
          <w:rFonts w:ascii="Arial" w:hAnsi="Arial" w:cs="Arial"/>
          <w:sz w:val="24"/>
          <w:szCs w:val="24"/>
        </w:rPr>
        <w:t>y</w:t>
      </w:r>
      <w:r w:rsidR="004E42A1" w:rsidRPr="00E00F13">
        <w:rPr>
          <w:rFonts w:ascii="Arial" w:hAnsi="Arial" w:cs="Arial"/>
          <w:sz w:val="24"/>
          <w:szCs w:val="24"/>
        </w:rPr>
        <w:t xml:space="preserve"> tienen una aproximación a la vivienda de manera particular.</w:t>
      </w:r>
    </w:p>
    <w:p w14:paraId="48E21334" w14:textId="77777777" w:rsidR="005543B3" w:rsidRPr="00E00F13" w:rsidRDefault="005543B3" w:rsidP="00CE4ADB">
      <w:pPr>
        <w:spacing w:after="0" w:line="360" w:lineRule="auto"/>
        <w:jc w:val="both"/>
        <w:rPr>
          <w:rFonts w:ascii="Arial" w:hAnsi="Arial" w:cs="Arial"/>
          <w:sz w:val="24"/>
          <w:szCs w:val="24"/>
        </w:rPr>
      </w:pPr>
    </w:p>
    <w:p w14:paraId="1DF73B50" w14:textId="1D902C70" w:rsidR="004E42A1" w:rsidRPr="00E00F13" w:rsidRDefault="002972C9" w:rsidP="00CE4ADB">
      <w:pPr>
        <w:spacing w:after="0" w:line="360" w:lineRule="auto"/>
        <w:jc w:val="both"/>
        <w:rPr>
          <w:rFonts w:ascii="Arial" w:hAnsi="Arial" w:cs="Arial"/>
          <w:sz w:val="24"/>
          <w:szCs w:val="24"/>
        </w:rPr>
      </w:pPr>
      <w:r w:rsidRPr="00E00F13">
        <w:rPr>
          <w:rFonts w:ascii="Arial" w:hAnsi="Arial" w:cs="Arial"/>
          <w:sz w:val="24"/>
          <w:szCs w:val="24"/>
        </w:rPr>
        <w:t>P</w:t>
      </w:r>
      <w:r w:rsidR="004E42A1" w:rsidRPr="00E00F13">
        <w:rPr>
          <w:rFonts w:ascii="Arial" w:hAnsi="Arial" w:cs="Arial"/>
          <w:sz w:val="24"/>
          <w:szCs w:val="24"/>
        </w:rPr>
        <w:t>arte de lo que</w:t>
      </w:r>
      <w:r w:rsidR="00CE4ADB" w:rsidRPr="00E00F13">
        <w:rPr>
          <w:rFonts w:ascii="Arial" w:hAnsi="Arial" w:cs="Arial"/>
          <w:sz w:val="24"/>
          <w:szCs w:val="24"/>
        </w:rPr>
        <w:t xml:space="preserve"> el MVCT</w:t>
      </w:r>
      <w:r w:rsidR="004E42A1" w:rsidRPr="00E00F13">
        <w:rPr>
          <w:rFonts w:ascii="Arial" w:hAnsi="Arial" w:cs="Arial"/>
          <w:sz w:val="24"/>
          <w:szCs w:val="24"/>
        </w:rPr>
        <w:t xml:space="preserve"> considera la </w:t>
      </w:r>
      <w:r w:rsidR="00EB0767" w:rsidRPr="00E00F13">
        <w:rPr>
          <w:rFonts w:ascii="Arial" w:hAnsi="Arial" w:cs="Arial"/>
          <w:sz w:val="24"/>
          <w:szCs w:val="24"/>
        </w:rPr>
        <w:t>asistencia técnica</w:t>
      </w:r>
      <w:r w:rsidR="004E42A1" w:rsidRPr="00E00F13">
        <w:rPr>
          <w:rFonts w:ascii="Arial" w:hAnsi="Arial" w:cs="Arial"/>
          <w:sz w:val="24"/>
          <w:szCs w:val="24"/>
        </w:rPr>
        <w:t xml:space="preserve"> integral es </w:t>
      </w:r>
      <w:r w:rsidRPr="00E00F13">
        <w:rPr>
          <w:rFonts w:ascii="Arial" w:hAnsi="Arial" w:cs="Arial"/>
          <w:sz w:val="24"/>
          <w:szCs w:val="24"/>
        </w:rPr>
        <w:t>la</w:t>
      </w:r>
      <w:r w:rsidR="004E42A1" w:rsidRPr="00E00F13">
        <w:rPr>
          <w:rFonts w:ascii="Arial" w:hAnsi="Arial" w:cs="Arial"/>
          <w:sz w:val="24"/>
          <w:szCs w:val="24"/>
        </w:rPr>
        <w:t xml:space="preserve"> caracterización territorial, </w:t>
      </w:r>
      <w:r w:rsidRPr="00E00F13">
        <w:rPr>
          <w:rFonts w:ascii="Arial" w:hAnsi="Arial" w:cs="Arial"/>
          <w:sz w:val="24"/>
          <w:szCs w:val="24"/>
        </w:rPr>
        <w:t>como</w:t>
      </w:r>
      <w:r w:rsidR="004E42A1" w:rsidRPr="00E00F13">
        <w:rPr>
          <w:rFonts w:ascii="Arial" w:hAnsi="Arial" w:cs="Arial"/>
          <w:sz w:val="24"/>
          <w:szCs w:val="24"/>
        </w:rPr>
        <w:t xml:space="preserve"> entendimiento del hábitat. En dos componentes, </w:t>
      </w:r>
      <w:r w:rsidR="00CE4ADB" w:rsidRPr="00E00F13">
        <w:rPr>
          <w:rFonts w:ascii="Arial" w:hAnsi="Arial" w:cs="Arial"/>
          <w:sz w:val="24"/>
          <w:szCs w:val="24"/>
        </w:rPr>
        <w:t>uno</w:t>
      </w:r>
      <w:r w:rsidR="004E42A1" w:rsidRPr="00E00F13">
        <w:rPr>
          <w:rFonts w:ascii="Arial" w:hAnsi="Arial" w:cs="Arial"/>
          <w:sz w:val="24"/>
          <w:szCs w:val="24"/>
        </w:rPr>
        <w:t xml:space="preserve"> de escala territorial y </w:t>
      </w:r>
      <w:r w:rsidR="00CE4ADB" w:rsidRPr="00E00F13">
        <w:rPr>
          <w:rFonts w:ascii="Arial" w:hAnsi="Arial" w:cs="Arial"/>
          <w:sz w:val="24"/>
          <w:szCs w:val="24"/>
        </w:rPr>
        <w:t>uno</w:t>
      </w:r>
      <w:r w:rsidR="004E42A1" w:rsidRPr="00E00F13">
        <w:rPr>
          <w:rFonts w:ascii="Arial" w:hAnsi="Arial" w:cs="Arial"/>
          <w:sz w:val="24"/>
          <w:szCs w:val="24"/>
        </w:rPr>
        <w:t xml:space="preserve"> de escala de la vivienda. Esto se cataloga, se mide, se parametriza</w:t>
      </w:r>
      <w:r w:rsidR="00CE4ADB" w:rsidRPr="00E00F13">
        <w:rPr>
          <w:rFonts w:ascii="Arial" w:hAnsi="Arial" w:cs="Arial"/>
          <w:sz w:val="24"/>
          <w:szCs w:val="24"/>
        </w:rPr>
        <w:t xml:space="preserve"> y </w:t>
      </w:r>
      <w:r w:rsidR="004E42A1" w:rsidRPr="00E00F13">
        <w:rPr>
          <w:rFonts w:ascii="Arial" w:hAnsi="Arial" w:cs="Arial"/>
          <w:sz w:val="24"/>
          <w:szCs w:val="24"/>
        </w:rPr>
        <w:t>se caracteriza</w:t>
      </w:r>
      <w:r w:rsidR="00CE4ADB" w:rsidRPr="00E00F13">
        <w:rPr>
          <w:rFonts w:ascii="Arial" w:hAnsi="Arial" w:cs="Arial"/>
          <w:sz w:val="24"/>
          <w:szCs w:val="24"/>
        </w:rPr>
        <w:t xml:space="preserve"> y,</w:t>
      </w:r>
      <w:r w:rsidR="004E42A1" w:rsidRPr="00E00F13">
        <w:rPr>
          <w:rFonts w:ascii="Arial" w:hAnsi="Arial" w:cs="Arial"/>
          <w:sz w:val="24"/>
          <w:szCs w:val="24"/>
        </w:rPr>
        <w:t xml:space="preserve"> a partir de ahí, surgen parámetros con los que, en un proceso de asistencia técnica, se hacen recomendaciones y sugerencias a las comunidades</w:t>
      </w:r>
      <w:r w:rsidR="00CE4ADB" w:rsidRPr="00E00F13">
        <w:rPr>
          <w:rFonts w:ascii="Arial" w:hAnsi="Arial" w:cs="Arial"/>
          <w:sz w:val="24"/>
          <w:szCs w:val="24"/>
        </w:rPr>
        <w:t xml:space="preserve">; </w:t>
      </w:r>
      <w:r w:rsidR="004E42A1" w:rsidRPr="00E00F13">
        <w:rPr>
          <w:rFonts w:ascii="Arial" w:hAnsi="Arial" w:cs="Arial"/>
          <w:sz w:val="24"/>
          <w:szCs w:val="24"/>
        </w:rPr>
        <w:t xml:space="preserve">en ningún momento esta asistencia técnica tiene un alcance vinculante. Las decisiones </w:t>
      </w:r>
      <w:r w:rsidR="00CE4ADB" w:rsidRPr="00E00F13">
        <w:rPr>
          <w:rFonts w:ascii="Arial" w:hAnsi="Arial" w:cs="Arial"/>
          <w:sz w:val="24"/>
          <w:szCs w:val="24"/>
        </w:rPr>
        <w:t xml:space="preserve">son tomadas entre </w:t>
      </w:r>
      <w:r w:rsidR="004E42A1" w:rsidRPr="00E00F13">
        <w:rPr>
          <w:rFonts w:ascii="Arial" w:hAnsi="Arial" w:cs="Arial"/>
          <w:sz w:val="24"/>
          <w:szCs w:val="24"/>
        </w:rPr>
        <w:t>la organización de base</w:t>
      </w:r>
      <w:r w:rsidR="00CE4ADB" w:rsidRPr="00E00F13">
        <w:rPr>
          <w:rFonts w:ascii="Arial" w:hAnsi="Arial" w:cs="Arial"/>
          <w:sz w:val="24"/>
          <w:szCs w:val="24"/>
        </w:rPr>
        <w:t xml:space="preserve"> (</w:t>
      </w:r>
      <w:r w:rsidR="004E42A1" w:rsidRPr="00E00F13">
        <w:rPr>
          <w:rFonts w:ascii="Arial" w:hAnsi="Arial" w:cs="Arial"/>
          <w:sz w:val="24"/>
          <w:szCs w:val="24"/>
        </w:rPr>
        <w:t xml:space="preserve">que es la que delega el proceso de autogestión </w:t>
      </w:r>
      <w:r w:rsidR="00CE4ADB" w:rsidRPr="00E00F13">
        <w:rPr>
          <w:rFonts w:ascii="Arial" w:hAnsi="Arial" w:cs="Arial"/>
          <w:sz w:val="24"/>
          <w:szCs w:val="24"/>
        </w:rPr>
        <w:t>y</w:t>
      </w:r>
      <w:r w:rsidR="004E42A1" w:rsidRPr="00E00F13">
        <w:rPr>
          <w:rFonts w:ascii="Arial" w:hAnsi="Arial" w:cs="Arial"/>
          <w:sz w:val="24"/>
          <w:szCs w:val="24"/>
        </w:rPr>
        <w:t xml:space="preserve"> </w:t>
      </w:r>
      <w:r w:rsidR="00CE4ADB" w:rsidRPr="00E00F13">
        <w:rPr>
          <w:rFonts w:ascii="Arial" w:hAnsi="Arial" w:cs="Arial"/>
          <w:sz w:val="24"/>
          <w:szCs w:val="24"/>
        </w:rPr>
        <w:t xml:space="preserve">que, de alguna forma, </w:t>
      </w:r>
      <w:r w:rsidR="004E42A1" w:rsidRPr="00E00F13">
        <w:rPr>
          <w:rFonts w:ascii="Arial" w:hAnsi="Arial" w:cs="Arial"/>
          <w:sz w:val="24"/>
          <w:szCs w:val="24"/>
        </w:rPr>
        <w:t xml:space="preserve">se ve fortalecida en </w:t>
      </w:r>
      <w:r w:rsidR="004E42A1" w:rsidRPr="00E00F13">
        <w:rPr>
          <w:rFonts w:ascii="Arial" w:hAnsi="Arial" w:cs="Arial"/>
          <w:sz w:val="24"/>
          <w:szCs w:val="24"/>
        </w:rPr>
        <w:lastRenderedPageBreak/>
        <w:t>la lógica de la autogestión</w:t>
      </w:r>
      <w:r w:rsidR="00CE4ADB" w:rsidRPr="00E00F13">
        <w:rPr>
          <w:rFonts w:ascii="Arial" w:hAnsi="Arial" w:cs="Arial"/>
          <w:sz w:val="24"/>
          <w:szCs w:val="24"/>
        </w:rPr>
        <w:t>)</w:t>
      </w:r>
      <w:r w:rsidR="004E42A1" w:rsidRPr="00E00F13">
        <w:rPr>
          <w:rFonts w:ascii="Arial" w:hAnsi="Arial" w:cs="Arial"/>
          <w:sz w:val="24"/>
          <w:szCs w:val="24"/>
        </w:rPr>
        <w:t xml:space="preserve"> y su posible ejecutor. En este caso</w:t>
      </w:r>
      <w:r w:rsidR="00CE4ADB" w:rsidRPr="00E00F13">
        <w:rPr>
          <w:rFonts w:ascii="Arial" w:hAnsi="Arial" w:cs="Arial"/>
          <w:sz w:val="24"/>
          <w:szCs w:val="24"/>
        </w:rPr>
        <w:t xml:space="preserve"> el ejecutor</w:t>
      </w:r>
      <w:r w:rsidR="004E42A1" w:rsidRPr="00E00F13">
        <w:rPr>
          <w:rFonts w:ascii="Arial" w:hAnsi="Arial" w:cs="Arial"/>
          <w:sz w:val="24"/>
          <w:szCs w:val="24"/>
        </w:rPr>
        <w:t xml:space="preserve"> es la </w:t>
      </w:r>
      <w:r w:rsidR="00CE4ADB" w:rsidRPr="00E00F13">
        <w:rPr>
          <w:rFonts w:ascii="Arial" w:hAnsi="Arial" w:cs="Arial"/>
          <w:sz w:val="24"/>
          <w:szCs w:val="24"/>
        </w:rPr>
        <w:t>C</w:t>
      </w:r>
      <w:r w:rsidR="004E42A1" w:rsidRPr="00E00F13">
        <w:rPr>
          <w:rFonts w:ascii="Arial" w:hAnsi="Arial" w:cs="Arial"/>
          <w:sz w:val="24"/>
          <w:szCs w:val="24"/>
        </w:rPr>
        <w:t xml:space="preserve">ooperativa </w:t>
      </w:r>
      <w:proofErr w:type="spellStart"/>
      <w:r w:rsidR="004E42A1" w:rsidRPr="00E00F13">
        <w:rPr>
          <w:rFonts w:ascii="Arial" w:hAnsi="Arial" w:cs="Arial"/>
          <w:sz w:val="24"/>
          <w:szCs w:val="24"/>
        </w:rPr>
        <w:t>Buenvivir</w:t>
      </w:r>
      <w:proofErr w:type="spellEnd"/>
      <w:r w:rsidR="004E42A1" w:rsidRPr="00E00F13">
        <w:rPr>
          <w:rFonts w:ascii="Arial" w:hAnsi="Arial" w:cs="Arial"/>
          <w:sz w:val="24"/>
          <w:szCs w:val="24"/>
        </w:rPr>
        <w:t xml:space="preserve"> y la organización es el Consejo Regional Indígena del Cauca</w:t>
      </w:r>
      <w:r w:rsidR="00CE4ADB" w:rsidRPr="00E00F13">
        <w:rPr>
          <w:rFonts w:ascii="Arial" w:hAnsi="Arial" w:cs="Arial"/>
          <w:sz w:val="24"/>
          <w:szCs w:val="24"/>
        </w:rPr>
        <w:t>.</w:t>
      </w:r>
    </w:p>
    <w:p w14:paraId="219B8696" w14:textId="32D85BBD" w:rsidR="0072619D" w:rsidRPr="00E00F13" w:rsidRDefault="0072619D" w:rsidP="008A3365">
      <w:pPr>
        <w:spacing w:after="0" w:line="360" w:lineRule="auto"/>
        <w:jc w:val="both"/>
        <w:rPr>
          <w:rFonts w:ascii="Arial" w:hAnsi="Arial" w:cs="Arial"/>
          <w:sz w:val="24"/>
          <w:szCs w:val="24"/>
        </w:rPr>
      </w:pPr>
    </w:p>
    <w:p w14:paraId="6B075898" w14:textId="31F103F2" w:rsidR="000A410B" w:rsidRPr="00E00F13" w:rsidRDefault="009770C9" w:rsidP="008A3365">
      <w:pPr>
        <w:spacing w:after="0" w:line="360" w:lineRule="auto"/>
        <w:jc w:val="both"/>
        <w:rPr>
          <w:rFonts w:ascii="Arial" w:eastAsia="Segoe UI" w:hAnsi="Arial" w:cs="Arial"/>
          <w:sz w:val="24"/>
          <w:szCs w:val="24"/>
        </w:rPr>
      </w:pPr>
      <w:r w:rsidRPr="00E00F13">
        <w:rPr>
          <w:rFonts w:ascii="Arial" w:eastAsia="Segoe UI" w:hAnsi="Arial" w:cs="Arial"/>
          <w:sz w:val="24"/>
          <w:szCs w:val="24"/>
        </w:rPr>
        <w:t>Lo que hace más significativa la experiencia de Ti</w:t>
      </w:r>
      <w:r w:rsidR="000A410B" w:rsidRPr="00E00F13">
        <w:rPr>
          <w:rFonts w:ascii="Arial" w:eastAsia="Segoe UI" w:hAnsi="Arial" w:cs="Arial"/>
          <w:sz w:val="24"/>
          <w:szCs w:val="24"/>
        </w:rPr>
        <w:t>m</w:t>
      </w:r>
      <w:r w:rsidRPr="00E00F13">
        <w:rPr>
          <w:rFonts w:ascii="Arial" w:eastAsia="Segoe UI" w:hAnsi="Arial" w:cs="Arial"/>
          <w:sz w:val="24"/>
          <w:szCs w:val="24"/>
        </w:rPr>
        <w:t xml:space="preserve">biquí en </w:t>
      </w:r>
      <w:r w:rsidR="000A410B" w:rsidRPr="00E00F13">
        <w:rPr>
          <w:rFonts w:ascii="Arial" w:eastAsia="Segoe UI" w:hAnsi="Arial" w:cs="Arial"/>
          <w:sz w:val="24"/>
          <w:szCs w:val="24"/>
        </w:rPr>
        <w:t>autoconstrucción</w:t>
      </w:r>
      <w:r w:rsidRPr="00E00F13">
        <w:rPr>
          <w:rFonts w:ascii="Arial" w:eastAsia="Segoe UI" w:hAnsi="Arial" w:cs="Arial"/>
          <w:sz w:val="24"/>
          <w:szCs w:val="24"/>
        </w:rPr>
        <w:t xml:space="preserve"> es la creación de una ruta de trabajo para generar la posibilidad de acercar la política pública a la comunidad, y no al revés</w:t>
      </w:r>
      <w:r w:rsidR="000A410B" w:rsidRPr="00E00F13">
        <w:rPr>
          <w:rFonts w:ascii="Arial" w:eastAsia="Segoe UI" w:hAnsi="Arial" w:cs="Arial"/>
          <w:sz w:val="24"/>
          <w:szCs w:val="24"/>
        </w:rPr>
        <w:t>.</w:t>
      </w:r>
      <w:r w:rsidRPr="00E00F13">
        <w:rPr>
          <w:rFonts w:ascii="Arial" w:eastAsia="Segoe UI" w:hAnsi="Arial" w:cs="Arial"/>
          <w:sz w:val="24"/>
          <w:szCs w:val="24"/>
        </w:rPr>
        <w:t xml:space="preserve"> Se trata de</w:t>
      </w:r>
      <w:r w:rsidR="000A410B" w:rsidRPr="00E00F13">
        <w:rPr>
          <w:rFonts w:ascii="Arial" w:eastAsia="Segoe UI" w:hAnsi="Arial" w:cs="Arial"/>
          <w:sz w:val="24"/>
          <w:szCs w:val="24"/>
        </w:rPr>
        <w:t xml:space="preserve"> lo</w:t>
      </w:r>
      <w:r w:rsidRPr="00E00F13">
        <w:rPr>
          <w:rFonts w:ascii="Arial" w:eastAsia="Segoe UI" w:hAnsi="Arial" w:cs="Arial"/>
          <w:sz w:val="24"/>
          <w:szCs w:val="24"/>
        </w:rPr>
        <w:t xml:space="preserve"> que la comunidad y sus formas organizativas propias puedan hacer dentro de lo que es posible jurídicamente en el marco de la política pública, a través de la definición técnica del detalle de muchas de las condiciones.</w:t>
      </w:r>
    </w:p>
    <w:p w14:paraId="33F6EB82" w14:textId="13DEBB9A" w:rsidR="008E2D8D" w:rsidRPr="00E00F13" w:rsidRDefault="009770C9" w:rsidP="008A3365">
      <w:pPr>
        <w:spacing w:after="0" w:line="360" w:lineRule="auto"/>
        <w:jc w:val="both"/>
        <w:rPr>
          <w:rFonts w:ascii="Arial" w:eastAsia="Segoe UI" w:hAnsi="Arial" w:cs="Arial"/>
          <w:sz w:val="24"/>
          <w:szCs w:val="24"/>
        </w:rPr>
      </w:pPr>
      <w:r w:rsidRPr="00E00F13">
        <w:rPr>
          <w:rFonts w:ascii="Arial" w:eastAsia="Segoe UI" w:hAnsi="Arial" w:cs="Arial"/>
          <w:sz w:val="24"/>
          <w:szCs w:val="24"/>
        </w:rPr>
        <w:br/>
        <w:t xml:space="preserve">Ese es uno de los logros de tener instrumentos normativos como el decreto 585 de autogestión e irlos implementando, en un equilibrio entre la norma y las características territoriales y comunitarias como los materiales y propuestas de diseño y la norma. Como una cadena, la asistencia técnica tiene el alcance de la recomendación que permite que el proceso de la autoconstrucción funcione; hasta el detalle técnico constructivo. </w:t>
      </w:r>
    </w:p>
    <w:p w14:paraId="17A296A3" w14:textId="77777777" w:rsidR="008A3365" w:rsidRPr="00E00F13" w:rsidRDefault="008A3365" w:rsidP="008A3365">
      <w:pPr>
        <w:spacing w:after="0" w:line="360" w:lineRule="auto"/>
        <w:jc w:val="both"/>
        <w:rPr>
          <w:rFonts w:ascii="Arial" w:eastAsia="Segoe UI" w:hAnsi="Arial" w:cs="Arial"/>
          <w:sz w:val="24"/>
          <w:szCs w:val="24"/>
        </w:rPr>
      </w:pPr>
    </w:p>
    <w:p w14:paraId="4DCEDD52" w14:textId="5FD2FE4C" w:rsidR="008A3365" w:rsidRPr="00E00F13" w:rsidRDefault="00F5469C" w:rsidP="00B76F4F">
      <w:pPr>
        <w:pStyle w:val="Ttulo3"/>
        <w:rPr>
          <w:rFonts w:eastAsia="Segoe UI"/>
          <w:color w:val="auto"/>
        </w:rPr>
      </w:pPr>
      <w:r w:rsidRPr="00E00F13">
        <w:rPr>
          <w:rFonts w:eastAsia="Segoe UI"/>
          <w:color w:val="auto"/>
        </w:rPr>
        <w:tab/>
      </w:r>
      <w:bookmarkStart w:id="118" w:name="_Toc234242842"/>
      <w:r w:rsidR="008A3365" w:rsidRPr="00E00F13">
        <w:rPr>
          <w:rFonts w:eastAsia="Segoe UI"/>
          <w:color w:val="auto"/>
        </w:rPr>
        <w:t>Retos</w:t>
      </w:r>
      <w:bookmarkEnd w:id="118"/>
    </w:p>
    <w:p w14:paraId="338C44D3" w14:textId="2AD15656" w:rsidR="00294625" w:rsidRPr="00E00F13" w:rsidRDefault="00294625" w:rsidP="008A3365">
      <w:pPr>
        <w:spacing w:after="0" w:line="360" w:lineRule="auto"/>
        <w:jc w:val="both"/>
        <w:rPr>
          <w:rFonts w:ascii="Arial" w:eastAsia="Segoe UI" w:hAnsi="Arial" w:cs="Arial"/>
          <w:sz w:val="24"/>
          <w:szCs w:val="24"/>
        </w:rPr>
      </w:pPr>
      <w:r w:rsidRPr="00E00F13">
        <w:rPr>
          <w:rFonts w:ascii="Arial" w:eastAsia="Segoe UI" w:hAnsi="Arial" w:cs="Arial"/>
          <w:sz w:val="24"/>
          <w:szCs w:val="24"/>
        </w:rPr>
        <w:t>Son varios los retos:</w:t>
      </w:r>
    </w:p>
    <w:p w14:paraId="3FE83F6C" w14:textId="77777777" w:rsidR="00294625" w:rsidRPr="00E00F13" w:rsidRDefault="008E2D8D" w:rsidP="008A3365">
      <w:pPr>
        <w:spacing w:after="0" w:line="360" w:lineRule="auto"/>
        <w:jc w:val="both"/>
        <w:rPr>
          <w:rFonts w:ascii="Arial" w:eastAsia="Segoe UI" w:hAnsi="Arial" w:cs="Arial"/>
          <w:sz w:val="24"/>
          <w:szCs w:val="24"/>
        </w:rPr>
      </w:pPr>
      <w:r w:rsidRPr="00E00F13">
        <w:rPr>
          <w:rFonts w:ascii="Arial" w:eastAsia="Segoe UI" w:hAnsi="Arial" w:cs="Arial"/>
          <w:sz w:val="24"/>
          <w:szCs w:val="24"/>
        </w:rPr>
        <w:t>Caminar hacia la flexibilización de las normas es el reto. Sigue siendo restrictivo el uso de materiales autóctonos, como el del tejido, no obstante, si se usan de una forma diferente podría ser viable. Un ejemplo de ello sucedió con cinco mujeres indígenas tejedoras organizadas en uno de los resguardos, que plantearon la producción de un prototipo de vivienda con ciertos tejidos. Pero las restricciones de orden ambiental, estructural y de seguridad respectivas no lo permitieron en la estructura. No obstante, se pensó para elementos no estructurales.</w:t>
      </w:r>
      <w:r w:rsidR="00294625" w:rsidRPr="00E00F13">
        <w:rPr>
          <w:rFonts w:ascii="Arial" w:eastAsia="Segoe UI" w:hAnsi="Arial" w:cs="Arial"/>
          <w:sz w:val="24"/>
          <w:szCs w:val="24"/>
        </w:rPr>
        <w:t xml:space="preserve"> E</w:t>
      </w:r>
      <w:r w:rsidR="00102B12" w:rsidRPr="00E00F13">
        <w:rPr>
          <w:rFonts w:ascii="Arial" w:eastAsia="Segoe UI" w:hAnsi="Arial" w:cs="Arial"/>
          <w:sz w:val="24"/>
          <w:szCs w:val="24"/>
        </w:rPr>
        <w:t xml:space="preserve">l Consejo Regional Indígena del Cauca ha hecho un esfuerzo muy grande por obtener permisos de aprovechamiento ambiental </w:t>
      </w:r>
      <w:r w:rsidR="00440ED2" w:rsidRPr="00E00F13">
        <w:rPr>
          <w:rFonts w:ascii="Arial" w:eastAsia="Segoe UI" w:hAnsi="Arial" w:cs="Arial"/>
          <w:sz w:val="24"/>
          <w:szCs w:val="24"/>
        </w:rPr>
        <w:t>y</w:t>
      </w:r>
      <w:r w:rsidR="00102B12" w:rsidRPr="00E00F13">
        <w:rPr>
          <w:rFonts w:ascii="Arial" w:eastAsia="Segoe UI" w:hAnsi="Arial" w:cs="Arial"/>
          <w:sz w:val="24"/>
          <w:szCs w:val="24"/>
        </w:rPr>
        <w:t xml:space="preserve"> obtener</w:t>
      </w:r>
      <w:r w:rsidR="00440ED2" w:rsidRPr="00E00F13">
        <w:rPr>
          <w:rFonts w:ascii="Arial" w:eastAsia="Segoe UI" w:hAnsi="Arial" w:cs="Arial"/>
          <w:sz w:val="24"/>
          <w:szCs w:val="24"/>
        </w:rPr>
        <w:t xml:space="preserve"> c</w:t>
      </w:r>
      <w:r w:rsidR="00102B12" w:rsidRPr="00E00F13">
        <w:rPr>
          <w:rFonts w:ascii="Arial" w:eastAsia="Segoe UI" w:hAnsi="Arial" w:cs="Arial"/>
          <w:sz w:val="24"/>
          <w:szCs w:val="24"/>
        </w:rPr>
        <w:t>ensos de los individuos arbóreos que hay en la proximidad a la región para poderlos utilizar y que las maderas no tengan que venir de una inmunizadora en Barranquilla</w:t>
      </w:r>
      <w:r w:rsidR="00440ED2" w:rsidRPr="00E00F13">
        <w:rPr>
          <w:rFonts w:ascii="Arial" w:eastAsia="Segoe UI" w:hAnsi="Arial" w:cs="Arial"/>
          <w:sz w:val="24"/>
          <w:szCs w:val="24"/>
        </w:rPr>
        <w:t>,</w:t>
      </w:r>
      <w:r w:rsidR="00102B12" w:rsidRPr="00E00F13">
        <w:rPr>
          <w:rFonts w:ascii="Arial" w:eastAsia="Segoe UI" w:hAnsi="Arial" w:cs="Arial"/>
          <w:sz w:val="24"/>
          <w:szCs w:val="24"/>
        </w:rPr>
        <w:t xml:space="preserve"> atravesando </w:t>
      </w:r>
      <w:r w:rsidR="00440ED2" w:rsidRPr="00E00F13">
        <w:rPr>
          <w:rFonts w:ascii="Arial" w:eastAsia="Segoe UI" w:hAnsi="Arial" w:cs="Arial"/>
          <w:sz w:val="24"/>
          <w:szCs w:val="24"/>
        </w:rPr>
        <w:t>el p</w:t>
      </w:r>
      <w:r w:rsidR="00102B12" w:rsidRPr="00E00F13">
        <w:rPr>
          <w:rFonts w:ascii="Arial" w:eastAsia="Segoe UI" w:hAnsi="Arial" w:cs="Arial"/>
          <w:sz w:val="24"/>
          <w:szCs w:val="24"/>
        </w:rPr>
        <w:t>aís, sino que puedan ser</w:t>
      </w:r>
      <w:r w:rsidR="00440ED2" w:rsidRPr="00E00F13">
        <w:rPr>
          <w:rFonts w:ascii="Arial" w:eastAsia="Segoe UI" w:hAnsi="Arial" w:cs="Arial"/>
          <w:sz w:val="24"/>
          <w:szCs w:val="24"/>
        </w:rPr>
        <w:t xml:space="preserve"> de la zona</w:t>
      </w:r>
      <w:r w:rsidR="006C308E" w:rsidRPr="00E00F13">
        <w:rPr>
          <w:rFonts w:ascii="Arial" w:eastAsia="Segoe UI" w:hAnsi="Arial" w:cs="Arial"/>
          <w:sz w:val="24"/>
          <w:szCs w:val="24"/>
        </w:rPr>
        <w:t xml:space="preserve">, dado el extenso conocimiento que las </w:t>
      </w:r>
      <w:r w:rsidR="006C308E" w:rsidRPr="00E00F13">
        <w:rPr>
          <w:rFonts w:ascii="Arial" w:eastAsia="Segoe UI" w:hAnsi="Arial" w:cs="Arial"/>
          <w:sz w:val="24"/>
          <w:szCs w:val="24"/>
        </w:rPr>
        <w:lastRenderedPageBreak/>
        <w:t>comunidades tienen de esto</w:t>
      </w:r>
      <w:r w:rsidR="00440ED2" w:rsidRPr="00E00F13">
        <w:rPr>
          <w:rFonts w:ascii="Arial" w:eastAsia="Segoe UI" w:hAnsi="Arial" w:cs="Arial"/>
          <w:sz w:val="24"/>
          <w:szCs w:val="24"/>
        </w:rPr>
        <w:t xml:space="preserve">. </w:t>
      </w:r>
      <w:r w:rsidR="00102B12" w:rsidRPr="00E00F13">
        <w:rPr>
          <w:rFonts w:ascii="Arial" w:eastAsia="Segoe UI" w:hAnsi="Arial" w:cs="Arial"/>
          <w:sz w:val="24"/>
          <w:szCs w:val="24"/>
        </w:rPr>
        <w:t>El giro conceptual no es menor, pero el camino se completará con la revisión profunda de la normatividad.</w:t>
      </w:r>
    </w:p>
    <w:p w14:paraId="693E8187" w14:textId="77777777" w:rsidR="00294625" w:rsidRPr="00E00F13" w:rsidRDefault="00294625" w:rsidP="008A3365">
      <w:pPr>
        <w:spacing w:after="0" w:line="360" w:lineRule="auto"/>
        <w:jc w:val="both"/>
        <w:rPr>
          <w:rFonts w:ascii="Arial" w:eastAsia="Segoe UI" w:hAnsi="Arial" w:cs="Arial"/>
          <w:sz w:val="24"/>
          <w:szCs w:val="24"/>
        </w:rPr>
      </w:pPr>
    </w:p>
    <w:p w14:paraId="4FB1EBF7" w14:textId="77777777" w:rsidR="00C87CC4" w:rsidRPr="00E00F13" w:rsidRDefault="00294625" w:rsidP="008A3365">
      <w:pPr>
        <w:spacing w:after="0" w:line="360" w:lineRule="auto"/>
        <w:jc w:val="both"/>
        <w:rPr>
          <w:rFonts w:ascii="Arial" w:eastAsia="Segoe UI" w:hAnsi="Arial" w:cs="Arial"/>
          <w:sz w:val="24"/>
          <w:szCs w:val="24"/>
        </w:rPr>
      </w:pPr>
      <w:r w:rsidRPr="00E00F13">
        <w:rPr>
          <w:rFonts w:ascii="Arial" w:eastAsia="Segoe UI" w:hAnsi="Arial" w:cs="Arial"/>
          <w:sz w:val="24"/>
          <w:szCs w:val="24"/>
        </w:rPr>
        <w:t>Por otro lado,</w:t>
      </w:r>
      <w:r w:rsidR="00C87CC4" w:rsidRPr="00E00F13">
        <w:rPr>
          <w:rFonts w:ascii="Arial" w:eastAsia="Segoe UI" w:hAnsi="Arial" w:cs="Arial"/>
          <w:sz w:val="24"/>
          <w:szCs w:val="24"/>
        </w:rPr>
        <w:t xml:space="preserve"> </w:t>
      </w:r>
      <w:r w:rsidR="001D37BC" w:rsidRPr="00E00F13">
        <w:rPr>
          <w:rFonts w:ascii="Arial" w:eastAsia="Segoe UI" w:hAnsi="Arial" w:cs="Arial"/>
          <w:sz w:val="24"/>
          <w:szCs w:val="24"/>
        </w:rPr>
        <w:t>la financiación de</w:t>
      </w:r>
      <w:r w:rsidR="008D030E" w:rsidRPr="00E00F13">
        <w:rPr>
          <w:rFonts w:ascii="Arial" w:eastAsia="Segoe UI" w:hAnsi="Arial" w:cs="Arial"/>
          <w:sz w:val="24"/>
          <w:szCs w:val="24"/>
        </w:rPr>
        <w:t xml:space="preserve"> </w:t>
      </w:r>
      <w:r w:rsidR="001D37BC" w:rsidRPr="00E00F13">
        <w:rPr>
          <w:rFonts w:ascii="Arial" w:eastAsia="Segoe UI" w:hAnsi="Arial" w:cs="Arial"/>
          <w:sz w:val="24"/>
          <w:szCs w:val="24"/>
        </w:rPr>
        <w:t xml:space="preserve">este </w:t>
      </w:r>
      <w:r w:rsidR="00C87CC4" w:rsidRPr="00E00F13">
        <w:rPr>
          <w:rFonts w:ascii="Arial" w:eastAsia="Segoe UI" w:hAnsi="Arial" w:cs="Arial"/>
          <w:sz w:val="24"/>
          <w:szCs w:val="24"/>
        </w:rPr>
        <w:t>y los demás proyectos de autogestión es un reto. E</w:t>
      </w:r>
      <w:r w:rsidR="001D37BC" w:rsidRPr="00E00F13">
        <w:rPr>
          <w:rFonts w:ascii="Arial" w:eastAsia="Segoe UI" w:hAnsi="Arial" w:cs="Arial"/>
          <w:sz w:val="24"/>
          <w:szCs w:val="24"/>
        </w:rPr>
        <w:t>n e</w:t>
      </w:r>
      <w:r w:rsidR="00C87CC4" w:rsidRPr="00E00F13">
        <w:rPr>
          <w:rFonts w:ascii="Arial" w:eastAsia="Segoe UI" w:hAnsi="Arial" w:cs="Arial"/>
          <w:sz w:val="24"/>
          <w:szCs w:val="24"/>
        </w:rPr>
        <w:t>l</w:t>
      </w:r>
      <w:r w:rsidR="001D37BC" w:rsidRPr="00E00F13">
        <w:rPr>
          <w:rFonts w:ascii="Arial" w:eastAsia="Segoe UI" w:hAnsi="Arial" w:cs="Arial"/>
          <w:sz w:val="24"/>
          <w:szCs w:val="24"/>
        </w:rPr>
        <w:t xml:space="preserve"> modelo de autogestión por construcción delegada </w:t>
      </w:r>
      <w:r w:rsidR="00C87CC4" w:rsidRPr="00E00F13">
        <w:rPr>
          <w:rFonts w:ascii="Arial" w:eastAsia="Segoe UI" w:hAnsi="Arial" w:cs="Arial"/>
          <w:sz w:val="24"/>
          <w:szCs w:val="24"/>
        </w:rPr>
        <w:t xml:space="preserve">el reto es cómo las comunidades organizadas garantizarán la financiación que requieren para ejecutar el proyecto. Los recursos los otorga el MVCT una vez que el proyecto está terminado, es decir, cuando la vivienda ya está autoconstruida.  </w:t>
      </w:r>
    </w:p>
    <w:p w14:paraId="26413313" w14:textId="77777777" w:rsidR="00C87CC4" w:rsidRPr="00E00F13" w:rsidRDefault="00C87CC4" w:rsidP="008A3365">
      <w:pPr>
        <w:spacing w:after="0" w:line="360" w:lineRule="auto"/>
        <w:jc w:val="both"/>
        <w:rPr>
          <w:rFonts w:ascii="Arial" w:eastAsia="Segoe UI" w:hAnsi="Arial" w:cs="Arial"/>
          <w:sz w:val="24"/>
          <w:szCs w:val="24"/>
        </w:rPr>
      </w:pPr>
    </w:p>
    <w:p w14:paraId="0D46B432" w14:textId="6DCF752C" w:rsidR="001D37BC" w:rsidRPr="00E00F13" w:rsidRDefault="00C87CC4" w:rsidP="008A3365">
      <w:pPr>
        <w:spacing w:after="0" w:line="360" w:lineRule="auto"/>
        <w:jc w:val="both"/>
        <w:rPr>
          <w:rFonts w:ascii="Arial" w:eastAsia="Segoe UI" w:hAnsi="Arial" w:cs="Arial"/>
          <w:sz w:val="24"/>
          <w:szCs w:val="24"/>
        </w:rPr>
      </w:pPr>
      <w:r w:rsidRPr="00E00F13">
        <w:rPr>
          <w:rFonts w:ascii="Arial" w:eastAsia="Segoe UI" w:hAnsi="Arial" w:cs="Arial"/>
          <w:sz w:val="24"/>
          <w:szCs w:val="24"/>
        </w:rPr>
        <w:t xml:space="preserve">Para este proyecto particular de Timbiquí el adelanto </w:t>
      </w:r>
      <w:r w:rsidR="008A3365" w:rsidRPr="00E00F13">
        <w:rPr>
          <w:rFonts w:ascii="Arial" w:eastAsia="Segoe UI" w:hAnsi="Arial" w:cs="Arial"/>
          <w:sz w:val="24"/>
          <w:szCs w:val="24"/>
        </w:rPr>
        <w:t>ha sido</w:t>
      </w:r>
      <w:r w:rsidRPr="00E00F13">
        <w:rPr>
          <w:rFonts w:ascii="Arial" w:eastAsia="Segoe UI" w:hAnsi="Arial" w:cs="Arial"/>
          <w:sz w:val="24"/>
          <w:szCs w:val="24"/>
        </w:rPr>
        <w:t xml:space="preserve"> en términos de la negociación, según la cual se ejecutaría con recursos propios del </w:t>
      </w:r>
      <w:r w:rsidR="001D37BC" w:rsidRPr="00E00F13">
        <w:rPr>
          <w:rFonts w:ascii="Arial" w:eastAsia="Segoe UI" w:hAnsi="Arial" w:cs="Arial"/>
          <w:sz w:val="24"/>
          <w:szCs w:val="24"/>
        </w:rPr>
        <w:t xml:space="preserve">Consejo Regional </w:t>
      </w:r>
      <w:r w:rsidRPr="00E00F13">
        <w:rPr>
          <w:rFonts w:ascii="Arial" w:eastAsia="Segoe UI" w:hAnsi="Arial" w:cs="Arial"/>
          <w:sz w:val="24"/>
          <w:szCs w:val="24"/>
        </w:rPr>
        <w:t>I</w:t>
      </w:r>
      <w:r w:rsidR="001D37BC" w:rsidRPr="00E00F13">
        <w:rPr>
          <w:rFonts w:ascii="Arial" w:eastAsia="Segoe UI" w:hAnsi="Arial" w:cs="Arial"/>
          <w:sz w:val="24"/>
          <w:szCs w:val="24"/>
        </w:rPr>
        <w:t xml:space="preserve">ndígena del Cauca, de las </w:t>
      </w:r>
      <w:r w:rsidRPr="00E00F13">
        <w:rPr>
          <w:rFonts w:ascii="Arial" w:eastAsia="Segoe UI" w:hAnsi="Arial" w:cs="Arial"/>
          <w:sz w:val="24"/>
          <w:szCs w:val="24"/>
        </w:rPr>
        <w:t>c</w:t>
      </w:r>
      <w:r w:rsidR="001D37BC" w:rsidRPr="00E00F13">
        <w:rPr>
          <w:rFonts w:ascii="Arial" w:eastAsia="Segoe UI" w:hAnsi="Arial" w:cs="Arial"/>
          <w:sz w:val="24"/>
          <w:szCs w:val="24"/>
        </w:rPr>
        <w:t xml:space="preserve">omunidades, de los </w:t>
      </w:r>
      <w:r w:rsidRPr="00E00F13">
        <w:rPr>
          <w:rFonts w:ascii="Arial" w:eastAsia="Segoe UI" w:hAnsi="Arial" w:cs="Arial"/>
          <w:sz w:val="24"/>
          <w:szCs w:val="24"/>
        </w:rPr>
        <w:t>r</w:t>
      </w:r>
      <w:r w:rsidR="001D37BC" w:rsidRPr="00E00F13">
        <w:rPr>
          <w:rFonts w:ascii="Arial" w:eastAsia="Segoe UI" w:hAnsi="Arial" w:cs="Arial"/>
          <w:sz w:val="24"/>
          <w:szCs w:val="24"/>
        </w:rPr>
        <w:t>esguardos</w:t>
      </w:r>
      <w:r w:rsidRPr="00E00F13">
        <w:rPr>
          <w:rFonts w:ascii="Arial" w:eastAsia="Segoe UI" w:hAnsi="Arial" w:cs="Arial"/>
          <w:sz w:val="24"/>
          <w:szCs w:val="24"/>
        </w:rPr>
        <w:t>, p</w:t>
      </w:r>
      <w:r w:rsidR="001D37BC" w:rsidRPr="00E00F13">
        <w:rPr>
          <w:rFonts w:ascii="Arial" w:eastAsia="Segoe UI" w:hAnsi="Arial" w:cs="Arial"/>
          <w:sz w:val="24"/>
          <w:szCs w:val="24"/>
        </w:rPr>
        <w:t>ero también</w:t>
      </w:r>
      <w:r w:rsidRPr="00E00F13">
        <w:rPr>
          <w:rFonts w:ascii="Arial" w:eastAsia="Segoe UI" w:hAnsi="Arial" w:cs="Arial"/>
          <w:sz w:val="24"/>
          <w:szCs w:val="24"/>
        </w:rPr>
        <w:t>,</w:t>
      </w:r>
      <w:r w:rsidR="001D37BC" w:rsidRPr="00E00F13">
        <w:rPr>
          <w:rFonts w:ascii="Arial" w:eastAsia="Segoe UI" w:hAnsi="Arial" w:cs="Arial"/>
          <w:sz w:val="24"/>
          <w:szCs w:val="24"/>
        </w:rPr>
        <w:t xml:space="preserve"> con una inversión importante, sobre todo en capital humano, </w:t>
      </w:r>
      <w:r w:rsidRPr="00E00F13">
        <w:rPr>
          <w:rFonts w:ascii="Arial" w:eastAsia="Segoe UI" w:hAnsi="Arial" w:cs="Arial"/>
          <w:sz w:val="24"/>
          <w:szCs w:val="24"/>
        </w:rPr>
        <w:t>del MVCT</w:t>
      </w:r>
      <w:r w:rsidR="001D37BC" w:rsidRPr="00E00F13">
        <w:rPr>
          <w:rFonts w:ascii="Arial" w:eastAsia="Segoe UI" w:hAnsi="Arial" w:cs="Arial"/>
          <w:sz w:val="24"/>
          <w:szCs w:val="24"/>
        </w:rPr>
        <w:t xml:space="preserve"> en el marco de la asistencia técnica</w:t>
      </w:r>
      <w:r w:rsidRPr="00E00F13">
        <w:rPr>
          <w:rFonts w:ascii="Arial" w:eastAsia="Segoe UI" w:hAnsi="Arial" w:cs="Arial"/>
          <w:sz w:val="24"/>
          <w:szCs w:val="24"/>
        </w:rPr>
        <w:t xml:space="preserve">. </w:t>
      </w:r>
    </w:p>
    <w:p w14:paraId="4709B892" w14:textId="77777777" w:rsidR="008A3365" w:rsidRPr="00E00F13" w:rsidRDefault="008A3365" w:rsidP="008A3365">
      <w:pPr>
        <w:spacing w:after="0" w:line="360" w:lineRule="auto"/>
        <w:jc w:val="both"/>
        <w:rPr>
          <w:rFonts w:ascii="Arial" w:hAnsi="Arial" w:cs="Arial"/>
        </w:rPr>
      </w:pPr>
    </w:p>
    <w:p w14:paraId="68989BAE" w14:textId="29B2C2EB" w:rsidR="0095242F" w:rsidRPr="00E00F13" w:rsidRDefault="00896D30" w:rsidP="008A3365">
      <w:pPr>
        <w:spacing w:after="0" w:line="360" w:lineRule="auto"/>
        <w:jc w:val="both"/>
        <w:rPr>
          <w:rFonts w:ascii="Arial" w:hAnsi="Arial" w:cs="Arial"/>
          <w:sz w:val="24"/>
          <w:szCs w:val="24"/>
        </w:rPr>
      </w:pPr>
      <w:r w:rsidRPr="00E00F13">
        <w:rPr>
          <w:rFonts w:ascii="Arial" w:hAnsi="Arial" w:cs="Arial"/>
          <w:sz w:val="24"/>
          <w:szCs w:val="24"/>
        </w:rPr>
        <w:t>Es allí donde las asociaciones comunitarias podrían cuestionar este modelo, pues no todas cuentan con organizaciones tan sólidas como el Cric, y hasta qué punto otras organizaciones de menor tamaño están en capacidad de gestionar con sus propios recursos.</w:t>
      </w:r>
    </w:p>
    <w:p w14:paraId="49EC8853" w14:textId="1236BD45" w:rsidR="00896D30" w:rsidRPr="00E00F13" w:rsidRDefault="00896D30" w:rsidP="008A3365">
      <w:pPr>
        <w:spacing w:after="0" w:line="360" w:lineRule="auto"/>
        <w:jc w:val="both"/>
        <w:rPr>
          <w:rFonts w:ascii="Arial" w:hAnsi="Arial" w:cs="Arial"/>
          <w:sz w:val="24"/>
          <w:szCs w:val="24"/>
        </w:rPr>
      </w:pPr>
    </w:p>
    <w:p w14:paraId="2DD2A084" w14:textId="58059EA7" w:rsidR="005151D8" w:rsidRPr="00E00F13" w:rsidRDefault="00896D30" w:rsidP="005151D8">
      <w:pPr>
        <w:spacing w:after="0" w:line="360" w:lineRule="auto"/>
        <w:jc w:val="both"/>
        <w:rPr>
          <w:rFonts w:ascii="Arial" w:hAnsi="Arial" w:cs="Arial"/>
          <w:sz w:val="24"/>
          <w:szCs w:val="24"/>
        </w:rPr>
      </w:pPr>
      <w:r w:rsidRPr="00E00F13">
        <w:rPr>
          <w:rFonts w:ascii="Arial" w:hAnsi="Arial" w:cs="Arial"/>
          <w:sz w:val="24"/>
          <w:szCs w:val="24"/>
        </w:rPr>
        <w:t xml:space="preserve">Hay algo sustancial para garantizar la sostenibilidad de </w:t>
      </w:r>
      <w:r w:rsidR="008A3365" w:rsidRPr="00E00F13">
        <w:rPr>
          <w:rFonts w:ascii="Arial" w:hAnsi="Arial" w:cs="Arial"/>
          <w:sz w:val="24"/>
          <w:szCs w:val="24"/>
        </w:rPr>
        <w:t>e</w:t>
      </w:r>
      <w:r w:rsidRPr="00E00F13">
        <w:rPr>
          <w:rFonts w:ascii="Arial" w:hAnsi="Arial" w:cs="Arial"/>
          <w:sz w:val="24"/>
          <w:szCs w:val="24"/>
        </w:rPr>
        <w:t xml:space="preserve">ste cambio de paradigma y es </w:t>
      </w:r>
      <w:r w:rsidRPr="00E00F13">
        <w:rPr>
          <w:rFonts w:ascii="Arial" w:eastAsia="Segoe UI" w:hAnsi="Arial" w:cs="Arial"/>
          <w:sz w:val="24"/>
          <w:szCs w:val="24"/>
        </w:rPr>
        <w:t>sustancial</w:t>
      </w:r>
      <w:r w:rsidR="008A3365" w:rsidRPr="00E00F13">
        <w:rPr>
          <w:rFonts w:ascii="Arial" w:eastAsia="Segoe UI" w:hAnsi="Arial" w:cs="Arial"/>
          <w:sz w:val="24"/>
          <w:szCs w:val="24"/>
        </w:rPr>
        <w:t xml:space="preserve">. Se refiere a </w:t>
      </w:r>
      <w:r w:rsidRPr="00E00F13">
        <w:rPr>
          <w:rFonts w:ascii="Arial" w:eastAsia="Segoe UI" w:hAnsi="Arial" w:cs="Arial"/>
          <w:sz w:val="24"/>
          <w:szCs w:val="24"/>
        </w:rPr>
        <w:t>la financiación</w:t>
      </w:r>
      <w:r w:rsidR="008A3365" w:rsidRPr="00E00F13">
        <w:rPr>
          <w:rFonts w:ascii="Arial" w:eastAsia="Segoe UI" w:hAnsi="Arial" w:cs="Arial"/>
          <w:sz w:val="24"/>
          <w:szCs w:val="24"/>
        </w:rPr>
        <w:t>: ¿</w:t>
      </w:r>
      <w:r w:rsidRPr="00E00F13">
        <w:rPr>
          <w:rFonts w:ascii="Arial" w:eastAsia="Segoe UI" w:hAnsi="Arial" w:cs="Arial"/>
          <w:sz w:val="24"/>
          <w:szCs w:val="24"/>
        </w:rPr>
        <w:t>c</w:t>
      </w:r>
      <w:r w:rsidR="008A3365" w:rsidRPr="00E00F13">
        <w:rPr>
          <w:rFonts w:ascii="Arial" w:eastAsia="Segoe UI" w:hAnsi="Arial" w:cs="Arial"/>
          <w:sz w:val="24"/>
          <w:szCs w:val="24"/>
        </w:rPr>
        <w:t>ó</w:t>
      </w:r>
      <w:r w:rsidRPr="00E00F13">
        <w:rPr>
          <w:rFonts w:ascii="Arial" w:eastAsia="Segoe UI" w:hAnsi="Arial" w:cs="Arial"/>
          <w:sz w:val="24"/>
          <w:szCs w:val="24"/>
        </w:rPr>
        <w:t>mo se generan mecanismos de financiación para las comunidades</w:t>
      </w:r>
      <w:r w:rsidR="008A3365" w:rsidRPr="00E00F13">
        <w:rPr>
          <w:rFonts w:ascii="Arial" w:eastAsia="Segoe UI" w:hAnsi="Arial" w:cs="Arial"/>
          <w:sz w:val="24"/>
          <w:szCs w:val="24"/>
        </w:rPr>
        <w:t>?</w:t>
      </w:r>
      <w:r w:rsidRPr="00E00F13">
        <w:rPr>
          <w:rFonts w:ascii="Arial" w:eastAsia="Segoe UI" w:hAnsi="Arial" w:cs="Arial"/>
          <w:sz w:val="24"/>
          <w:szCs w:val="24"/>
        </w:rPr>
        <w:t xml:space="preserve"> Por eso desde el MVCT se habla de un cambio de paradigma en tensión: se está buscando la ruta para terminar de ejecutar los cambios conceptuales y de enfoque para que en lo ejecutorio se logre lo </w:t>
      </w:r>
      <w:r w:rsidR="008A3365" w:rsidRPr="00E00F13">
        <w:rPr>
          <w:rFonts w:ascii="Arial" w:eastAsia="Segoe UI" w:hAnsi="Arial" w:cs="Arial"/>
          <w:sz w:val="24"/>
          <w:szCs w:val="24"/>
        </w:rPr>
        <w:t>estipulado en el nuevo marco normativo y programático.</w:t>
      </w:r>
      <w:bookmarkStart w:id="119" w:name="_Toc213341863"/>
    </w:p>
    <w:p w14:paraId="23DC4EED" w14:textId="77777777" w:rsidR="005151D8" w:rsidRPr="00E00F13" w:rsidRDefault="005151D8" w:rsidP="005151D8">
      <w:pPr>
        <w:spacing w:after="0" w:line="360" w:lineRule="auto"/>
        <w:jc w:val="both"/>
        <w:rPr>
          <w:rFonts w:ascii="Arial" w:hAnsi="Arial" w:cs="Arial"/>
          <w:sz w:val="24"/>
          <w:szCs w:val="24"/>
        </w:rPr>
      </w:pPr>
    </w:p>
    <w:p w14:paraId="5F81B54E" w14:textId="3DCC9CE5" w:rsidR="00E372F2" w:rsidRPr="00E00F13" w:rsidRDefault="005151D8" w:rsidP="00AC24D1">
      <w:pPr>
        <w:pStyle w:val="Ttulo3"/>
        <w:rPr>
          <w:color w:val="auto"/>
        </w:rPr>
      </w:pPr>
      <w:bookmarkStart w:id="120" w:name="_Toc234242843"/>
      <w:r w:rsidRPr="00E00F13">
        <w:rPr>
          <w:color w:val="auto"/>
        </w:rPr>
        <w:t>2.</w:t>
      </w:r>
      <w:r w:rsidR="003A01CD" w:rsidRPr="00E00F13">
        <w:rPr>
          <w:color w:val="auto"/>
        </w:rPr>
        <w:t>7</w:t>
      </w:r>
      <w:r w:rsidRPr="00E00F13">
        <w:rPr>
          <w:color w:val="auto"/>
        </w:rPr>
        <w:t>.</w:t>
      </w:r>
      <w:r w:rsidR="00E75675">
        <w:rPr>
          <w:color w:val="auto"/>
        </w:rPr>
        <w:t>3</w:t>
      </w:r>
      <w:r w:rsidRPr="00E00F13">
        <w:rPr>
          <w:color w:val="auto"/>
        </w:rPr>
        <w:t xml:space="preserve">. </w:t>
      </w:r>
      <w:r w:rsidR="00E372F2" w:rsidRPr="00E00F13">
        <w:rPr>
          <w:color w:val="auto"/>
        </w:rPr>
        <w:t>La Guajira</w:t>
      </w:r>
      <w:bookmarkEnd w:id="119"/>
      <w:r w:rsidR="000066BE" w:rsidRPr="00E00F13">
        <w:rPr>
          <w:color w:val="auto"/>
        </w:rPr>
        <w:t xml:space="preserve"> y</w:t>
      </w:r>
      <w:r w:rsidR="00E2113D" w:rsidRPr="00E00F13">
        <w:rPr>
          <w:color w:val="auto"/>
        </w:rPr>
        <w:t xml:space="preserve"> la experiencia</w:t>
      </w:r>
      <w:r w:rsidR="000066BE" w:rsidRPr="00E00F13">
        <w:rPr>
          <w:color w:val="auto"/>
        </w:rPr>
        <w:t xml:space="preserve"> del MVCT</w:t>
      </w:r>
      <w:r w:rsidR="00E2113D" w:rsidRPr="00E00F13">
        <w:rPr>
          <w:color w:val="auto"/>
        </w:rPr>
        <w:t xml:space="preserve"> </w:t>
      </w:r>
      <w:r w:rsidR="000066BE" w:rsidRPr="00E00F13">
        <w:rPr>
          <w:color w:val="auto"/>
        </w:rPr>
        <w:t>sobre el</w:t>
      </w:r>
      <w:r w:rsidR="00E2113D" w:rsidRPr="00E00F13">
        <w:rPr>
          <w:color w:val="auto"/>
        </w:rPr>
        <w:t xml:space="preserve"> agua</w:t>
      </w:r>
      <w:bookmarkEnd w:id="120"/>
      <w:r w:rsidR="00E372F2" w:rsidRPr="00E00F13">
        <w:rPr>
          <w:color w:val="auto"/>
        </w:rPr>
        <w:t xml:space="preserve"> </w:t>
      </w:r>
    </w:p>
    <w:bookmarkEnd w:id="87"/>
    <w:p w14:paraId="1B9AACB7" w14:textId="77777777" w:rsidR="00E2113D" w:rsidRPr="00E00F13" w:rsidRDefault="00E2113D" w:rsidP="003A4ADC">
      <w:pPr>
        <w:spacing w:after="0" w:line="360" w:lineRule="auto"/>
        <w:rPr>
          <w:rFonts w:ascii="Arial" w:hAnsi="Arial" w:cs="Arial"/>
          <w:b/>
          <w:bCs/>
          <w:sz w:val="24"/>
          <w:szCs w:val="24"/>
        </w:rPr>
      </w:pPr>
      <w:r w:rsidRPr="00E00F13">
        <w:rPr>
          <w:rFonts w:ascii="Arial" w:hAnsi="Arial" w:cs="Arial"/>
          <w:b/>
          <w:bCs/>
          <w:sz w:val="24"/>
          <w:szCs w:val="24"/>
        </w:rPr>
        <w:t>Antecedentes</w:t>
      </w:r>
    </w:p>
    <w:p w14:paraId="17E09E35" w14:textId="6078A3FB" w:rsidR="00E2113D" w:rsidRPr="00E00F13" w:rsidRDefault="000066BE" w:rsidP="003A4ADC">
      <w:pPr>
        <w:spacing w:after="0" w:line="360" w:lineRule="auto"/>
        <w:jc w:val="both"/>
        <w:rPr>
          <w:rFonts w:ascii="Arial" w:hAnsi="Arial" w:cs="Arial"/>
          <w:sz w:val="24"/>
          <w:szCs w:val="24"/>
        </w:rPr>
      </w:pPr>
      <w:r w:rsidRPr="00E00F13">
        <w:rPr>
          <w:rFonts w:ascii="Arial" w:hAnsi="Arial" w:cs="Arial"/>
          <w:sz w:val="24"/>
          <w:szCs w:val="24"/>
        </w:rPr>
        <w:t>Con</w:t>
      </w:r>
      <w:r w:rsidR="00E2113D" w:rsidRPr="00E00F13">
        <w:rPr>
          <w:rFonts w:ascii="Arial" w:hAnsi="Arial" w:cs="Arial"/>
          <w:sz w:val="24"/>
          <w:szCs w:val="24"/>
        </w:rPr>
        <w:t xml:space="preserve"> la Resolución 0460 de 2017 del Ministerio de Hacienda, el Ministerio de Vivienda, Ciudad y Territorio asumió temporalmente las competencias en agua </w:t>
      </w:r>
      <w:r w:rsidR="00E2113D" w:rsidRPr="00E00F13">
        <w:rPr>
          <w:rFonts w:ascii="Arial" w:hAnsi="Arial" w:cs="Arial"/>
          <w:sz w:val="24"/>
          <w:szCs w:val="24"/>
        </w:rPr>
        <w:lastRenderedPageBreak/>
        <w:t>potable y saneamiento básico para el departamento de La Guajira. Esto generó la constitución de una administración temporal que operó desde 2018 hasta 2021. La constitución de dicha administración temporal permitió que la población del departamento de La Guajira y especialmente de los municipios objeto de la sentencia T-302</w:t>
      </w:r>
      <w:r w:rsidR="00E2113D" w:rsidRPr="00E00F13">
        <w:rPr>
          <w:rFonts w:ascii="Arial" w:hAnsi="Arial" w:cs="Arial"/>
          <w:sz w:val="24"/>
          <w:szCs w:val="24"/>
        </w:rPr>
        <w:footnoteReference w:id="2"/>
      </w:r>
      <w:r w:rsidR="00E2113D" w:rsidRPr="00E00F13">
        <w:rPr>
          <w:rFonts w:ascii="Arial" w:hAnsi="Arial" w:cs="Arial"/>
          <w:sz w:val="24"/>
          <w:szCs w:val="24"/>
        </w:rPr>
        <w:t xml:space="preserve"> (Maicao, Manaure, Riohacha y Uribia) empezaran a tener una familiarización con la entidad.</w:t>
      </w:r>
    </w:p>
    <w:p w14:paraId="0F37BB23" w14:textId="77777777" w:rsidR="00FA34A4" w:rsidRPr="00E00F13" w:rsidRDefault="00FA34A4" w:rsidP="003A4ADC">
      <w:pPr>
        <w:spacing w:after="0" w:line="360" w:lineRule="auto"/>
        <w:jc w:val="both"/>
        <w:rPr>
          <w:rFonts w:ascii="Arial" w:hAnsi="Arial" w:cs="Arial"/>
          <w:sz w:val="24"/>
          <w:szCs w:val="24"/>
        </w:rPr>
      </w:pPr>
    </w:p>
    <w:p w14:paraId="1F2213CC" w14:textId="7F6D693A" w:rsidR="00E2113D" w:rsidRPr="00E00F13" w:rsidRDefault="00E2113D" w:rsidP="003A4ADC">
      <w:pPr>
        <w:spacing w:after="0" w:line="360" w:lineRule="auto"/>
        <w:jc w:val="both"/>
        <w:rPr>
          <w:rFonts w:ascii="Arial" w:hAnsi="Arial" w:cs="Arial"/>
          <w:sz w:val="24"/>
          <w:szCs w:val="24"/>
        </w:rPr>
      </w:pPr>
      <w:r w:rsidRPr="00E00F13">
        <w:rPr>
          <w:rFonts w:ascii="Arial" w:hAnsi="Arial" w:cs="Arial"/>
          <w:sz w:val="24"/>
          <w:szCs w:val="24"/>
        </w:rPr>
        <w:t xml:space="preserve">A pesar de que esta familiarización permitió el establecimiento de lazos de comunicación interinstitucional y de articulación con organizaciones no gubernamentales en el territorio, no tuvo la suficiente efectividad en lo referente a la construcción de confianza entre las comunidades </w:t>
      </w:r>
      <w:proofErr w:type="spellStart"/>
      <w:r w:rsidR="000066BE" w:rsidRPr="00E00F13">
        <w:rPr>
          <w:rFonts w:ascii="Arial" w:hAnsi="Arial" w:cs="Arial"/>
          <w:sz w:val="24"/>
          <w:szCs w:val="24"/>
        </w:rPr>
        <w:t>W</w:t>
      </w:r>
      <w:r w:rsidRPr="00E00F13">
        <w:rPr>
          <w:rFonts w:ascii="Arial" w:hAnsi="Arial" w:cs="Arial"/>
          <w:sz w:val="24"/>
          <w:szCs w:val="24"/>
        </w:rPr>
        <w:t>ay</w:t>
      </w:r>
      <w:r w:rsidR="000066BE" w:rsidRPr="00E00F13">
        <w:rPr>
          <w:rFonts w:ascii="Arial" w:hAnsi="Arial" w:cs="Arial"/>
          <w:sz w:val="24"/>
          <w:szCs w:val="24"/>
        </w:rPr>
        <w:t>ú</w:t>
      </w:r>
      <w:r w:rsidRPr="00E00F13">
        <w:rPr>
          <w:rFonts w:ascii="Arial" w:hAnsi="Arial" w:cs="Arial"/>
          <w:sz w:val="24"/>
          <w:szCs w:val="24"/>
        </w:rPr>
        <w:t>u</w:t>
      </w:r>
      <w:proofErr w:type="spellEnd"/>
      <w:r w:rsidRPr="00E00F13">
        <w:rPr>
          <w:rFonts w:ascii="Arial" w:hAnsi="Arial" w:cs="Arial"/>
          <w:sz w:val="24"/>
          <w:szCs w:val="24"/>
        </w:rPr>
        <w:t xml:space="preserve"> y el MVCT. La implementación del plan Guajira Azul tuvo resistencia de los liderazgos que representaban a estas comunidades en su momento. Ejemplo de esto es la mención que hizo una de las lideresas</w:t>
      </w:r>
      <w:r w:rsidR="000066BE" w:rsidRPr="00E00F13">
        <w:rPr>
          <w:rFonts w:ascii="Arial" w:hAnsi="Arial" w:cs="Arial"/>
          <w:sz w:val="24"/>
          <w:szCs w:val="24"/>
        </w:rPr>
        <w:t xml:space="preserve"> en 2023: </w:t>
      </w:r>
      <w:r w:rsidR="003A4ADC" w:rsidRPr="00E00F13">
        <w:rPr>
          <w:rFonts w:ascii="Arial" w:hAnsi="Arial" w:cs="Arial"/>
          <w:sz w:val="24"/>
          <w:szCs w:val="24"/>
        </w:rPr>
        <w:t>«</w:t>
      </w:r>
      <w:r w:rsidR="000066BE" w:rsidRPr="00E00F13">
        <w:rPr>
          <w:rFonts w:ascii="Arial" w:hAnsi="Arial" w:cs="Arial"/>
          <w:sz w:val="24"/>
          <w:szCs w:val="24"/>
        </w:rPr>
        <w:t>(…)</w:t>
      </w:r>
      <w:r w:rsidRPr="00E00F13">
        <w:rPr>
          <w:rFonts w:ascii="Arial" w:hAnsi="Arial" w:cs="Arial"/>
          <w:sz w:val="24"/>
          <w:szCs w:val="24"/>
        </w:rPr>
        <w:t xml:space="preserve"> las comunidades que recibieron las pilas públicas aceptaron porque las beneficiaba directamente, pero el conjunto del pueblo </w:t>
      </w:r>
      <w:proofErr w:type="spellStart"/>
      <w:r w:rsidR="003A4ADC" w:rsidRPr="00E00F13">
        <w:rPr>
          <w:rFonts w:ascii="Arial" w:hAnsi="Arial" w:cs="Arial"/>
          <w:sz w:val="24"/>
          <w:szCs w:val="24"/>
        </w:rPr>
        <w:t>W</w:t>
      </w:r>
      <w:r w:rsidRPr="00E00F13">
        <w:rPr>
          <w:rFonts w:ascii="Arial" w:hAnsi="Arial" w:cs="Arial"/>
          <w:sz w:val="24"/>
          <w:szCs w:val="24"/>
        </w:rPr>
        <w:t>ay</w:t>
      </w:r>
      <w:r w:rsidR="003A4ADC" w:rsidRPr="00E00F13">
        <w:rPr>
          <w:rFonts w:ascii="Arial" w:hAnsi="Arial" w:cs="Arial"/>
          <w:sz w:val="24"/>
          <w:szCs w:val="24"/>
        </w:rPr>
        <w:t>ú</w:t>
      </w:r>
      <w:r w:rsidRPr="00E00F13">
        <w:rPr>
          <w:rFonts w:ascii="Arial" w:hAnsi="Arial" w:cs="Arial"/>
          <w:sz w:val="24"/>
          <w:szCs w:val="24"/>
        </w:rPr>
        <w:t>u</w:t>
      </w:r>
      <w:proofErr w:type="spellEnd"/>
      <w:r w:rsidRPr="00E00F13">
        <w:rPr>
          <w:rFonts w:ascii="Arial" w:hAnsi="Arial" w:cs="Arial"/>
          <w:sz w:val="24"/>
          <w:szCs w:val="24"/>
        </w:rPr>
        <w:t xml:space="preserve"> no tiene una buena recepción de esas pilas porque no atiende en la forma en la que funcionamos los </w:t>
      </w:r>
      <w:proofErr w:type="spellStart"/>
      <w:r w:rsidR="003A4ADC" w:rsidRPr="00E00F13">
        <w:rPr>
          <w:rFonts w:ascii="Arial" w:hAnsi="Arial" w:cs="Arial"/>
          <w:sz w:val="24"/>
          <w:szCs w:val="24"/>
        </w:rPr>
        <w:t>W</w:t>
      </w:r>
      <w:r w:rsidRPr="00E00F13">
        <w:rPr>
          <w:rFonts w:ascii="Arial" w:hAnsi="Arial" w:cs="Arial"/>
          <w:sz w:val="24"/>
          <w:szCs w:val="24"/>
        </w:rPr>
        <w:t>ay</w:t>
      </w:r>
      <w:r w:rsidR="003A4ADC" w:rsidRPr="00E00F13">
        <w:rPr>
          <w:rFonts w:ascii="Arial" w:hAnsi="Arial" w:cs="Arial"/>
          <w:sz w:val="24"/>
          <w:szCs w:val="24"/>
        </w:rPr>
        <w:t>ú</w:t>
      </w:r>
      <w:r w:rsidRPr="00E00F13">
        <w:rPr>
          <w:rFonts w:ascii="Arial" w:hAnsi="Arial" w:cs="Arial"/>
          <w:sz w:val="24"/>
          <w:szCs w:val="24"/>
        </w:rPr>
        <w:t>u</w:t>
      </w:r>
      <w:proofErr w:type="spellEnd"/>
      <w:r w:rsidR="003A4ADC" w:rsidRPr="00E00F13">
        <w:rPr>
          <w:rFonts w:ascii="Arial" w:hAnsi="Arial" w:cs="Arial"/>
          <w:sz w:val="24"/>
          <w:szCs w:val="24"/>
        </w:rPr>
        <w:t>»</w:t>
      </w:r>
      <w:r w:rsidRPr="00E00F13">
        <w:rPr>
          <w:rFonts w:ascii="Arial" w:hAnsi="Arial" w:cs="Arial"/>
          <w:sz w:val="24"/>
          <w:szCs w:val="24"/>
        </w:rPr>
        <w:t xml:space="preserve">. </w:t>
      </w:r>
    </w:p>
    <w:p w14:paraId="236AD66D" w14:textId="77777777" w:rsidR="003A4ADC" w:rsidRPr="00E00F13" w:rsidRDefault="003A4ADC" w:rsidP="003A4ADC">
      <w:pPr>
        <w:spacing w:after="0" w:line="360" w:lineRule="auto"/>
        <w:jc w:val="both"/>
        <w:rPr>
          <w:rFonts w:ascii="Arial" w:hAnsi="Arial" w:cs="Arial"/>
          <w:sz w:val="24"/>
          <w:szCs w:val="24"/>
        </w:rPr>
      </w:pPr>
    </w:p>
    <w:p w14:paraId="795E49F4" w14:textId="10C1DDD6" w:rsidR="00E2113D" w:rsidRPr="00E00F13" w:rsidRDefault="00E2113D" w:rsidP="003A4ADC">
      <w:pPr>
        <w:spacing w:after="0" w:line="360" w:lineRule="auto"/>
        <w:jc w:val="both"/>
        <w:rPr>
          <w:rFonts w:ascii="Arial" w:hAnsi="Arial" w:cs="Arial"/>
          <w:sz w:val="24"/>
          <w:szCs w:val="24"/>
        </w:rPr>
      </w:pPr>
      <w:r w:rsidRPr="00E00F13">
        <w:rPr>
          <w:rFonts w:ascii="Arial" w:hAnsi="Arial" w:cs="Arial"/>
          <w:sz w:val="24"/>
          <w:szCs w:val="24"/>
        </w:rPr>
        <w:t>Con este panorama, el MVCT decid</w:t>
      </w:r>
      <w:r w:rsidR="003A4ADC" w:rsidRPr="00E00F13">
        <w:rPr>
          <w:rFonts w:ascii="Arial" w:hAnsi="Arial" w:cs="Arial"/>
          <w:sz w:val="24"/>
          <w:szCs w:val="24"/>
        </w:rPr>
        <w:t>ió</w:t>
      </w:r>
      <w:r w:rsidRPr="00E00F13">
        <w:rPr>
          <w:rFonts w:ascii="Arial" w:hAnsi="Arial" w:cs="Arial"/>
          <w:sz w:val="24"/>
          <w:szCs w:val="24"/>
        </w:rPr>
        <w:t xml:space="preserve"> </w:t>
      </w:r>
      <w:r w:rsidR="003A4ADC" w:rsidRPr="00E00F13">
        <w:rPr>
          <w:rFonts w:ascii="Arial" w:hAnsi="Arial" w:cs="Arial"/>
          <w:sz w:val="24"/>
          <w:szCs w:val="24"/>
        </w:rPr>
        <w:t>reformular</w:t>
      </w:r>
      <w:r w:rsidRPr="00E00F13">
        <w:rPr>
          <w:rFonts w:ascii="Arial" w:hAnsi="Arial" w:cs="Arial"/>
          <w:sz w:val="24"/>
          <w:szCs w:val="24"/>
        </w:rPr>
        <w:t xml:space="preserve"> la forma de intervenir en el territorio</w:t>
      </w:r>
      <w:r w:rsidR="003A4ADC" w:rsidRPr="00E00F13">
        <w:rPr>
          <w:rFonts w:ascii="Arial" w:hAnsi="Arial" w:cs="Arial"/>
          <w:sz w:val="24"/>
          <w:szCs w:val="24"/>
        </w:rPr>
        <w:t>. Por ello dio</w:t>
      </w:r>
      <w:r w:rsidRPr="00E00F13">
        <w:rPr>
          <w:rFonts w:ascii="Arial" w:hAnsi="Arial" w:cs="Arial"/>
          <w:sz w:val="24"/>
          <w:szCs w:val="24"/>
        </w:rPr>
        <w:t xml:space="preserve"> inicio al Plan </w:t>
      </w:r>
      <w:proofErr w:type="spellStart"/>
      <w:r w:rsidRPr="00E00F13">
        <w:rPr>
          <w:rFonts w:ascii="Arial" w:hAnsi="Arial" w:cs="Arial"/>
          <w:sz w:val="24"/>
          <w:szCs w:val="24"/>
        </w:rPr>
        <w:t>Wüin</w:t>
      </w:r>
      <w:proofErr w:type="spellEnd"/>
      <w:r w:rsidRPr="00E00F13">
        <w:rPr>
          <w:rFonts w:ascii="Arial" w:hAnsi="Arial" w:cs="Arial"/>
          <w:sz w:val="24"/>
          <w:szCs w:val="24"/>
        </w:rPr>
        <w:t xml:space="preserve"> </w:t>
      </w:r>
      <w:proofErr w:type="spellStart"/>
      <w:r w:rsidRPr="00E00F13">
        <w:rPr>
          <w:rFonts w:ascii="Arial" w:hAnsi="Arial" w:cs="Arial"/>
          <w:sz w:val="24"/>
          <w:szCs w:val="24"/>
        </w:rPr>
        <w:t>Ülees</w:t>
      </w:r>
      <w:proofErr w:type="spellEnd"/>
      <w:r w:rsidRPr="00E00F13">
        <w:rPr>
          <w:rFonts w:ascii="Arial" w:hAnsi="Arial" w:cs="Arial"/>
          <w:sz w:val="24"/>
          <w:szCs w:val="24"/>
        </w:rPr>
        <w:t xml:space="preserve">. Para poner </w:t>
      </w:r>
      <w:r w:rsidR="003A4ADC" w:rsidRPr="00E00F13">
        <w:rPr>
          <w:rFonts w:ascii="Arial" w:hAnsi="Arial" w:cs="Arial"/>
          <w:sz w:val="24"/>
          <w:szCs w:val="24"/>
        </w:rPr>
        <w:t xml:space="preserve">en </w:t>
      </w:r>
      <w:r w:rsidRPr="00E00F13">
        <w:rPr>
          <w:rFonts w:ascii="Arial" w:hAnsi="Arial" w:cs="Arial"/>
          <w:sz w:val="24"/>
          <w:szCs w:val="24"/>
        </w:rPr>
        <w:t>ejecución este plan, el VASB const</w:t>
      </w:r>
      <w:r w:rsidR="003A4ADC" w:rsidRPr="00E00F13">
        <w:rPr>
          <w:rFonts w:ascii="Arial" w:hAnsi="Arial" w:cs="Arial"/>
          <w:sz w:val="24"/>
          <w:szCs w:val="24"/>
        </w:rPr>
        <w:t>ituyó</w:t>
      </w:r>
      <w:r w:rsidRPr="00E00F13">
        <w:rPr>
          <w:rFonts w:ascii="Arial" w:hAnsi="Arial" w:cs="Arial"/>
          <w:sz w:val="24"/>
          <w:szCs w:val="24"/>
        </w:rPr>
        <w:t xml:space="preserve"> un equipo dedicado exclusivamente a su implementación</w:t>
      </w:r>
      <w:r w:rsidR="003A4ADC" w:rsidRPr="00E00F13">
        <w:rPr>
          <w:rFonts w:ascii="Arial" w:hAnsi="Arial" w:cs="Arial"/>
          <w:sz w:val="24"/>
          <w:szCs w:val="24"/>
        </w:rPr>
        <w:t>. E</w:t>
      </w:r>
      <w:r w:rsidRPr="00E00F13">
        <w:rPr>
          <w:rFonts w:ascii="Arial" w:hAnsi="Arial" w:cs="Arial"/>
          <w:sz w:val="24"/>
          <w:szCs w:val="24"/>
        </w:rPr>
        <w:t xml:space="preserve">ste equipo se </w:t>
      </w:r>
      <w:r w:rsidR="003A4ADC" w:rsidRPr="00E00F13">
        <w:rPr>
          <w:rFonts w:ascii="Arial" w:hAnsi="Arial" w:cs="Arial"/>
          <w:sz w:val="24"/>
          <w:szCs w:val="24"/>
        </w:rPr>
        <w:t>dividió y</w:t>
      </w:r>
      <w:r w:rsidRPr="00E00F13">
        <w:rPr>
          <w:rFonts w:ascii="Arial" w:hAnsi="Arial" w:cs="Arial"/>
          <w:sz w:val="24"/>
          <w:szCs w:val="24"/>
        </w:rPr>
        <w:t xml:space="preserve"> un grupo de personas ubic</w:t>
      </w:r>
      <w:r w:rsidR="003A4ADC" w:rsidRPr="00E00F13">
        <w:rPr>
          <w:rFonts w:ascii="Arial" w:hAnsi="Arial" w:cs="Arial"/>
          <w:sz w:val="24"/>
          <w:szCs w:val="24"/>
        </w:rPr>
        <w:t>ó</w:t>
      </w:r>
      <w:r w:rsidRPr="00E00F13">
        <w:rPr>
          <w:rFonts w:ascii="Arial" w:hAnsi="Arial" w:cs="Arial"/>
          <w:sz w:val="24"/>
          <w:szCs w:val="24"/>
        </w:rPr>
        <w:t xml:space="preserve"> su domicilio en Riohacha</w:t>
      </w:r>
      <w:r w:rsidR="003A4ADC" w:rsidRPr="00E00F13">
        <w:rPr>
          <w:rFonts w:ascii="Arial" w:hAnsi="Arial" w:cs="Arial"/>
          <w:sz w:val="24"/>
          <w:szCs w:val="24"/>
        </w:rPr>
        <w:t>, con la finalidad de</w:t>
      </w:r>
      <w:r w:rsidRPr="00E00F13">
        <w:rPr>
          <w:rFonts w:ascii="Arial" w:hAnsi="Arial" w:cs="Arial"/>
          <w:sz w:val="24"/>
          <w:szCs w:val="24"/>
        </w:rPr>
        <w:t xml:space="preserve"> atender las necesidades y los retos propi</w:t>
      </w:r>
      <w:r w:rsidR="003A4ADC" w:rsidRPr="00E00F13">
        <w:rPr>
          <w:rFonts w:ascii="Arial" w:hAnsi="Arial" w:cs="Arial"/>
          <w:sz w:val="24"/>
          <w:szCs w:val="24"/>
        </w:rPr>
        <w:t>o</w:t>
      </w:r>
      <w:r w:rsidRPr="00E00F13">
        <w:rPr>
          <w:rFonts w:ascii="Arial" w:hAnsi="Arial" w:cs="Arial"/>
          <w:sz w:val="24"/>
          <w:szCs w:val="24"/>
        </w:rPr>
        <w:t>s del territorio</w:t>
      </w:r>
      <w:r w:rsidR="003A4ADC" w:rsidRPr="00E00F13">
        <w:rPr>
          <w:rFonts w:ascii="Arial" w:hAnsi="Arial" w:cs="Arial"/>
          <w:sz w:val="24"/>
          <w:szCs w:val="24"/>
        </w:rPr>
        <w:t>. Y</w:t>
      </w:r>
      <w:r w:rsidRPr="00E00F13">
        <w:rPr>
          <w:rFonts w:ascii="Arial" w:hAnsi="Arial" w:cs="Arial"/>
          <w:sz w:val="24"/>
          <w:szCs w:val="24"/>
        </w:rPr>
        <w:t xml:space="preserve"> otro grupo de personas </w:t>
      </w:r>
      <w:r w:rsidR="003A4ADC" w:rsidRPr="00E00F13">
        <w:rPr>
          <w:rFonts w:ascii="Arial" w:hAnsi="Arial" w:cs="Arial"/>
          <w:sz w:val="24"/>
          <w:szCs w:val="24"/>
        </w:rPr>
        <w:t xml:space="preserve">ha estado </w:t>
      </w:r>
      <w:r w:rsidRPr="00E00F13">
        <w:rPr>
          <w:rFonts w:ascii="Arial" w:hAnsi="Arial" w:cs="Arial"/>
          <w:sz w:val="24"/>
          <w:szCs w:val="24"/>
        </w:rPr>
        <w:t xml:space="preserve">en Bogotá atendiendo los procesos administrativos y políticos que deben ser manejados en la capital. </w:t>
      </w:r>
    </w:p>
    <w:p w14:paraId="31481578" w14:textId="77777777" w:rsidR="00E2113D" w:rsidRPr="00E00F13" w:rsidRDefault="00E2113D" w:rsidP="003A4ADC">
      <w:pPr>
        <w:spacing w:after="0" w:line="360" w:lineRule="auto"/>
        <w:jc w:val="both"/>
        <w:rPr>
          <w:rFonts w:ascii="Arial" w:hAnsi="Arial" w:cs="Arial"/>
          <w:sz w:val="24"/>
          <w:szCs w:val="24"/>
        </w:rPr>
      </w:pPr>
    </w:p>
    <w:p w14:paraId="356C71F0" w14:textId="77777777" w:rsidR="00E2113D" w:rsidRPr="00E00F13" w:rsidRDefault="00E2113D" w:rsidP="003A4ADC">
      <w:pPr>
        <w:spacing w:after="0" w:line="360" w:lineRule="auto"/>
        <w:jc w:val="both"/>
        <w:rPr>
          <w:rFonts w:ascii="Arial" w:hAnsi="Arial" w:cs="Arial"/>
          <w:b/>
          <w:bCs/>
          <w:sz w:val="24"/>
          <w:szCs w:val="24"/>
        </w:rPr>
      </w:pPr>
      <w:r w:rsidRPr="00E00F13">
        <w:rPr>
          <w:rFonts w:ascii="Arial" w:hAnsi="Arial" w:cs="Arial"/>
          <w:b/>
          <w:bCs/>
          <w:sz w:val="24"/>
          <w:szCs w:val="24"/>
        </w:rPr>
        <w:t>Construcción de confianza</w:t>
      </w:r>
    </w:p>
    <w:p w14:paraId="1C5BD9C2" w14:textId="2B9DBF01" w:rsidR="00E2113D" w:rsidRPr="00E00F13" w:rsidRDefault="00E2113D" w:rsidP="003A4ADC">
      <w:pPr>
        <w:spacing w:after="0" w:line="360" w:lineRule="auto"/>
        <w:jc w:val="both"/>
        <w:rPr>
          <w:rFonts w:ascii="Arial" w:hAnsi="Arial" w:cs="Arial"/>
          <w:sz w:val="24"/>
          <w:szCs w:val="24"/>
        </w:rPr>
      </w:pPr>
      <w:r w:rsidRPr="00E00F13">
        <w:rPr>
          <w:rFonts w:ascii="Arial" w:hAnsi="Arial" w:cs="Arial"/>
          <w:sz w:val="24"/>
          <w:szCs w:val="24"/>
        </w:rPr>
        <w:lastRenderedPageBreak/>
        <w:t>Atendiendo al cambio de visión que implicaba la implementación de este nuevo plan, se puso como prioridad la construcción de lazos de comunicación entre las comunidades del pueblo</w:t>
      </w:r>
      <w:r w:rsidR="009F02B3" w:rsidRPr="00E00F13">
        <w:rPr>
          <w:rFonts w:ascii="Arial" w:hAnsi="Arial" w:cs="Arial"/>
          <w:sz w:val="24"/>
          <w:szCs w:val="24"/>
        </w:rPr>
        <w:t xml:space="preserve"> indígena</w:t>
      </w:r>
      <w:r w:rsidRPr="00E00F13">
        <w:rPr>
          <w:rFonts w:ascii="Arial" w:hAnsi="Arial" w:cs="Arial"/>
          <w:sz w:val="24"/>
          <w:szCs w:val="24"/>
        </w:rPr>
        <w:t xml:space="preserve"> </w:t>
      </w:r>
      <w:proofErr w:type="spellStart"/>
      <w:r w:rsidR="003A4ADC" w:rsidRPr="00E00F13">
        <w:rPr>
          <w:rFonts w:ascii="Arial" w:hAnsi="Arial" w:cs="Arial"/>
          <w:sz w:val="24"/>
          <w:szCs w:val="24"/>
        </w:rPr>
        <w:t>W</w:t>
      </w:r>
      <w:r w:rsidRPr="00E00F13">
        <w:rPr>
          <w:rFonts w:ascii="Arial" w:hAnsi="Arial" w:cs="Arial"/>
          <w:sz w:val="24"/>
          <w:szCs w:val="24"/>
        </w:rPr>
        <w:t>ay</w:t>
      </w:r>
      <w:r w:rsidR="003A4ADC" w:rsidRPr="00E00F13">
        <w:rPr>
          <w:rFonts w:ascii="Arial" w:hAnsi="Arial" w:cs="Arial"/>
          <w:sz w:val="24"/>
          <w:szCs w:val="24"/>
        </w:rPr>
        <w:t>ú</w:t>
      </w:r>
      <w:r w:rsidRPr="00E00F13">
        <w:rPr>
          <w:rFonts w:ascii="Arial" w:hAnsi="Arial" w:cs="Arial"/>
          <w:sz w:val="24"/>
          <w:szCs w:val="24"/>
        </w:rPr>
        <w:t>u</w:t>
      </w:r>
      <w:proofErr w:type="spellEnd"/>
      <w:r w:rsidRPr="00E00F13">
        <w:rPr>
          <w:rFonts w:ascii="Arial" w:hAnsi="Arial" w:cs="Arial"/>
          <w:sz w:val="24"/>
          <w:szCs w:val="24"/>
        </w:rPr>
        <w:t xml:space="preserve"> y el MVCT</w:t>
      </w:r>
      <w:r w:rsidR="003A4ADC" w:rsidRPr="00E00F13">
        <w:rPr>
          <w:rFonts w:ascii="Arial" w:hAnsi="Arial" w:cs="Arial"/>
          <w:sz w:val="24"/>
          <w:szCs w:val="24"/>
        </w:rPr>
        <w:t xml:space="preserve"> para que el proyecto sí reflejara la cultura y visión </w:t>
      </w:r>
      <w:r w:rsidR="009F02B3" w:rsidRPr="00E00F13">
        <w:rPr>
          <w:rFonts w:ascii="Arial" w:hAnsi="Arial" w:cs="Arial"/>
          <w:sz w:val="24"/>
          <w:szCs w:val="24"/>
        </w:rPr>
        <w:t>de las personas que</w:t>
      </w:r>
      <w:r w:rsidR="003A4ADC" w:rsidRPr="00E00F13">
        <w:rPr>
          <w:rFonts w:ascii="Arial" w:hAnsi="Arial" w:cs="Arial"/>
          <w:sz w:val="24"/>
          <w:szCs w:val="24"/>
        </w:rPr>
        <w:t xml:space="preserve"> habita</w:t>
      </w:r>
      <w:r w:rsidR="009F02B3" w:rsidRPr="00E00F13">
        <w:rPr>
          <w:rFonts w:ascii="Arial" w:hAnsi="Arial" w:cs="Arial"/>
          <w:sz w:val="24"/>
          <w:szCs w:val="24"/>
        </w:rPr>
        <w:t>n</w:t>
      </w:r>
      <w:r w:rsidR="003A4ADC" w:rsidRPr="00E00F13">
        <w:rPr>
          <w:rFonts w:ascii="Arial" w:hAnsi="Arial" w:cs="Arial"/>
          <w:sz w:val="24"/>
          <w:szCs w:val="24"/>
        </w:rPr>
        <w:t xml:space="preserve"> esta zona del país</w:t>
      </w:r>
      <w:r w:rsidRPr="00E00F13">
        <w:rPr>
          <w:rFonts w:ascii="Arial" w:hAnsi="Arial" w:cs="Arial"/>
          <w:sz w:val="24"/>
          <w:szCs w:val="24"/>
        </w:rPr>
        <w:t xml:space="preserve">. Esta tarea empezó con el relacionamiento con sus liderazgos </w:t>
      </w:r>
      <w:r w:rsidR="009F02B3" w:rsidRPr="00E00F13">
        <w:rPr>
          <w:rFonts w:ascii="Arial" w:hAnsi="Arial" w:cs="Arial"/>
          <w:sz w:val="24"/>
          <w:szCs w:val="24"/>
        </w:rPr>
        <w:t>mediante</w:t>
      </w:r>
      <w:r w:rsidRPr="00E00F13">
        <w:rPr>
          <w:rFonts w:ascii="Arial" w:hAnsi="Arial" w:cs="Arial"/>
          <w:sz w:val="24"/>
          <w:szCs w:val="24"/>
        </w:rPr>
        <w:t xml:space="preserve"> la asistencia a espacios de concertación que se desprendían de la sentencia T-302 y del </w:t>
      </w:r>
      <w:r w:rsidR="003A4ADC" w:rsidRPr="00E00F13">
        <w:rPr>
          <w:rFonts w:ascii="Arial" w:hAnsi="Arial" w:cs="Arial"/>
          <w:sz w:val="24"/>
          <w:szCs w:val="24"/>
        </w:rPr>
        <w:t>A</w:t>
      </w:r>
      <w:r w:rsidRPr="00E00F13">
        <w:rPr>
          <w:rFonts w:ascii="Arial" w:hAnsi="Arial" w:cs="Arial"/>
          <w:sz w:val="24"/>
          <w:szCs w:val="24"/>
        </w:rPr>
        <w:t>uto 696 de 202</w:t>
      </w:r>
      <w:r w:rsidRPr="00E00F13">
        <w:rPr>
          <w:rFonts w:ascii="Arial" w:hAnsi="Arial" w:cs="Arial"/>
          <w:sz w:val="24"/>
          <w:szCs w:val="24"/>
        </w:rPr>
        <w:footnoteReference w:id="3"/>
      </w:r>
      <w:r w:rsidRPr="00E00F13">
        <w:rPr>
          <w:rFonts w:ascii="Arial" w:hAnsi="Arial" w:cs="Arial"/>
          <w:sz w:val="24"/>
          <w:szCs w:val="24"/>
        </w:rPr>
        <w:t xml:space="preserve">. En este proceso de diálogo la generación de lazos efectivos de comunicación con el </w:t>
      </w:r>
      <w:r w:rsidR="003A4ADC" w:rsidRPr="00E00F13">
        <w:rPr>
          <w:rFonts w:ascii="Arial" w:hAnsi="Arial" w:cs="Arial"/>
          <w:sz w:val="24"/>
          <w:szCs w:val="24"/>
        </w:rPr>
        <w:t>M</w:t>
      </w:r>
      <w:r w:rsidRPr="00E00F13">
        <w:rPr>
          <w:rFonts w:ascii="Arial" w:hAnsi="Arial" w:cs="Arial"/>
          <w:sz w:val="24"/>
          <w:szCs w:val="24"/>
        </w:rPr>
        <w:t xml:space="preserve">inisterio del </w:t>
      </w:r>
      <w:r w:rsidR="003A4ADC" w:rsidRPr="00E00F13">
        <w:rPr>
          <w:rFonts w:ascii="Arial" w:hAnsi="Arial" w:cs="Arial"/>
          <w:sz w:val="24"/>
          <w:szCs w:val="24"/>
        </w:rPr>
        <w:t>I</w:t>
      </w:r>
      <w:r w:rsidRPr="00E00F13">
        <w:rPr>
          <w:rFonts w:ascii="Arial" w:hAnsi="Arial" w:cs="Arial"/>
          <w:sz w:val="24"/>
          <w:szCs w:val="24"/>
        </w:rPr>
        <w:t xml:space="preserve">nterior y con la </w:t>
      </w:r>
      <w:r w:rsidR="003A4ADC" w:rsidRPr="00E00F13">
        <w:rPr>
          <w:rFonts w:ascii="Arial" w:hAnsi="Arial" w:cs="Arial"/>
          <w:sz w:val="24"/>
          <w:szCs w:val="24"/>
        </w:rPr>
        <w:t>A</w:t>
      </w:r>
      <w:r w:rsidRPr="00E00F13">
        <w:rPr>
          <w:rFonts w:ascii="Arial" w:hAnsi="Arial" w:cs="Arial"/>
          <w:sz w:val="24"/>
          <w:szCs w:val="24"/>
        </w:rPr>
        <w:t xml:space="preserve">lta </w:t>
      </w:r>
      <w:r w:rsidR="003A4ADC" w:rsidRPr="00E00F13">
        <w:rPr>
          <w:rFonts w:ascii="Arial" w:hAnsi="Arial" w:cs="Arial"/>
          <w:sz w:val="24"/>
          <w:szCs w:val="24"/>
        </w:rPr>
        <w:t>C</w:t>
      </w:r>
      <w:r w:rsidRPr="00E00F13">
        <w:rPr>
          <w:rFonts w:ascii="Arial" w:hAnsi="Arial" w:cs="Arial"/>
          <w:sz w:val="24"/>
          <w:szCs w:val="24"/>
        </w:rPr>
        <w:t xml:space="preserve">onsejería para las </w:t>
      </w:r>
      <w:r w:rsidR="003A4ADC" w:rsidRPr="00E00F13">
        <w:rPr>
          <w:rFonts w:ascii="Arial" w:hAnsi="Arial" w:cs="Arial"/>
          <w:sz w:val="24"/>
          <w:szCs w:val="24"/>
        </w:rPr>
        <w:t>R</w:t>
      </w:r>
      <w:r w:rsidRPr="00E00F13">
        <w:rPr>
          <w:rFonts w:ascii="Arial" w:hAnsi="Arial" w:cs="Arial"/>
          <w:sz w:val="24"/>
          <w:szCs w:val="24"/>
        </w:rPr>
        <w:t xml:space="preserve">egiones fue determinante, ya que los funcionarios de estas entidades ayudaron a generar conexiones que dinamizaron el proceso del MVCT. </w:t>
      </w:r>
    </w:p>
    <w:p w14:paraId="0ABDAB97" w14:textId="77777777" w:rsidR="00E2113D" w:rsidRPr="00E00F13" w:rsidRDefault="00E2113D" w:rsidP="003A4ADC">
      <w:pPr>
        <w:spacing w:after="0" w:line="360" w:lineRule="auto"/>
        <w:jc w:val="both"/>
        <w:rPr>
          <w:rFonts w:ascii="Arial" w:hAnsi="Arial" w:cs="Arial"/>
          <w:sz w:val="24"/>
          <w:szCs w:val="24"/>
        </w:rPr>
      </w:pPr>
      <w:r w:rsidRPr="00E00F13">
        <w:rPr>
          <w:rFonts w:ascii="Arial" w:hAnsi="Arial" w:cs="Arial"/>
          <w:noProof/>
          <w:sz w:val="24"/>
          <w:szCs w:val="24"/>
        </w:rPr>
        <w:drawing>
          <wp:anchor distT="0" distB="0" distL="114300" distR="114300" simplePos="0" relativeHeight="251658240" behindDoc="0" locked="0" layoutInCell="1" allowOverlap="1" wp14:anchorId="44EC0745" wp14:editId="2DDFB95C">
            <wp:simplePos x="0" y="0"/>
            <wp:positionH relativeFrom="margin">
              <wp:align>center</wp:align>
            </wp:positionH>
            <wp:positionV relativeFrom="paragraph">
              <wp:posOffset>169545</wp:posOffset>
            </wp:positionV>
            <wp:extent cx="3346450" cy="2517775"/>
            <wp:effectExtent l="0" t="0" r="6350" b="0"/>
            <wp:wrapTopAndBottom/>
            <wp:docPr id="9341551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346450" cy="2517775"/>
                    </a:xfrm>
                    <a:prstGeom prst="rect">
                      <a:avLst/>
                    </a:prstGeom>
                    <a:noFill/>
                    <a:ln>
                      <a:noFill/>
                    </a:ln>
                  </pic:spPr>
                </pic:pic>
              </a:graphicData>
            </a:graphic>
          </wp:anchor>
        </w:drawing>
      </w:r>
    </w:p>
    <w:p w14:paraId="296C779B" w14:textId="012F3DA7" w:rsidR="00E2113D" w:rsidRPr="00E00F13" w:rsidRDefault="009F02B3" w:rsidP="003A4ADC">
      <w:pPr>
        <w:spacing w:after="0" w:line="360" w:lineRule="auto"/>
        <w:jc w:val="both"/>
        <w:rPr>
          <w:rFonts w:ascii="Arial" w:hAnsi="Arial" w:cs="Arial"/>
          <w:sz w:val="24"/>
          <w:szCs w:val="24"/>
        </w:rPr>
      </w:pPr>
      <w:r w:rsidRPr="00E00F13">
        <w:rPr>
          <w:rFonts w:ascii="Arial" w:hAnsi="Arial" w:cs="Arial"/>
          <w:sz w:val="24"/>
          <w:szCs w:val="24"/>
        </w:rPr>
        <w:t>Al establecer la</w:t>
      </w:r>
      <w:r w:rsidR="00E2113D" w:rsidRPr="00E00F13">
        <w:rPr>
          <w:rFonts w:ascii="Arial" w:hAnsi="Arial" w:cs="Arial"/>
          <w:sz w:val="24"/>
          <w:szCs w:val="24"/>
        </w:rPr>
        <w:t xml:space="preserve"> comunicación con los liderazgos del pueblo </w:t>
      </w:r>
      <w:proofErr w:type="spellStart"/>
      <w:r w:rsidR="00E2113D" w:rsidRPr="00E00F13">
        <w:rPr>
          <w:rFonts w:ascii="Arial" w:hAnsi="Arial" w:cs="Arial"/>
          <w:sz w:val="24"/>
          <w:szCs w:val="24"/>
        </w:rPr>
        <w:t>Wayúu</w:t>
      </w:r>
      <w:proofErr w:type="spellEnd"/>
      <w:r w:rsidR="00E2113D" w:rsidRPr="00E00F13">
        <w:rPr>
          <w:rFonts w:ascii="Arial" w:hAnsi="Arial" w:cs="Arial"/>
          <w:sz w:val="24"/>
          <w:szCs w:val="24"/>
        </w:rPr>
        <w:t xml:space="preserve"> (quienes al inicio de la implementación del plan se dividían en dos grupos) se pudo empezar la construcción de una ruta de visitas a terreno, la cual tenía como objetivo</w:t>
      </w:r>
      <w:r w:rsidRPr="00E00F13">
        <w:rPr>
          <w:rFonts w:ascii="Arial" w:hAnsi="Arial" w:cs="Arial"/>
          <w:sz w:val="24"/>
          <w:szCs w:val="24"/>
        </w:rPr>
        <w:t>s (a)</w:t>
      </w:r>
      <w:r w:rsidR="00E2113D" w:rsidRPr="00E00F13">
        <w:rPr>
          <w:rFonts w:ascii="Arial" w:hAnsi="Arial" w:cs="Arial"/>
          <w:sz w:val="24"/>
          <w:szCs w:val="24"/>
        </w:rPr>
        <w:t xml:space="preserve"> el levantamiento de información sobre las infraestructuras de abastecimiento de agua existentes</w:t>
      </w:r>
      <w:r w:rsidRPr="00E00F13">
        <w:rPr>
          <w:rFonts w:ascii="Arial" w:hAnsi="Arial" w:cs="Arial"/>
          <w:sz w:val="24"/>
          <w:szCs w:val="24"/>
        </w:rPr>
        <w:t xml:space="preserve">; (b) </w:t>
      </w:r>
      <w:r w:rsidR="00E2113D" w:rsidRPr="00E00F13">
        <w:rPr>
          <w:rFonts w:ascii="Arial" w:hAnsi="Arial" w:cs="Arial"/>
          <w:sz w:val="24"/>
          <w:szCs w:val="24"/>
        </w:rPr>
        <w:t>el relacionamiento con las autoridades tradicionales de cada ranchería y</w:t>
      </w:r>
      <w:r w:rsidRPr="00E00F13">
        <w:rPr>
          <w:rFonts w:ascii="Arial" w:hAnsi="Arial" w:cs="Arial"/>
          <w:sz w:val="24"/>
          <w:szCs w:val="24"/>
        </w:rPr>
        <w:t xml:space="preserve">; (c) </w:t>
      </w:r>
      <w:r w:rsidR="00E2113D" w:rsidRPr="00E00F13">
        <w:rPr>
          <w:rFonts w:ascii="Arial" w:hAnsi="Arial" w:cs="Arial"/>
          <w:sz w:val="24"/>
          <w:szCs w:val="24"/>
        </w:rPr>
        <w:t xml:space="preserve">la lectura territorial de cada subregión de la alta y media Guajira. En este proceso fue determinante seguir un principio </w:t>
      </w:r>
      <w:proofErr w:type="spellStart"/>
      <w:r w:rsidRPr="00E00F13">
        <w:rPr>
          <w:rFonts w:ascii="Arial" w:hAnsi="Arial" w:cs="Arial"/>
          <w:sz w:val="24"/>
          <w:szCs w:val="24"/>
        </w:rPr>
        <w:t>W</w:t>
      </w:r>
      <w:r w:rsidR="00E2113D" w:rsidRPr="00E00F13">
        <w:rPr>
          <w:rFonts w:ascii="Arial" w:hAnsi="Arial" w:cs="Arial"/>
          <w:sz w:val="24"/>
          <w:szCs w:val="24"/>
        </w:rPr>
        <w:t>ay</w:t>
      </w:r>
      <w:r w:rsidRPr="00E00F13">
        <w:rPr>
          <w:rFonts w:ascii="Arial" w:hAnsi="Arial" w:cs="Arial"/>
          <w:sz w:val="24"/>
          <w:szCs w:val="24"/>
        </w:rPr>
        <w:t>ú</w:t>
      </w:r>
      <w:r w:rsidR="00E2113D" w:rsidRPr="00E00F13">
        <w:rPr>
          <w:rFonts w:ascii="Arial" w:hAnsi="Arial" w:cs="Arial"/>
          <w:sz w:val="24"/>
          <w:szCs w:val="24"/>
        </w:rPr>
        <w:t>u</w:t>
      </w:r>
      <w:proofErr w:type="spellEnd"/>
      <w:r w:rsidR="00E2113D" w:rsidRPr="00E00F13">
        <w:rPr>
          <w:rFonts w:ascii="Arial" w:hAnsi="Arial" w:cs="Arial"/>
          <w:sz w:val="24"/>
          <w:szCs w:val="24"/>
        </w:rPr>
        <w:t xml:space="preserve">: </w:t>
      </w:r>
      <w:r w:rsidRPr="00E00F13">
        <w:rPr>
          <w:rFonts w:ascii="Arial" w:hAnsi="Arial" w:cs="Arial"/>
          <w:sz w:val="24"/>
          <w:szCs w:val="24"/>
        </w:rPr>
        <w:t>«Y</w:t>
      </w:r>
      <w:r w:rsidR="00E2113D" w:rsidRPr="00E00F13">
        <w:rPr>
          <w:rFonts w:ascii="Arial" w:hAnsi="Arial" w:cs="Arial"/>
          <w:sz w:val="24"/>
          <w:szCs w:val="24"/>
        </w:rPr>
        <w:t xml:space="preserve">o debo tener lo que </w:t>
      </w:r>
      <w:r w:rsidR="00E2113D" w:rsidRPr="00E00F13">
        <w:rPr>
          <w:rFonts w:ascii="Arial" w:hAnsi="Arial" w:cs="Arial"/>
          <w:sz w:val="24"/>
          <w:szCs w:val="24"/>
        </w:rPr>
        <w:lastRenderedPageBreak/>
        <w:t>tiene mi vecino</w:t>
      </w:r>
      <w:r w:rsidR="005E30EE" w:rsidRPr="00E00F13">
        <w:rPr>
          <w:rFonts w:ascii="Arial" w:hAnsi="Arial" w:cs="Arial"/>
          <w:sz w:val="24"/>
          <w:szCs w:val="24"/>
        </w:rPr>
        <w:t>»</w:t>
      </w:r>
      <w:r w:rsidR="00E2113D" w:rsidRPr="00E00F13">
        <w:rPr>
          <w:rFonts w:ascii="Arial" w:hAnsi="Arial" w:cs="Arial"/>
          <w:sz w:val="24"/>
          <w:szCs w:val="24"/>
        </w:rPr>
        <w:t xml:space="preserve">. En ese orden de ideas, por cada comunidad que se visitaba de uno de los grupos de líderes, se visitaba una comunidad del otro grupo de líderes; este método unido a la socialización de los criterios de priorización de comunidades para la intervención permitió que no se generaran acusaciones de favoritismo. </w:t>
      </w:r>
    </w:p>
    <w:p w14:paraId="1E460653" w14:textId="77777777" w:rsidR="003A4ADC" w:rsidRPr="00E00F13" w:rsidRDefault="003A4ADC" w:rsidP="003A4ADC">
      <w:pPr>
        <w:spacing w:after="0" w:line="360" w:lineRule="auto"/>
        <w:jc w:val="both"/>
        <w:rPr>
          <w:rFonts w:ascii="Arial" w:hAnsi="Arial" w:cs="Arial"/>
          <w:sz w:val="24"/>
          <w:szCs w:val="24"/>
        </w:rPr>
      </w:pPr>
    </w:p>
    <w:p w14:paraId="41352E2E" w14:textId="54ED9B10" w:rsidR="00E2113D" w:rsidRPr="00E00F13" w:rsidRDefault="00E2113D" w:rsidP="003A4ADC">
      <w:pPr>
        <w:spacing w:after="0" w:line="360" w:lineRule="auto"/>
        <w:jc w:val="both"/>
        <w:rPr>
          <w:rFonts w:ascii="Arial" w:hAnsi="Arial" w:cs="Arial"/>
          <w:sz w:val="24"/>
          <w:szCs w:val="24"/>
        </w:rPr>
      </w:pPr>
      <w:r w:rsidRPr="00E00F13">
        <w:rPr>
          <w:rFonts w:ascii="Arial" w:hAnsi="Arial" w:cs="Arial"/>
          <w:sz w:val="24"/>
          <w:szCs w:val="24"/>
        </w:rPr>
        <w:t>En el proceso de relacionamiento con las comunidades fue vital generar comunicación siempre con la autoridad tradicional. En muchos casos</w:t>
      </w:r>
      <w:r w:rsidR="005E30EE" w:rsidRPr="00E00F13">
        <w:rPr>
          <w:rFonts w:ascii="Arial" w:hAnsi="Arial" w:cs="Arial"/>
          <w:sz w:val="24"/>
          <w:szCs w:val="24"/>
        </w:rPr>
        <w:t xml:space="preserve"> las</w:t>
      </w:r>
      <w:r w:rsidRPr="00E00F13">
        <w:rPr>
          <w:rFonts w:ascii="Arial" w:hAnsi="Arial" w:cs="Arial"/>
          <w:sz w:val="24"/>
          <w:szCs w:val="24"/>
        </w:rPr>
        <w:t xml:space="preserve"> autoridades no hablaban español</w:t>
      </w:r>
      <w:r w:rsidR="005E30EE" w:rsidRPr="00E00F13">
        <w:rPr>
          <w:rFonts w:ascii="Arial" w:hAnsi="Arial" w:cs="Arial"/>
          <w:sz w:val="24"/>
          <w:szCs w:val="24"/>
        </w:rPr>
        <w:t>,</w:t>
      </w:r>
      <w:r w:rsidRPr="00E00F13">
        <w:rPr>
          <w:rFonts w:ascii="Arial" w:hAnsi="Arial" w:cs="Arial"/>
          <w:sz w:val="24"/>
          <w:szCs w:val="24"/>
        </w:rPr>
        <w:t xml:space="preserve"> por lo que se recurría a dos formas de comunicación</w:t>
      </w:r>
      <w:r w:rsidR="005E30EE" w:rsidRPr="00E00F13">
        <w:rPr>
          <w:rFonts w:ascii="Arial" w:hAnsi="Arial" w:cs="Arial"/>
          <w:sz w:val="24"/>
          <w:szCs w:val="24"/>
        </w:rPr>
        <w:t>, a</w:t>
      </w:r>
      <w:r w:rsidRPr="00E00F13">
        <w:rPr>
          <w:rFonts w:ascii="Arial" w:hAnsi="Arial" w:cs="Arial"/>
          <w:sz w:val="24"/>
          <w:szCs w:val="24"/>
        </w:rPr>
        <w:t xml:space="preserve">yudarse de los miembros del equipo que eran </w:t>
      </w:r>
      <w:proofErr w:type="spellStart"/>
      <w:r w:rsidR="005E30EE" w:rsidRPr="00E00F13">
        <w:rPr>
          <w:rFonts w:ascii="Arial" w:hAnsi="Arial" w:cs="Arial"/>
          <w:sz w:val="24"/>
          <w:szCs w:val="24"/>
        </w:rPr>
        <w:t>W</w:t>
      </w:r>
      <w:r w:rsidRPr="00E00F13">
        <w:rPr>
          <w:rFonts w:ascii="Arial" w:hAnsi="Arial" w:cs="Arial"/>
          <w:sz w:val="24"/>
          <w:szCs w:val="24"/>
        </w:rPr>
        <w:t>ay</w:t>
      </w:r>
      <w:r w:rsidR="005E30EE" w:rsidRPr="00E00F13">
        <w:rPr>
          <w:rFonts w:ascii="Arial" w:hAnsi="Arial" w:cs="Arial"/>
          <w:sz w:val="24"/>
          <w:szCs w:val="24"/>
        </w:rPr>
        <w:t>ú</w:t>
      </w:r>
      <w:r w:rsidRPr="00E00F13">
        <w:rPr>
          <w:rFonts w:ascii="Arial" w:hAnsi="Arial" w:cs="Arial"/>
          <w:sz w:val="24"/>
          <w:szCs w:val="24"/>
        </w:rPr>
        <w:t>u</w:t>
      </w:r>
      <w:proofErr w:type="spellEnd"/>
      <w:r w:rsidRPr="00E00F13">
        <w:rPr>
          <w:rFonts w:ascii="Arial" w:hAnsi="Arial" w:cs="Arial"/>
          <w:sz w:val="24"/>
          <w:szCs w:val="24"/>
        </w:rPr>
        <w:t xml:space="preserve"> y hablaban </w:t>
      </w:r>
      <w:proofErr w:type="spellStart"/>
      <w:r w:rsidRPr="00E00F13">
        <w:rPr>
          <w:rFonts w:ascii="Arial" w:hAnsi="Arial" w:cs="Arial"/>
          <w:sz w:val="24"/>
          <w:szCs w:val="24"/>
        </w:rPr>
        <w:t>wayuunaiki</w:t>
      </w:r>
      <w:proofErr w:type="spellEnd"/>
      <w:r w:rsidRPr="00E00F13">
        <w:rPr>
          <w:rFonts w:ascii="Arial" w:hAnsi="Arial" w:cs="Arial"/>
          <w:sz w:val="24"/>
          <w:szCs w:val="24"/>
        </w:rPr>
        <w:t xml:space="preserve"> </w:t>
      </w:r>
      <w:r w:rsidR="005E30EE" w:rsidRPr="00E00F13">
        <w:rPr>
          <w:rFonts w:ascii="Arial" w:hAnsi="Arial" w:cs="Arial"/>
          <w:sz w:val="24"/>
          <w:szCs w:val="24"/>
        </w:rPr>
        <w:t>y</w:t>
      </w:r>
      <w:r w:rsidRPr="00E00F13">
        <w:rPr>
          <w:rFonts w:ascii="Arial" w:hAnsi="Arial" w:cs="Arial"/>
          <w:sz w:val="24"/>
          <w:szCs w:val="24"/>
        </w:rPr>
        <w:t xml:space="preserve"> comunicarse con un líder o lideresa de la comunidad que hablara español, siempre manteniendo enterado de toda la comunicación a la autoridad. </w:t>
      </w:r>
    </w:p>
    <w:p w14:paraId="72C805AC" w14:textId="77777777" w:rsidR="005E30EE" w:rsidRPr="00E00F13" w:rsidRDefault="005E30EE" w:rsidP="003A4ADC">
      <w:pPr>
        <w:spacing w:after="0" w:line="360" w:lineRule="auto"/>
        <w:jc w:val="both"/>
        <w:rPr>
          <w:rFonts w:ascii="Arial" w:hAnsi="Arial" w:cs="Arial"/>
          <w:sz w:val="24"/>
          <w:szCs w:val="24"/>
        </w:rPr>
      </w:pPr>
    </w:p>
    <w:p w14:paraId="30396F62" w14:textId="488D68BD" w:rsidR="00E2113D" w:rsidRPr="00E00F13" w:rsidRDefault="00E2113D" w:rsidP="003A4ADC">
      <w:pPr>
        <w:spacing w:after="0" w:line="360" w:lineRule="auto"/>
        <w:jc w:val="both"/>
        <w:rPr>
          <w:rFonts w:ascii="Arial" w:hAnsi="Arial" w:cs="Arial"/>
          <w:sz w:val="24"/>
          <w:szCs w:val="24"/>
        </w:rPr>
      </w:pPr>
      <w:r w:rsidRPr="00E00F13">
        <w:rPr>
          <w:rFonts w:ascii="Arial" w:hAnsi="Arial" w:cs="Arial"/>
          <w:sz w:val="24"/>
          <w:szCs w:val="24"/>
        </w:rPr>
        <w:t xml:space="preserve">Otro aspecto clave para la generación de confianza y el mantenimiento de la buena comunicación fue la atención constante a las llamadas de los liderazgos. Para las comunidades fue y es muy importante que desde la entidad los intentos de comunicación </w:t>
      </w:r>
      <w:r w:rsidR="005E30EE" w:rsidRPr="00E00F13">
        <w:rPr>
          <w:rFonts w:ascii="Arial" w:hAnsi="Arial" w:cs="Arial"/>
          <w:sz w:val="24"/>
          <w:szCs w:val="24"/>
        </w:rPr>
        <w:t>fueran</w:t>
      </w:r>
      <w:r w:rsidRPr="00E00F13">
        <w:rPr>
          <w:rFonts w:ascii="Arial" w:hAnsi="Arial" w:cs="Arial"/>
          <w:sz w:val="24"/>
          <w:szCs w:val="24"/>
        </w:rPr>
        <w:t xml:space="preserve"> atendidos, incluso si las noticias o los reportes de información no </w:t>
      </w:r>
      <w:r w:rsidR="005E30EE" w:rsidRPr="00E00F13">
        <w:rPr>
          <w:rFonts w:ascii="Arial" w:hAnsi="Arial" w:cs="Arial"/>
          <w:sz w:val="24"/>
          <w:szCs w:val="24"/>
        </w:rPr>
        <w:t>eran</w:t>
      </w:r>
      <w:r w:rsidRPr="00E00F13">
        <w:rPr>
          <w:rFonts w:ascii="Arial" w:hAnsi="Arial" w:cs="Arial"/>
          <w:sz w:val="24"/>
          <w:szCs w:val="24"/>
        </w:rPr>
        <w:t xml:space="preserve"> positivos. Las comunidades </w:t>
      </w:r>
      <w:proofErr w:type="spellStart"/>
      <w:r w:rsidR="005E30EE" w:rsidRPr="00E00F13">
        <w:rPr>
          <w:rFonts w:ascii="Arial" w:hAnsi="Arial" w:cs="Arial"/>
          <w:sz w:val="24"/>
          <w:szCs w:val="24"/>
        </w:rPr>
        <w:t>W</w:t>
      </w:r>
      <w:r w:rsidRPr="00E00F13">
        <w:rPr>
          <w:rFonts w:ascii="Arial" w:hAnsi="Arial" w:cs="Arial"/>
          <w:sz w:val="24"/>
          <w:szCs w:val="24"/>
        </w:rPr>
        <w:t>ay</w:t>
      </w:r>
      <w:r w:rsidR="005E30EE" w:rsidRPr="00E00F13">
        <w:rPr>
          <w:rFonts w:ascii="Arial" w:hAnsi="Arial" w:cs="Arial"/>
          <w:sz w:val="24"/>
          <w:szCs w:val="24"/>
        </w:rPr>
        <w:t>ú</w:t>
      </w:r>
      <w:r w:rsidRPr="00E00F13">
        <w:rPr>
          <w:rFonts w:ascii="Arial" w:hAnsi="Arial" w:cs="Arial"/>
          <w:sz w:val="24"/>
          <w:szCs w:val="24"/>
        </w:rPr>
        <w:t>u</w:t>
      </w:r>
      <w:proofErr w:type="spellEnd"/>
      <w:r w:rsidRPr="00E00F13">
        <w:rPr>
          <w:rFonts w:ascii="Arial" w:hAnsi="Arial" w:cs="Arial"/>
          <w:sz w:val="24"/>
          <w:szCs w:val="24"/>
        </w:rPr>
        <w:t xml:space="preserve"> están acostumbradas a la displicencia en el trato que las instituciones les han dado a lo largo de cientos de años, por lo que un cambio sencillo como la atención de una llamada contribuye de una manera muy efectiva al relacionamiento entre las partes. </w:t>
      </w:r>
    </w:p>
    <w:p w14:paraId="2672BFD2" w14:textId="77777777" w:rsidR="00E2113D" w:rsidRPr="00E00F13" w:rsidRDefault="00E2113D" w:rsidP="003A4ADC">
      <w:pPr>
        <w:spacing w:after="0" w:line="360" w:lineRule="auto"/>
        <w:jc w:val="both"/>
        <w:rPr>
          <w:rFonts w:ascii="Arial" w:hAnsi="Arial" w:cs="Arial"/>
          <w:sz w:val="24"/>
          <w:szCs w:val="24"/>
        </w:rPr>
      </w:pPr>
    </w:p>
    <w:p w14:paraId="1B359E21" w14:textId="77777777" w:rsidR="00E2113D" w:rsidRPr="00E00F13" w:rsidRDefault="00E2113D" w:rsidP="003A4ADC">
      <w:pPr>
        <w:spacing w:after="0" w:line="360" w:lineRule="auto"/>
        <w:jc w:val="both"/>
        <w:rPr>
          <w:rFonts w:ascii="Arial" w:hAnsi="Arial" w:cs="Arial"/>
          <w:b/>
          <w:bCs/>
          <w:sz w:val="24"/>
          <w:szCs w:val="24"/>
        </w:rPr>
      </w:pPr>
      <w:r w:rsidRPr="00E00F13">
        <w:rPr>
          <w:rFonts w:ascii="Arial" w:hAnsi="Arial" w:cs="Arial"/>
          <w:b/>
          <w:bCs/>
          <w:sz w:val="24"/>
          <w:szCs w:val="24"/>
        </w:rPr>
        <w:t>Visitas a campo</w:t>
      </w:r>
    </w:p>
    <w:p w14:paraId="63E72459" w14:textId="21FEE56B" w:rsidR="00E2113D" w:rsidRPr="00E00F13" w:rsidRDefault="00E2113D" w:rsidP="003A4ADC">
      <w:pPr>
        <w:spacing w:after="0" w:line="360" w:lineRule="auto"/>
        <w:jc w:val="both"/>
        <w:rPr>
          <w:rFonts w:ascii="Arial" w:hAnsi="Arial" w:cs="Arial"/>
          <w:sz w:val="24"/>
          <w:szCs w:val="24"/>
        </w:rPr>
      </w:pPr>
      <w:r w:rsidRPr="00E00F13">
        <w:rPr>
          <w:rFonts w:ascii="Arial" w:hAnsi="Arial" w:cs="Arial"/>
          <w:noProof/>
          <w:sz w:val="24"/>
          <w:szCs w:val="24"/>
        </w:rPr>
        <w:lastRenderedPageBreak/>
        <w:drawing>
          <wp:anchor distT="0" distB="0" distL="114300" distR="114300" simplePos="0" relativeHeight="251658241" behindDoc="0" locked="0" layoutInCell="1" allowOverlap="1" wp14:anchorId="7AD6C959" wp14:editId="1CF74DC0">
            <wp:simplePos x="0" y="0"/>
            <wp:positionH relativeFrom="margin">
              <wp:posOffset>-635</wp:posOffset>
            </wp:positionH>
            <wp:positionV relativeFrom="paragraph">
              <wp:posOffset>2985770</wp:posOffset>
            </wp:positionV>
            <wp:extent cx="2784475" cy="2095500"/>
            <wp:effectExtent l="0" t="0" r="0" b="0"/>
            <wp:wrapTopAndBottom/>
            <wp:docPr id="112638052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84475" cy="2095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00F13">
        <w:rPr>
          <w:rFonts w:ascii="Arial" w:hAnsi="Arial" w:cs="Arial"/>
          <w:noProof/>
          <w:sz w:val="24"/>
          <w:szCs w:val="24"/>
        </w:rPr>
        <w:drawing>
          <wp:anchor distT="0" distB="0" distL="114300" distR="114300" simplePos="0" relativeHeight="251658242" behindDoc="0" locked="0" layoutInCell="1" allowOverlap="1" wp14:anchorId="566E8050" wp14:editId="683D546D">
            <wp:simplePos x="0" y="0"/>
            <wp:positionH relativeFrom="column">
              <wp:posOffset>3468370</wp:posOffset>
            </wp:positionH>
            <wp:positionV relativeFrom="paragraph">
              <wp:posOffset>2673350</wp:posOffset>
            </wp:positionV>
            <wp:extent cx="2044700" cy="2717165"/>
            <wp:effectExtent l="0" t="0" r="0" b="6985"/>
            <wp:wrapTopAndBottom/>
            <wp:docPr id="99778567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044700" cy="27171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00F13">
        <w:rPr>
          <w:rFonts w:ascii="Arial" w:hAnsi="Arial" w:cs="Arial"/>
          <w:sz w:val="24"/>
          <w:szCs w:val="24"/>
        </w:rPr>
        <w:t xml:space="preserve">Las visitas que el equipo hace en el territorio son la mejor forma de integración del componente social y el componente técnico, por lo que en cada una de las visitas el equipo mínimo que se trasladaba era un profesional técnico y un profesional social. </w:t>
      </w:r>
      <w:r w:rsidR="005E30EE" w:rsidRPr="00E00F13">
        <w:rPr>
          <w:rFonts w:ascii="Arial" w:hAnsi="Arial" w:cs="Arial"/>
          <w:sz w:val="24"/>
          <w:szCs w:val="24"/>
        </w:rPr>
        <w:t>Asimismo, c</w:t>
      </w:r>
      <w:r w:rsidRPr="00E00F13">
        <w:rPr>
          <w:rFonts w:ascii="Arial" w:hAnsi="Arial" w:cs="Arial"/>
          <w:sz w:val="24"/>
          <w:szCs w:val="24"/>
        </w:rPr>
        <w:t>omo primera medida</w:t>
      </w:r>
      <w:r w:rsidR="005E30EE" w:rsidRPr="00E00F13">
        <w:rPr>
          <w:rFonts w:ascii="Arial" w:hAnsi="Arial" w:cs="Arial"/>
          <w:sz w:val="24"/>
          <w:szCs w:val="24"/>
        </w:rPr>
        <w:t>,</w:t>
      </w:r>
      <w:r w:rsidRPr="00E00F13">
        <w:rPr>
          <w:rFonts w:ascii="Arial" w:hAnsi="Arial" w:cs="Arial"/>
          <w:sz w:val="24"/>
          <w:szCs w:val="24"/>
        </w:rPr>
        <w:t xml:space="preserve"> el equipo siempre estaba preparado para responder cualquier </w:t>
      </w:r>
      <w:r w:rsidR="005E30EE" w:rsidRPr="00E00F13">
        <w:rPr>
          <w:rFonts w:ascii="Arial" w:hAnsi="Arial" w:cs="Arial"/>
          <w:sz w:val="24"/>
          <w:szCs w:val="24"/>
        </w:rPr>
        <w:t xml:space="preserve">duda </w:t>
      </w:r>
      <w:r w:rsidRPr="00E00F13">
        <w:rPr>
          <w:rFonts w:ascii="Arial" w:hAnsi="Arial" w:cs="Arial"/>
          <w:sz w:val="24"/>
          <w:szCs w:val="24"/>
        </w:rPr>
        <w:t>que pudieran tener los miembros de la comunidad. En segundo lugar, a cualquier lugar al que llegaba el equipo del MVCT se hacía una revisión de la infraestructura existente; en términos de percepción de la comunidad, esta sentía que los equipos no llegaban s</w:t>
      </w:r>
      <w:r w:rsidR="005E30EE" w:rsidRPr="00E00F13">
        <w:rPr>
          <w:rFonts w:ascii="Arial" w:hAnsi="Arial" w:cs="Arial"/>
          <w:sz w:val="24"/>
          <w:szCs w:val="24"/>
        </w:rPr>
        <w:t>o</w:t>
      </w:r>
      <w:r w:rsidRPr="00E00F13">
        <w:rPr>
          <w:rFonts w:ascii="Arial" w:hAnsi="Arial" w:cs="Arial"/>
          <w:sz w:val="24"/>
          <w:szCs w:val="24"/>
        </w:rPr>
        <w:t xml:space="preserve">lo a hacer promesas, sino que se adelantaba un proceso de revisión </w:t>
      </w:r>
      <w:r w:rsidR="005E30EE" w:rsidRPr="00E00F13">
        <w:rPr>
          <w:rFonts w:ascii="Arial" w:hAnsi="Arial" w:cs="Arial"/>
          <w:sz w:val="24"/>
          <w:szCs w:val="24"/>
        </w:rPr>
        <w:t>que</w:t>
      </w:r>
      <w:r w:rsidRPr="00E00F13">
        <w:rPr>
          <w:rFonts w:ascii="Arial" w:hAnsi="Arial" w:cs="Arial"/>
          <w:sz w:val="24"/>
          <w:szCs w:val="24"/>
        </w:rPr>
        <w:t xml:space="preserve"> reconocía la importancia de la infraestructura. Para las comunidades </w:t>
      </w:r>
      <w:proofErr w:type="spellStart"/>
      <w:r w:rsidR="005E30EE" w:rsidRPr="00E00F13">
        <w:rPr>
          <w:rFonts w:ascii="Arial" w:hAnsi="Arial" w:cs="Arial"/>
          <w:sz w:val="24"/>
          <w:szCs w:val="24"/>
        </w:rPr>
        <w:t>W</w:t>
      </w:r>
      <w:r w:rsidRPr="00E00F13">
        <w:rPr>
          <w:rFonts w:ascii="Arial" w:hAnsi="Arial" w:cs="Arial"/>
          <w:sz w:val="24"/>
          <w:szCs w:val="24"/>
        </w:rPr>
        <w:t>ay</w:t>
      </w:r>
      <w:r w:rsidR="005E30EE" w:rsidRPr="00E00F13">
        <w:rPr>
          <w:rFonts w:ascii="Arial" w:hAnsi="Arial" w:cs="Arial"/>
          <w:sz w:val="24"/>
          <w:szCs w:val="24"/>
        </w:rPr>
        <w:t>ú</w:t>
      </w:r>
      <w:r w:rsidRPr="00E00F13">
        <w:rPr>
          <w:rFonts w:ascii="Arial" w:hAnsi="Arial" w:cs="Arial"/>
          <w:sz w:val="24"/>
          <w:szCs w:val="24"/>
        </w:rPr>
        <w:t>u</w:t>
      </w:r>
      <w:proofErr w:type="spellEnd"/>
      <w:r w:rsidRPr="00E00F13">
        <w:rPr>
          <w:rFonts w:ascii="Arial" w:hAnsi="Arial" w:cs="Arial"/>
          <w:sz w:val="24"/>
          <w:szCs w:val="24"/>
        </w:rPr>
        <w:t xml:space="preserve"> la posesión de infraestructuras de abastecimiento de agua y su funcionamiento es un motivo de orgullo, por lo que </w:t>
      </w:r>
      <w:r w:rsidR="005E30EE" w:rsidRPr="00E00F13">
        <w:rPr>
          <w:rFonts w:ascii="Arial" w:hAnsi="Arial" w:cs="Arial"/>
          <w:sz w:val="24"/>
          <w:szCs w:val="24"/>
        </w:rPr>
        <w:t>su</w:t>
      </w:r>
      <w:r w:rsidRPr="00E00F13">
        <w:rPr>
          <w:rFonts w:ascii="Arial" w:hAnsi="Arial" w:cs="Arial"/>
          <w:sz w:val="24"/>
          <w:szCs w:val="24"/>
        </w:rPr>
        <w:t xml:space="preserve"> revisión </w:t>
      </w:r>
      <w:r w:rsidR="005E30EE" w:rsidRPr="00E00F13">
        <w:rPr>
          <w:rFonts w:ascii="Arial" w:hAnsi="Arial" w:cs="Arial"/>
          <w:sz w:val="24"/>
          <w:szCs w:val="24"/>
        </w:rPr>
        <w:t>por el</w:t>
      </w:r>
      <w:r w:rsidRPr="00E00F13">
        <w:rPr>
          <w:rFonts w:ascii="Arial" w:hAnsi="Arial" w:cs="Arial"/>
          <w:sz w:val="24"/>
          <w:szCs w:val="24"/>
        </w:rPr>
        <w:t xml:space="preserve"> MVCT implica</w:t>
      </w:r>
      <w:r w:rsidR="005E30EE" w:rsidRPr="00E00F13">
        <w:rPr>
          <w:rFonts w:ascii="Arial" w:hAnsi="Arial" w:cs="Arial"/>
          <w:sz w:val="24"/>
          <w:szCs w:val="24"/>
        </w:rPr>
        <w:t>ba</w:t>
      </w:r>
      <w:r w:rsidRPr="00E00F13">
        <w:rPr>
          <w:rFonts w:ascii="Arial" w:hAnsi="Arial" w:cs="Arial"/>
          <w:sz w:val="24"/>
          <w:szCs w:val="24"/>
        </w:rPr>
        <w:t xml:space="preserve"> el reconocimiento de la comunidad y </w:t>
      </w:r>
      <w:r w:rsidR="005E30EE" w:rsidRPr="00E00F13">
        <w:rPr>
          <w:rFonts w:ascii="Arial" w:hAnsi="Arial" w:cs="Arial"/>
          <w:sz w:val="24"/>
          <w:szCs w:val="24"/>
        </w:rPr>
        <w:t xml:space="preserve">la atención </w:t>
      </w:r>
      <w:r w:rsidRPr="00E00F13">
        <w:rPr>
          <w:rFonts w:ascii="Arial" w:hAnsi="Arial" w:cs="Arial"/>
          <w:sz w:val="24"/>
          <w:szCs w:val="24"/>
        </w:rPr>
        <w:t xml:space="preserve">a sus dinámicas de estatus. </w:t>
      </w:r>
    </w:p>
    <w:p w14:paraId="356A5F25" w14:textId="77777777" w:rsidR="00E2113D" w:rsidRPr="00E00F13" w:rsidRDefault="00E2113D" w:rsidP="003A4ADC">
      <w:pPr>
        <w:spacing w:after="0" w:line="360" w:lineRule="auto"/>
        <w:jc w:val="both"/>
        <w:rPr>
          <w:rFonts w:ascii="Arial" w:hAnsi="Arial" w:cs="Arial"/>
          <w:sz w:val="24"/>
          <w:szCs w:val="24"/>
        </w:rPr>
      </w:pPr>
    </w:p>
    <w:p w14:paraId="4CD0EF19" w14:textId="227E4F0C" w:rsidR="00E2113D" w:rsidRPr="00E00F13" w:rsidRDefault="00E2113D" w:rsidP="003A4ADC">
      <w:pPr>
        <w:spacing w:after="0" w:line="360" w:lineRule="auto"/>
        <w:jc w:val="both"/>
        <w:rPr>
          <w:rFonts w:ascii="Arial" w:hAnsi="Arial" w:cs="Arial"/>
          <w:sz w:val="24"/>
          <w:szCs w:val="24"/>
        </w:rPr>
      </w:pPr>
      <w:r w:rsidRPr="00E00F13">
        <w:rPr>
          <w:rFonts w:ascii="Arial" w:hAnsi="Arial" w:cs="Arial"/>
          <w:sz w:val="24"/>
          <w:szCs w:val="24"/>
        </w:rPr>
        <w:t xml:space="preserve">Las visitas a las comunidades y las revisiones de las infraestructuras permitieron construir una base de datos georreferenciada que permite dar cumplimiento a una de las órdenes de la </w:t>
      </w:r>
      <w:r w:rsidR="005E30EE" w:rsidRPr="00E00F13">
        <w:rPr>
          <w:rFonts w:ascii="Arial" w:hAnsi="Arial" w:cs="Arial"/>
          <w:sz w:val="24"/>
          <w:szCs w:val="24"/>
        </w:rPr>
        <w:t>S</w:t>
      </w:r>
      <w:r w:rsidRPr="00E00F13">
        <w:rPr>
          <w:rFonts w:ascii="Arial" w:hAnsi="Arial" w:cs="Arial"/>
          <w:sz w:val="24"/>
          <w:szCs w:val="24"/>
        </w:rPr>
        <w:t>entencia T-302. As</w:t>
      </w:r>
      <w:r w:rsidR="005E30EE" w:rsidRPr="00E00F13">
        <w:rPr>
          <w:rFonts w:ascii="Arial" w:hAnsi="Arial" w:cs="Arial"/>
          <w:sz w:val="24"/>
          <w:szCs w:val="24"/>
        </w:rPr>
        <w:t>i</w:t>
      </w:r>
      <w:r w:rsidRPr="00E00F13">
        <w:rPr>
          <w:rFonts w:ascii="Arial" w:hAnsi="Arial" w:cs="Arial"/>
          <w:sz w:val="24"/>
          <w:szCs w:val="24"/>
        </w:rPr>
        <w:t xml:space="preserve">mismo, con base en esta información se pudo adelantar la priorización de la infraestructura intervenida por el MVCT. </w:t>
      </w:r>
      <w:r w:rsidR="005E30EE" w:rsidRPr="00E00F13">
        <w:rPr>
          <w:rFonts w:ascii="Arial" w:hAnsi="Arial" w:cs="Arial"/>
          <w:sz w:val="24"/>
          <w:szCs w:val="24"/>
        </w:rPr>
        <w:t>En la actualidad</w:t>
      </w:r>
      <w:r w:rsidRPr="00E00F13">
        <w:rPr>
          <w:rFonts w:ascii="Arial" w:hAnsi="Arial" w:cs="Arial"/>
          <w:sz w:val="24"/>
          <w:szCs w:val="24"/>
        </w:rPr>
        <w:t xml:space="preserve"> el ministerio cuenta con un tablero de control georreferenciado que contiene la información de las infraestructuras y las intervenciones. </w:t>
      </w:r>
    </w:p>
    <w:p w14:paraId="5065C989" w14:textId="77777777" w:rsidR="00E12BF3" w:rsidRPr="00E00F13" w:rsidRDefault="00E12BF3" w:rsidP="1D068790">
      <w:pPr>
        <w:spacing w:after="0" w:line="360" w:lineRule="auto"/>
        <w:jc w:val="both"/>
        <w:rPr>
          <w:rFonts w:ascii="Arial" w:hAnsi="Arial" w:cs="Arial"/>
          <w:sz w:val="24"/>
          <w:szCs w:val="24"/>
        </w:rPr>
      </w:pPr>
    </w:p>
    <w:p w14:paraId="4868A7FB" w14:textId="60DDFB2B" w:rsidR="005E30EE" w:rsidRPr="00E00F13" w:rsidRDefault="0CBA7996" w:rsidP="003A4ADC">
      <w:pPr>
        <w:spacing w:after="0" w:line="360" w:lineRule="auto"/>
        <w:jc w:val="both"/>
        <w:rPr>
          <w:rFonts w:ascii="Arial" w:hAnsi="Arial" w:cs="Arial"/>
          <w:b/>
          <w:bCs/>
          <w:sz w:val="24"/>
          <w:szCs w:val="24"/>
        </w:rPr>
      </w:pPr>
      <w:r w:rsidRPr="00E00F13">
        <w:rPr>
          <w:rFonts w:ascii="Arial" w:hAnsi="Arial" w:cs="Arial"/>
          <w:b/>
          <w:bCs/>
          <w:sz w:val="24"/>
          <w:szCs w:val="24"/>
        </w:rPr>
        <w:lastRenderedPageBreak/>
        <w:t xml:space="preserve">Tabla. Plan </w:t>
      </w:r>
      <w:proofErr w:type="spellStart"/>
      <w:r w:rsidRPr="00E00F13">
        <w:rPr>
          <w:rFonts w:ascii="Arial" w:hAnsi="Arial" w:cs="Arial"/>
          <w:b/>
          <w:bCs/>
          <w:sz w:val="24"/>
          <w:szCs w:val="24"/>
        </w:rPr>
        <w:t>Wüin</w:t>
      </w:r>
      <w:proofErr w:type="spellEnd"/>
      <w:r w:rsidRPr="00E00F13">
        <w:rPr>
          <w:rFonts w:ascii="Arial" w:hAnsi="Arial" w:cs="Arial"/>
          <w:b/>
          <w:bCs/>
          <w:sz w:val="24"/>
          <w:szCs w:val="24"/>
        </w:rPr>
        <w:t xml:space="preserve"> </w:t>
      </w:r>
      <w:proofErr w:type="spellStart"/>
      <w:r w:rsidRPr="00E00F13">
        <w:rPr>
          <w:rFonts w:ascii="Arial" w:hAnsi="Arial" w:cs="Arial"/>
          <w:b/>
          <w:bCs/>
          <w:sz w:val="24"/>
          <w:szCs w:val="24"/>
        </w:rPr>
        <w:t>Ülees</w:t>
      </w:r>
      <w:proofErr w:type="spellEnd"/>
      <w:r w:rsidR="005E30EE" w:rsidRPr="00E00F13">
        <w:rPr>
          <w:rFonts w:ascii="Arial" w:hAnsi="Arial" w:cs="Arial"/>
          <w:noProof/>
          <w:sz w:val="24"/>
          <w:szCs w:val="24"/>
        </w:rPr>
        <w:drawing>
          <wp:anchor distT="0" distB="0" distL="114300" distR="114300" simplePos="0" relativeHeight="251658243" behindDoc="0" locked="0" layoutInCell="1" allowOverlap="1" wp14:anchorId="13DCD1DC" wp14:editId="5ABDF53F">
            <wp:simplePos x="0" y="0"/>
            <wp:positionH relativeFrom="margin">
              <wp:align>right</wp:align>
            </wp:positionH>
            <wp:positionV relativeFrom="paragraph">
              <wp:posOffset>302272</wp:posOffset>
            </wp:positionV>
            <wp:extent cx="5612130" cy="2409825"/>
            <wp:effectExtent l="0" t="0" r="7620" b="9525"/>
            <wp:wrapTopAndBottom/>
            <wp:docPr id="1835992727" name="Imagen 1" descr="Interfaz de usuario gráfica, Sitio web, 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992727" name="Imagen 1" descr="Interfaz de usuario gráfica, Sitio web, Mapa&#10;&#10;El contenido generado por IA puede ser incorrecto."/>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612130" cy="2409825"/>
                    </a:xfrm>
                    <a:prstGeom prst="rect">
                      <a:avLst/>
                    </a:prstGeom>
                  </pic:spPr>
                </pic:pic>
              </a:graphicData>
            </a:graphic>
          </wp:anchor>
        </w:drawing>
      </w:r>
    </w:p>
    <w:p w14:paraId="06717810" w14:textId="77777777" w:rsidR="00E2113D" w:rsidRPr="00E00F13" w:rsidRDefault="00E2113D" w:rsidP="003A4ADC">
      <w:pPr>
        <w:spacing w:after="0" w:line="360" w:lineRule="auto"/>
        <w:jc w:val="both"/>
        <w:rPr>
          <w:rFonts w:ascii="Arial" w:hAnsi="Arial" w:cs="Arial"/>
          <w:sz w:val="24"/>
          <w:szCs w:val="24"/>
        </w:rPr>
      </w:pPr>
    </w:p>
    <w:p w14:paraId="081F3598" w14:textId="1ADB6BFE" w:rsidR="00E12BF3" w:rsidRPr="00E00F13" w:rsidRDefault="00E12BF3" w:rsidP="003A4ADC">
      <w:pPr>
        <w:spacing w:after="0" w:line="360" w:lineRule="auto"/>
        <w:jc w:val="both"/>
        <w:rPr>
          <w:rFonts w:ascii="Arial" w:hAnsi="Arial" w:cs="Arial"/>
          <w:sz w:val="20"/>
          <w:szCs w:val="20"/>
        </w:rPr>
      </w:pPr>
      <w:r w:rsidRPr="00E00F13">
        <w:rPr>
          <w:rFonts w:ascii="Arial" w:hAnsi="Arial" w:cs="Arial"/>
          <w:sz w:val="20"/>
          <w:szCs w:val="20"/>
        </w:rPr>
        <w:t>Fuente: MVCT, 2025.</w:t>
      </w:r>
    </w:p>
    <w:p w14:paraId="2EA3660A" w14:textId="77777777" w:rsidR="00E12BF3" w:rsidRPr="00E00F13" w:rsidRDefault="00E12BF3" w:rsidP="003A4ADC">
      <w:pPr>
        <w:spacing w:after="0" w:line="360" w:lineRule="auto"/>
        <w:jc w:val="both"/>
        <w:rPr>
          <w:rFonts w:ascii="Arial" w:hAnsi="Arial" w:cs="Arial"/>
          <w:sz w:val="24"/>
          <w:szCs w:val="24"/>
        </w:rPr>
      </w:pPr>
    </w:p>
    <w:p w14:paraId="4A17B975" w14:textId="3057AD62" w:rsidR="00E2113D" w:rsidRPr="00E00F13" w:rsidRDefault="00E2113D" w:rsidP="003A4ADC">
      <w:pPr>
        <w:spacing w:after="0" w:line="360" w:lineRule="auto"/>
        <w:jc w:val="both"/>
        <w:rPr>
          <w:rFonts w:ascii="Arial" w:hAnsi="Arial" w:cs="Arial"/>
          <w:sz w:val="24"/>
          <w:szCs w:val="24"/>
        </w:rPr>
      </w:pPr>
      <w:r w:rsidRPr="00E00F13">
        <w:rPr>
          <w:rFonts w:ascii="Arial" w:hAnsi="Arial" w:cs="Arial"/>
          <w:sz w:val="24"/>
          <w:szCs w:val="24"/>
        </w:rPr>
        <w:t xml:space="preserve">La lectura territorial a nivel micro que permite hacer las visitas a terrenos ha tenido resultados muy positivos. Como ejemplo está la intervención realizada a la infraestructura que abastece de agua a las comunidades Santa Clara 1 y Santa </w:t>
      </w:r>
      <w:r w:rsidR="005E30EE" w:rsidRPr="00E00F13">
        <w:rPr>
          <w:rFonts w:ascii="Arial" w:hAnsi="Arial" w:cs="Arial"/>
          <w:sz w:val="24"/>
          <w:szCs w:val="24"/>
        </w:rPr>
        <w:t>C</w:t>
      </w:r>
      <w:r w:rsidRPr="00E00F13">
        <w:rPr>
          <w:rFonts w:ascii="Arial" w:hAnsi="Arial" w:cs="Arial"/>
          <w:sz w:val="24"/>
          <w:szCs w:val="24"/>
        </w:rPr>
        <w:t>lara 2. En este caso, las comunidades venían presentando un conflicto claro que tenía su origen en el mal</w:t>
      </w:r>
      <w:r w:rsidR="005E30EE" w:rsidRPr="00E00F13">
        <w:rPr>
          <w:rFonts w:ascii="Arial" w:hAnsi="Arial" w:cs="Arial"/>
          <w:sz w:val="24"/>
          <w:szCs w:val="24"/>
        </w:rPr>
        <w:t xml:space="preserve"> </w:t>
      </w:r>
      <w:r w:rsidRPr="00E00F13">
        <w:rPr>
          <w:rFonts w:ascii="Arial" w:hAnsi="Arial" w:cs="Arial"/>
          <w:sz w:val="24"/>
          <w:szCs w:val="24"/>
        </w:rPr>
        <w:t>funcionamiento del sistema de agua. El conflicto escaló tanto que hubo una separación del cementerio</w:t>
      </w:r>
      <w:r w:rsidR="005E30EE" w:rsidRPr="00E00F13">
        <w:rPr>
          <w:rFonts w:ascii="Arial" w:hAnsi="Arial" w:cs="Arial"/>
          <w:sz w:val="24"/>
          <w:szCs w:val="24"/>
        </w:rPr>
        <w:t>,</w:t>
      </w:r>
      <w:r w:rsidRPr="00E00F13">
        <w:rPr>
          <w:rFonts w:ascii="Arial" w:hAnsi="Arial" w:cs="Arial"/>
          <w:sz w:val="24"/>
          <w:szCs w:val="24"/>
        </w:rPr>
        <w:t xml:space="preserve"> que es un acto simbólico muy potente en la cosmovisión </w:t>
      </w:r>
      <w:proofErr w:type="spellStart"/>
      <w:r w:rsidR="005E30EE" w:rsidRPr="00E00F13">
        <w:rPr>
          <w:rFonts w:ascii="Arial" w:hAnsi="Arial" w:cs="Arial"/>
          <w:sz w:val="24"/>
          <w:szCs w:val="24"/>
        </w:rPr>
        <w:t>W</w:t>
      </w:r>
      <w:r w:rsidRPr="00E00F13">
        <w:rPr>
          <w:rFonts w:ascii="Arial" w:hAnsi="Arial" w:cs="Arial"/>
          <w:sz w:val="24"/>
          <w:szCs w:val="24"/>
        </w:rPr>
        <w:t>ay</w:t>
      </w:r>
      <w:r w:rsidR="005E30EE" w:rsidRPr="00E00F13">
        <w:rPr>
          <w:rFonts w:ascii="Arial" w:hAnsi="Arial" w:cs="Arial"/>
          <w:sz w:val="24"/>
          <w:szCs w:val="24"/>
        </w:rPr>
        <w:t>ú</w:t>
      </w:r>
      <w:r w:rsidRPr="00E00F13">
        <w:rPr>
          <w:rFonts w:ascii="Arial" w:hAnsi="Arial" w:cs="Arial"/>
          <w:sz w:val="24"/>
          <w:szCs w:val="24"/>
        </w:rPr>
        <w:t>u</w:t>
      </w:r>
      <w:proofErr w:type="spellEnd"/>
      <w:r w:rsidRPr="00E00F13">
        <w:rPr>
          <w:rFonts w:ascii="Arial" w:hAnsi="Arial" w:cs="Arial"/>
          <w:sz w:val="24"/>
          <w:szCs w:val="24"/>
        </w:rPr>
        <w:t xml:space="preserve">. Con la intervención en el sistema de agua y el acompañamiento del componente social se logró </w:t>
      </w:r>
      <w:proofErr w:type="spellStart"/>
      <w:r w:rsidRPr="00E00F13">
        <w:rPr>
          <w:rFonts w:ascii="Arial" w:hAnsi="Arial" w:cs="Arial"/>
          <w:sz w:val="24"/>
          <w:szCs w:val="24"/>
        </w:rPr>
        <w:t>desescalar</w:t>
      </w:r>
      <w:proofErr w:type="spellEnd"/>
      <w:r w:rsidRPr="00E00F13">
        <w:rPr>
          <w:rFonts w:ascii="Arial" w:hAnsi="Arial" w:cs="Arial"/>
          <w:sz w:val="24"/>
          <w:szCs w:val="24"/>
        </w:rPr>
        <w:t xml:space="preserve"> el conflicto y en el presente el sistema está en pleno funcionamiento. </w:t>
      </w:r>
    </w:p>
    <w:p w14:paraId="0B328776" w14:textId="77777777" w:rsidR="00E2113D" w:rsidRPr="00E00F13" w:rsidRDefault="00E2113D" w:rsidP="003A4ADC">
      <w:pPr>
        <w:spacing w:after="0" w:line="360" w:lineRule="auto"/>
        <w:jc w:val="both"/>
        <w:rPr>
          <w:rFonts w:ascii="Arial" w:hAnsi="Arial" w:cs="Arial"/>
          <w:sz w:val="24"/>
          <w:szCs w:val="24"/>
        </w:rPr>
      </w:pPr>
    </w:p>
    <w:p w14:paraId="2C83780F" w14:textId="77777777" w:rsidR="00E2113D" w:rsidRPr="00E00F13" w:rsidRDefault="00E2113D" w:rsidP="003A4ADC">
      <w:pPr>
        <w:spacing w:after="0" w:line="360" w:lineRule="auto"/>
        <w:jc w:val="both"/>
        <w:rPr>
          <w:rFonts w:ascii="Arial" w:hAnsi="Arial" w:cs="Arial"/>
          <w:b/>
          <w:bCs/>
          <w:sz w:val="24"/>
          <w:szCs w:val="24"/>
        </w:rPr>
      </w:pPr>
      <w:r w:rsidRPr="00E00F13">
        <w:rPr>
          <w:rFonts w:ascii="Arial" w:hAnsi="Arial" w:cs="Arial"/>
          <w:b/>
          <w:bCs/>
          <w:sz w:val="24"/>
          <w:szCs w:val="24"/>
        </w:rPr>
        <w:t>Relacionamiento con actores no gubernamentales</w:t>
      </w:r>
    </w:p>
    <w:p w14:paraId="36BC8555" w14:textId="79B41D9D" w:rsidR="00E2113D" w:rsidRPr="00E00F13" w:rsidRDefault="00E2113D" w:rsidP="003A4ADC">
      <w:pPr>
        <w:spacing w:after="0" w:line="360" w:lineRule="auto"/>
        <w:jc w:val="both"/>
        <w:rPr>
          <w:rFonts w:ascii="Arial" w:hAnsi="Arial" w:cs="Arial"/>
          <w:sz w:val="24"/>
          <w:szCs w:val="24"/>
        </w:rPr>
      </w:pPr>
      <w:r w:rsidRPr="00E00F13">
        <w:rPr>
          <w:rFonts w:ascii="Arial" w:hAnsi="Arial" w:cs="Arial"/>
          <w:sz w:val="24"/>
          <w:szCs w:val="24"/>
        </w:rPr>
        <w:t xml:space="preserve">Como parte del trabajo en el territorio, el equipo del MVCT ha logrado consolidarse como el actor clave en la articulación de esfuerzos de los diversos actores que están involucrados en la búsqueda de soluciones en agua para el consumo humano en el departamento de La Guajira. </w:t>
      </w:r>
      <w:r w:rsidR="00A532B8" w:rsidRPr="00E00F13">
        <w:rPr>
          <w:rFonts w:ascii="Arial" w:hAnsi="Arial" w:cs="Arial"/>
          <w:sz w:val="24"/>
          <w:szCs w:val="24"/>
        </w:rPr>
        <w:t>El</w:t>
      </w:r>
      <w:r w:rsidRPr="00E00F13">
        <w:rPr>
          <w:rFonts w:ascii="Arial" w:hAnsi="Arial" w:cs="Arial"/>
          <w:sz w:val="24"/>
          <w:szCs w:val="24"/>
        </w:rPr>
        <w:t xml:space="preserve"> MVCT hace parte de la mesa WASH, una instancia de coordinación de acciones entre entes gubernamentales, supranacionales y humanitarios que intervienen en el territorio. </w:t>
      </w:r>
    </w:p>
    <w:p w14:paraId="16A8B5EA" w14:textId="77777777" w:rsidR="00A532B8" w:rsidRPr="00E00F13" w:rsidRDefault="00A532B8" w:rsidP="003A4ADC">
      <w:pPr>
        <w:spacing w:after="0" w:line="360" w:lineRule="auto"/>
        <w:jc w:val="both"/>
        <w:rPr>
          <w:rFonts w:ascii="Arial" w:hAnsi="Arial" w:cs="Arial"/>
          <w:sz w:val="24"/>
          <w:szCs w:val="24"/>
        </w:rPr>
      </w:pPr>
    </w:p>
    <w:p w14:paraId="7953EB50" w14:textId="60A13B2D" w:rsidR="00E2113D" w:rsidRPr="00E00F13" w:rsidRDefault="00E2113D" w:rsidP="003A4ADC">
      <w:pPr>
        <w:spacing w:after="0" w:line="360" w:lineRule="auto"/>
        <w:jc w:val="both"/>
        <w:rPr>
          <w:rFonts w:ascii="Arial" w:hAnsi="Arial" w:cs="Arial"/>
          <w:sz w:val="24"/>
          <w:szCs w:val="24"/>
        </w:rPr>
      </w:pPr>
      <w:r w:rsidRPr="00E00F13">
        <w:rPr>
          <w:rFonts w:ascii="Arial" w:hAnsi="Arial" w:cs="Arial"/>
          <w:sz w:val="24"/>
          <w:szCs w:val="24"/>
        </w:rPr>
        <w:lastRenderedPageBreak/>
        <w:t>Este relacionamiento permitió el impulso de recursos adicionales a los pertenecientes al Estado</w:t>
      </w:r>
      <w:r w:rsidR="00A532B8" w:rsidRPr="00E00F13">
        <w:rPr>
          <w:rFonts w:ascii="Arial" w:hAnsi="Arial" w:cs="Arial"/>
          <w:sz w:val="24"/>
          <w:szCs w:val="24"/>
        </w:rPr>
        <w:t xml:space="preserve">, </w:t>
      </w:r>
      <w:r w:rsidRPr="00E00F13">
        <w:rPr>
          <w:rFonts w:ascii="Arial" w:hAnsi="Arial" w:cs="Arial"/>
          <w:sz w:val="24"/>
          <w:szCs w:val="24"/>
        </w:rPr>
        <w:t>ya que se logr</w:t>
      </w:r>
      <w:r w:rsidR="00A532B8" w:rsidRPr="00E00F13">
        <w:rPr>
          <w:rFonts w:ascii="Arial" w:hAnsi="Arial" w:cs="Arial"/>
          <w:sz w:val="24"/>
          <w:szCs w:val="24"/>
        </w:rPr>
        <w:t>ó</w:t>
      </w:r>
      <w:r w:rsidRPr="00E00F13">
        <w:rPr>
          <w:rFonts w:ascii="Arial" w:hAnsi="Arial" w:cs="Arial"/>
          <w:sz w:val="24"/>
          <w:szCs w:val="24"/>
        </w:rPr>
        <w:t xml:space="preserve"> apalancar recursos de cooperación internacional y de organizaciones humanitarias y que se tradujeron en la ejecución de rehabilitaciones de sistemas como parte del Plan </w:t>
      </w:r>
      <w:proofErr w:type="spellStart"/>
      <w:r w:rsidRPr="00E00F13">
        <w:rPr>
          <w:rFonts w:ascii="Arial" w:hAnsi="Arial" w:cs="Arial"/>
          <w:sz w:val="24"/>
          <w:szCs w:val="24"/>
        </w:rPr>
        <w:t>Wüin</w:t>
      </w:r>
      <w:proofErr w:type="spellEnd"/>
      <w:r w:rsidRPr="00E00F13">
        <w:rPr>
          <w:rFonts w:ascii="Arial" w:hAnsi="Arial" w:cs="Arial"/>
          <w:sz w:val="24"/>
          <w:szCs w:val="24"/>
        </w:rPr>
        <w:t xml:space="preserve"> </w:t>
      </w:r>
      <w:proofErr w:type="spellStart"/>
      <w:r w:rsidRPr="00E00F13">
        <w:rPr>
          <w:rFonts w:ascii="Arial" w:hAnsi="Arial" w:cs="Arial"/>
          <w:sz w:val="24"/>
          <w:szCs w:val="24"/>
        </w:rPr>
        <w:t>Ülees</w:t>
      </w:r>
      <w:proofErr w:type="spellEnd"/>
      <w:r w:rsidRPr="00E00F13">
        <w:rPr>
          <w:rFonts w:ascii="Arial" w:hAnsi="Arial" w:cs="Arial"/>
          <w:sz w:val="24"/>
          <w:szCs w:val="24"/>
        </w:rPr>
        <w:t xml:space="preserve">. </w:t>
      </w:r>
    </w:p>
    <w:p w14:paraId="2377494F" w14:textId="77777777" w:rsidR="00E2113D" w:rsidRPr="00E00F13" w:rsidRDefault="00E2113D" w:rsidP="003A4ADC">
      <w:pPr>
        <w:spacing w:after="0" w:line="360" w:lineRule="auto"/>
        <w:jc w:val="both"/>
        <w:rPr>
          <w:rFonts w:ascii="Arial" w:hAnsi="Arial" w:cs="Arial"/>
          <w:sz w:val="24"/>
          <w:szCs w:val="24"/>
        </w:rPr>
      </w:pPr>
    </w:p>
    <w:p w14:paraId="32442F3F" w14:textId="77777777" w:rsidR="00E2113D" w:rsidRPr="00E00F13" w:rsidRDefault="00E2113D" w:rsidP="003A4ADC">
      <w:pPr>
        <w:spacing w:after="0" w:line="360" w:lineRule="auto"/>
        <w:jc w:val="both"/>
        <w:rPr>
          <w:rFonts w:ascii="Arial" w:hAnsi="Arial" w:cs="Arial"/>
          <w:b/>
          <w:bCs/>
          <w:sz w:val="24"/>
          <w:szCs w:val="24"/>
        </w:rPr>
      </w:pPr>
      <w:r w:rsidRPr="00E00F13">
        <w:rPr>
          <w:rFonts w:ascii="Arial" w:hAnsi="Arial" w:cs="Arial"/>
          <w:b/>
          <w:bCs/>
          <w:sz w:val="24"/>
          <w:szCs w:val="24"/>
        </w:rPr>
        <w:t>Acompañamiento social y de aseguramiento</w:t>
      </w:r>
    </w:p>
    <w:p w14:paraId="2B9E8373" w14:textId="6D9075B4" w:rsidR="00225ABA" w:rsidRPr="00E00F13" w:rsidRDefault="00E2113D" w:rsidP="003A4ADC">
      <w:pPr>
        <w:spacing w:after="0" w:line="360" w:lineRule="auto"/>
        <w:jc w:val="both"/>
        <w:rPr>
          <w:rFonts w:ascii="Arial" w:hAnsi="Arial" w:cs="Arial"/>
          <w:sz w:val="24"/>
          <w:szCs w:val="24"/>
        </w:rPr>
      </w:pPr>
      <w:r w:rsidRPr="00E00F13">
        <w:rPr>
          <w:rFonts w:ascii="Arial" w:hAnsi="Arial" w:cs="Arial"/>
          <w:sz w:val="24"/>
          <w:szCs w:val="24"/>
        </w:rPr>
        <w:t>En el proceso de rehabilitación de</w:t>
      </w:r>
      <w:r w:rsidR="00225ABA" w:rsidRPr="00E00F13">
        <w:rPr>
          <w:rFonts w:ascii="Arial" w:hAnsi="Arial" w:cs="Arial"/>
          <w:sz w:val="24"/>
          <w:szCs w:val="24"/>
        </w:rPr>
        <w:t>l</w:t>
      </w:r>
      <w:r w:rsidRPr="00E00F13">
        <w:rPr>
          <w:rFonts w:ascii="Arial" w:hAnsi="Arial" w:cs="Arial"/>
          <w:sz w:val="24"/>
          <w:szCs w:val="24"/>
        </w:rPr>
        <w:t xml:space="preserve"> sistema el componente social juega un papel fundamental. Cuando una infraestructura se rehabilita, antes de iniciar empieza un proceso en el </w:t>
      </w:r>
      <w:r w:rsidR="00225ABA" w:rsidRPr="00E00F13">
        <w:rPr>
          <w:rFonts w:ascii="Arial" w:hAnsi="Arial" w:cs="Arial"/>
          <w:sz w:val="24"/>
          <w:szCs w:val="24"/>
        </w:rPr>
        <w:t>cual</w:t>
      </w:r>
      <w:r w:rsidRPr="00E00F13">
        <w:rPr>
          <w:rFonts w:ascii="Arial" w:hAnsi="Arial" w:cs="Arial"/>
          <w:sz w:val="24"/>
          <w:szCs w:val="24"/>
        </w:rPr>
        <w:t xml:space="preserve"> el equipo del MVCT se relaciona con la comunidad. El primer paso es la socialización de la intervención que se va a hacer</w:t>
      </w:r>
      <w:r w:rsidR="00A532B8" w:rsidRPr="00E00F13">
        <w:rPr>
          <w:rFonts w:ascii="Arial" w:hAnsi="Arial" w:cs="Arial"/>
          <w:sz w:val="24"/>
          <w:szCs w:val="24"/>
        </w:rPr>
        <w:t>. E</w:t>
      </w:r>
      <w:r w:rsidRPr="00E00F13">
        <w:rPr>
          <w:rFonts w:ascii="Arial" w:hAnsi="Arial" w:cs="Arial"/>
          <w:sz w:val="24"/>
          <w:szCs w:val="24"/>
        </w:rPr>
        <w:t xml:space="preserve">ste punto es clave porque le da a conocer a la comunidad, </w:t>
      </w:r>
      <w:r w:rsidR="00A532B8" w:rsidRPr="00E00F13">
        <w:rPr>
          <w:rFonts w:ascii="Arial" w:hAnsi="Arial" w:cs="Arial"/>
          <w:sz w:val="24"/>
          <w:szCs w:val="24"/>
        </w:rPr>
        <w:t>en términos concretos</w:t>
      </w:r>
      <w:r w:rsidRPr="00E00F13">
        <w:rPr>
          <w:rFonts w:ascii="Arial" w:hAnsi="Arial" w:cs="Arial"/>
          <w:sz w:val="24"/>
          <w:szCs w:val="24"/>
        </w:rPr>
        <w:t xml:space="preserve">, cómo es la intervención que se va a llevar a cabo. En este punto el equipo, previa lectura del territorio, adelanta un proceso de relacionamiento con la comunidad con el fin de identificar posibles inconvenientes en el territorio, </w:t>
      </w:r>
      <w:r w:rsidR="00225ABA" w:rsidRPr="00E00F13">
        <w:rPr>
          <w:rFonts w:ascii="Arial" w:hAnsi="Arial" w:cs="Arial"/>
          <w:sz w:val="24"/>
          <w:szCs w:val="24"/>
        </w:rPr>
        <w:t>que</w:t>
      </w:r>
      <w:r w:rsidRPr="00E00F13">
        <w:rPr>
          <w:rFonts w:ascii="Arial" w:hAnsi="Arial" w:cs="Arial"/>
          <w:sz w:val="24"/>
          <w:szCs w:val="24"/>
        </w:rPr>
        <w:t xml:space="preserve"> son mitigados si la situación así lo permite.</w:t>
      </w:r>
      <w:r w:rsidR="00225ABA" w:rsidRPr="00E00F13">
        <w:rPr>
          <w:rFonts w:ascii="Arial" w:hAnsi="Arial" w:cs="Arial"/>
          <w:sz w:val="24"/>
          <w:szCs w:val="24"/>
        </w:rPr>
        <w:t xml:space="preserve"> </w:t>
      </w:r>
      <w:r w:rsidRPr="00E00F13">
        <w:rPr>
          <w:rFonts w:ascii="Arial" w:hAnsi="Arial" w:cs="Arial"/>
          <w:sz w:val="24"/>
          <w:szCs w:val="24"/>
        </w:rPr>
        <w:t>En segundo lugar, empieza un proceso que está directamente relacionado con el aseguramiento de la infraestructura</w:t>
      </w:r>
      <w:r w:rsidR="00225ABA" w:rsidRPr="00E00F13">
        <w:rPr>
          <w:rFonts w:ascii="Arial" w:hAnsi="Arial" w:cs="Arial"/>
          <w:sz w:val="24"/>
          <w:szCs w:val="24"/>
        </w:rPr>
        <w:t xml:space="preserve">, </w:t>
      </w:r>
      <w:r w:rsidRPr="00E00F13">
        <w:rPr>
          <w:rFonts w:ascii="Arial" w:hAnsi="Arial" w:cs="Arial"/>
          <w:sz w:val="24"/>
          <w:szCs w:val="24"/>
        </w:rPr>
        <w:t>es decir</w:t>
      </w:r>
      <w:r w:rsidR="00225ABA" w:rsidRPr="00E00F13">
        <w:rPr>
          <w:rFonts w:ascii="Arial" w:hAnsi="Arial" w:cs="Arial"/>
          <w:sz w:val="24"/>
          <w:szCs w:val="24"/>
        </w:rPr>
        <w:t>,</w:t>
      </w:r>
      <w:r w:rsidRPr="00E00F13">
        <w:rPr>
          <w:rFonts w:ascii="Arial" w:hAnsi="Arial" w:cs="Arial"/>
          <w:sz w:val="24"/>
          <w:szCs w:val="24"/>
        </w:rPr>
        <w:t xml:space="preserve"> garantizar que se sostenga en el tiempo. </w:t>
      </w:r>
    </w:p>
    <w:p w14:paraId="5A006FCD" w14:textId="77777777" w:rsidR="00225ABA" w:rsidRPr="00E00F13" w:rsidRDefault="00225ABA" w:rsidP="003A4ADC">
      <w:pPr>
        <w:spacing w:after="0" w:line="360" w:lineRule="auto"/>
        <w:jc w:val="both"/>
        <w:rPr>
          <w:rFonts w:ascii="Arial" w:hAnsi="Arial" w:cs="Arial"/>
          <w:sz w:val="24"/>
          <w:szCs w:val="24"/>
        </w:rPr>
      </w:pPr>
    </w:p>
    <w:p w14:paraId="1F09C657" w14:textId="1CC7FB4F" w:rsidR="00E2113D" w:rsidRPr="00E00F13" w:rsidRDefault="00225ABA" w:rsidP="003A4ADC">
      <w:pPr>
        <w:spacing w:after="0" w:line="360" w:lineRule="auto"/>
        <w:jc w:val="both"/>
        <w:rPr>
          <w:rFonts w:ascii="Arial" w:hAnsi="Arial" w:cs="Arial"/>
          <w:sz w:val="24"/>
          <w:szCs w:val="24"/>
        </w:rPr>
      </w:pPr>
      <w:r w:rsidRPr="00E00F13">
        <w:rPr>
          <w:rFonts w:ascii="Arial" w:hAnsi="Arial" w:cs="Arial"/>
          <w:sz w:val="24"/>
          <w:szCs w:val="24"/>
        </w:rPr>
        <w:t xml:space="preserve">Esta </w:t>
      </w:r>
      <w:r w:rsidR="00E2113D" w:rsidRPr="00E00F13">
        <w:rPr>
          <w:rFonts w:ascii="Arial" w:hAnsi="Arial" w:cs="Arial"/>
          <w:sz w:val="24"/>
          <w:szCs w:val="24"/>
        </w:rPr>
        <w:t xml:space="preserve">estrategia del MVCT busca fortalecer los liderazgos de la comunidad y conformar una junta responsable del funcionamiento del sistema </w:t>
      </w:r>
      <w:r w:rsidRPr="00E00F13">
        <w:rPr>
          <w:rFonts w:ascii="Arial" w:hAnsi="Arial" w:cs="Arial"/>
          <w:sz w:val="24"/>
          <w:szCs w:val="24"/>
        </w:rPr>
        <w:t>para</w:t>
      </w:r>
      <w:r w:rsidR="00E2113D" w:rsidRPr="00E00F13">
        <w:rPr>
          <w:rFonts w:ascii="Arial" w:hAnsi="Arial" w:cs="Arial"/>
          <w:sz w:val="24"/>
          <w:szCs w:val="24"/>
        </w:rPr>
        <w:t xml:space="preserve"> garantizar que la comunidad esté en capacidad de hacer las reparaciones básicas del sistema. Para esto se desarrolla una serie de talleres con </w:t>
      </w:r>
      <w:r w:rsidRPr="00E00F13">
        <w:rPr>
          <w:rFonts w:ascii="Arial" w:hAnsi="Arial" w:cs="Arial"/>
          <w:sz w:val="24"/>
          <w:szCs w:val="24"/>
        </w:rPr>
        <w:t xml:space="preserve">dos </w:t>
      </w:r>
      <w:r w:rsidR="00E2113D" w:rsidRPr="00E00F13">
        <w:rPr>
          <w:rFonts w:ascii="Arial" w:hAnsi="Arial" w:cs="Arial"/>
          <w:sz w:val="24"/>
          <w:szCs w:val="24"/>
        </w:rPr>
        <w:t>temas como horizonte</w:t>
      </w:r>
      <w:r w:rsidRPr="00E00F13">
        <w:rPr>
          <w:rFonts w:ascii="Arial" w:hAnsi="Arial" w:cs="Arial"/>
          <w:sz w:val="24"/>
          <w:szCs w:val="24"/>
        </w:rPr>
        <w:t>:</w:t>
      </w:r>
      <w:r w:rsidR="00E2113D" w:rsidRPr="00E00F13">
        <w:rPr>
          <w:rFonts w:ascii="Arial" w:hAnsi="Arial" w:cs="Arial"/>
          <w:sz w:val="24"/>
          <w:szCs w:val="24"/>
        </w:rPr>
        <w:t xml:space="preserve"> cultura de recolección de pago y apropiación de los sistemas. </w:t>
      </w:r>
    </w:p>
    <w:p w14:paraId="550ABF3C" w14:textId="77777777" w:rsidR="00E2113D" w:rsidRPr="00E00F13" w:rsidRDefault="00E2113D" w:rsidP="003A4ADC">
      <w:pPr>
        <w:spacing w:after="0" w:line="360" w:lineRule="auto"/>
        <w:jc w:val="both"/>
        <w:rPr>
          <w:rFonts w:ascii="Arial" w:hAnsi="Arial" w:cs="Arial"/>
          <w:sz w:val="24"/>
          <w:szCs w:val="24"/>
        </w:rPr>
      </w:pPr>
    </w:p>
    <w:p w14:paraId="18575384" w14:textId="0FC61F51" w:rsidR="00E2113D" w:rsidRPr="00E00F13" w:rsidRDefault="00E2113D" w:rsidP="003A4ADC">
      <w:pPr>
        <w:spacing w:after="0" w:line="360" w:lineRule="auto"/>
        <w:jc w:val="both"/>
        <w:rPr>
          <w:rFonts w:ascii="Arial" w:hAnsi="Arial" w:cs="Arial"/>
          <w:sz w:val="24"/>
          <w:szCs w:val="24"/>
        </w:rPr>
      </w:pPr>
      <w:r w:rsidRPr="00E00F13">
        <w:rPr>
          <w:rFonts w:ascii="Arial" w:hAnsi="Arial" w:cs="Arial"/>
          <w:sz w:val="24"/>
          <w:szCs w:val="24"/>
        </w:rPr>
        <w:t xml:space="preserve">La temática de los talleres está dividida en </w:t>
      </w:r>
      <w:r w:rsidR="00225ABA" w:rsidRPr="00E00F13">
        <w:rPr>
          <w:rFonts w:ascii="Arial" w:hAnsi="Arial" w:cs="Arial"/>
          <w:sz w:val="24"/>
          <w:szCs w:val="24"/>
        </w:rPr>
        <w:t>seis</w:t>
      </w:r>
      <w:r w:rsidRPr="00E00F13">
        <w:rPr>
          <w:rFonts w:ascii="Arial" w:hAnsi="Arial" w:cs="Arial"/>
          <w:sz w:val="24"/>
          <w:szCs w:val="24"/>
        </w:rPr>
        <w:t xml:space="preserve"> momentos que corresponden a </w:t>
      </w:r>
      <w:r w:rsidR="00225ABA" w:rsidRPr="00E00F13">
        <w:rPr>
          <w:rFonts w:ascii="Arial" w:hAnsi="Arial" w:cs="Arial"/>
          <w:sz w:val="24"/>
          <w:szCs w:val="24"/>
        </w:rPr>
        <w:t>asuntos</w:t>
      </w:r>
      <w:r w:rsidRPr="00E00F13">
        <w:rPr>
          <w:rFonts w:ascii="Arial" w:hAnsi="Arial" w:cs="Arial"/>
          <w:sz w:val="24"/>
          <w:szCs w:val="24"/>
        </w:rPr>
        <w:t xml:space="preserve"> específic</w:t>
      </w:r>
      <w:r w:rsidR="00225ABA" w:rsidRPr="00E00F13">
        <w:rPr>
          <w:rFonts w:ascii="Arial" w:hAnsi="Arial" w:cs="Arial"/>
          <w:sz w:val="24"/>
          <w:szCs w:val="24"/>
        </w:rPr>
        <w:t>o</w:t>
      </w:r>
      <w:r w:rsidRPr="00E00F13">
        <w:rPr>
          <w:rFonts w:ascii="Arial" w:hAnsi="Arial" w:cs="Arial"/>
          <w:sz w:val="24"/>
          <w:szCs w:val="24"/>
        </w:rPr>
        <w:t>s</w:t>
      </w:r>
      <w:r w:rsidR="00225ABA" w:rsidRPr="00E00F13">
        <w:rPr>
          <w:rFonts w:ascii="Arial" w:hAnsi="Arial" w:cs="Arial"/>
          <w:sz w:val="24"/>
          <w:szCs w:val="24"/>
        </w:rPr>
        <w:t>.</w:t>
      </w:r>
    </w:p>
    <w:p w14:paraId="4A8A418E" w14:textId="588F573B" w:rsidR="00E2113D" w:rsidRPr="00E00F13" w:rsidRDefault="00E2113D">
      <w:pPr>
        <w:pStyle w:val="Prrafodelista"/>
        <w:numPr>
          <w:ilvl w:val="0"/>
          <w:numId w:val="44"/>
        </w:numPr>
        <w:spacing w:after="0" w:line="360" w:lineRule="auto"/>
        <w:jc w:val="both"/>
        <w:rPr>
          <w:rFonts w:ascii="Arial" w:hAnsi="Arial" w:cs="Arial"/>
          <w:sz w:val="24"/>
          <w:szCs w:val="24"/>
        </w:rPr>
      </w:pPr>
      <w:r w:rsidRPr="00E00F13">
        <w:rPr>
          <w:rFonts w:ascii="Arial" w:hAnsi="Arial" w:cs="Arial"/>
          <w:sz w:val="24"/>
          <w:szCs w:val="24"/>
        </w:rPr>
        <w:t>Momento 1​</w:t>
      </w:r>
      <w:r w:rsidR="00225ABA" w:rsidRPr="00E00F13">
        <w:rPr>
          <w:rFonts w:ascii="Arial" w:hAnsi="Arial" w:cs="Arial"/>
          <w:sz w:val="24"/>
          <w:szCs w:val="24"/>
        </w:rPr>
        <w:t>.</w:t>
      </w:r>
      <w:r w:rsidR="3E3A46DA" w:rsidRPr="00E00F13">
        <w:rPr>
          <w:rFonts w:ascii="Arial" w:hAnsi="Arial" w:cs="Arial"/>
          <w:sz w:val="24"/>
          <w:szCs w:val="24"/>
        </w:rPr>
        <w:t xml:space="preserve"> </w:t>
      </w:r>
      <w:r w:rsidRPr="00E00F13">
        <w:rPr>
          <w:rFonts w:ascii="Arial" w:hAnsi="Arial" w:cs="Arial"/>
          <w:sz w:val="24"/>
          <w:szCs w:val="24"/>
        </w:rPr>
        <w:t>La importancia de la gestión del agua y el saneamiento básico en nuestro territorio. ​</w:t>
      </w:r>
    </w:p>
    <w:p w14:paraId="3501BC1A" w14:textId="4B08E39D" w:rsidR="00E2113D" w:rsidRPr="00E00F13" w:rsidRDefault="00E2113D">
      <w:pPr>
        <w:pStyle w:val="Prrafodelista"/>
        <w:numPr>
          <w:ilvl w:val="0"/>
          <w:numId w:val="44"/>
        </w:numPr>
        <w:spacing w:after="0" w:line="360" w:lineRule="auto"/>
        <w:jc w:val="both"/>
        <w:rPr>
          <w:rFonts w:ascii="Arial" w:hAnsi="Arial" w:cs="Arial"/>
          <w:sz w:val="24"/>
          <w:szCs w:val="24"/>
        </w:rPr>
      </w:pPr>
      <w:r w:rsidRPr="00E00F13">
        <w:rPr>
          <w:rFonts w:ascii="Arial" w:hAnsi="Arial" w:cs="Arial"/>
          <w:sz w:val="24"/>
          <w:szCs w:val="24"/>
        </w:rPr>
        <w:t>Momento 2​</w:t>
      </w:r>
      <w:r w:rsidR="00225ABA" w:rsidRPr="00E00F13">
        <w:rPr>
          <w:rFonts w:ascii="Arial" w:hAnsi="Arial" w:cs="Arial"/>
          <w:sz w:val="24"/>
          <w:szCs w:val="24"/>
        </w:rPr>
        <w:t xml:space="preserve">. </w:t>
      </w:r>
      <w:r w:rsidRPr="00E00F13">
        <w:rPr>
          <w:rFonts w:ascii="Arial" w:hAnsi="Arial" w:cs="Arial"/>
          <w:sz w:val="24"/>
          <w:szCs w:val="24"/>
        </w:rPr>
        <w:t>Conozcamos nuestro sistema de abastecimiento de agua​</w:t>
      </w:r>
      <w:r w:rsidR="00225ABA" w:rsidRPr="00E00F13">
        <w:rPr>
          <w:rFonts w:ascii="Arial" w:hAnsi="Arial" w:cs="Arial"/>
          <w:sz w:val="24"/>
          <w:szCs w:val="24"/>
        </w:rPr>
        <w:t>.</w:t>
      </w:r>
    </w:p>
    <w:p w14:paraId="1E9A1148" w14:textId="2F10EE34" w:rsidR="00E2113D" w:rsidRPr="00E00F13" w:rsidRDefault="00E2113D">
      <w:pPr>
        <w:pStyle w:val="Prrafodelista"/>
        <w:numPr>
          <w:ilvl w:val="0"/>
          <w:numId w:val="44"/>
        </w:numPr>
        <w:spacing w:after="0" w:line="360" w:lineRule="auto"/>
        <w:jc w:val="both"/>
        <w:rPr>
          <w:rFonts w:ascii="Arial" w:hAnsi="Arial" w:cs="Arial"/>
          <w:sz w:val="24"/>
          <w:szCs w:val="24"/>
        </w:rPr>
      </w:pPr>
      <w:r w:rsidRPr="00E00F13">
        <w:rPr>
          <w:rFonts w:ascii="Arial" w:hAnsi="Arial" w:cs="Arial"/>
          <w:sz w:val="24"/>
          <w:szCs w:val="24"/>
        </w:rPr>
        <w:t>Momento 3​</w:t>
      </w:r>
      <w:r w:rsidR="00225ABA" w:rsidRPr="00E00F13">
        <w:rPr>
          <w:rFonts w:ascii="Arial" w:hAnsi="Arial" w:cs="Arial"/>
          <w:sz w:val="24"/>
          <w:szCs w:val="24"/>
        </w:rPr>
        <w:t xml:space="preserve">. </w:t>
      </w:r>
      <w:r w:rsidRPr="00E00F13">
        <w:rPr>
          <w:rFonts w:ascii="Arial" w:hAnsi="Arial" w:cs="Arial"/>
          <w:sz w:val="24"/>
          <w:szCs w:val="24"/>
        </w:rPr>
        <w:t>Organicémonos para la gestión del agua en nuestro territorio</w:t>
      </w:r>
      <w:r w:rsidR="00225ABA" w:rsidRPr="00E00F13">
        <w:rPr>
          <w:rFonts w:ascii="Arial" w:hAnsi="Arial" w:cs="Arial"/>
          <w:sz w:val="24"/>
          <w:szCs w:val="24"/>
        </w:rPr>
        <w:t>.</w:t>
      </w:r>
      <w:r w:rsidRPr="00E00F13">
        <w:rPr>
          <w:rFonts w:ascii="Arial" w:hAnsi="Arial" w:cs="Arial"/>
          <w:sz w:val="24"/>
          <w:szCs w:val="24"/>
        </w:rPr>
        <w:t>​</w:t>
      </w:r>
    </w:p>
    <w:p w14:paraId="1795B6D9" w14:textId="2FC63180" w:rsidR="00E2113D" w:rsidRPr="00E00F13" w:rsidRDefault="00E2113D">
      <w:pPr>
        <w:pStyle w:val="Prrafodelista"/>
        <w:numPr>
          <w:ilvl w:val="0"/>
          <w:numId w:val="44"/>
        </w:numPr>
        <w:spacing w:after="0" w:line="360" w:lineRule="auto"/>
        <w:jc w:val="both"/>
        <w:rPr>
          <w:rFonts w:ascii="Arial" w:hAnsi="Arial" w:cs="Arial"/>
          <w:sz w:val="24"/>
          <w:szCs w:val="24"/>
        </w:rPr>
      </w:pPr>
      <w:r w:rsidRPr="00E00F13">
        <w:rPr>
          <w:rFonts w:ascii="Arial" w:hAnsi="Arial" w:cs="Arial"/>
          <w:sz w:val="24"/>
          <w:szCs w:val="24"/>
        </w:rPr>
        <w:t>Momento 4​</w:t>
      </w:r>
      <w:r w:rsidR="00225ABA" w:rsidRPr="00E00F13">
        <w:rPr>
          <w:rFonts w:ascii="Arial" w:hAnsi="Arial" w:cs="Arial"/>
          <w:sz w:val="24"/>
          <w:szCs w:val="24"/>
        </w:rPr>
        <w:t xml:space="preserve">. </w:t>
      </w:r>
      <w:r w:rsidRPr="00E00F13">
        <w:rPr>
          <w:rFonts w:ascii="Arial" w:hAnsi="Arial" w:cs="Arial"/>
          <w:sz w:val="24"/>
          <w:szCs w:val="24"/>
        </w:rPr>
        <w:t>Hagamos gestión comunitaria del agua en nuestro territorio</w:t>
      </w:r>
      <w:r w:rsidR="00225ABA" w:rsidRPr="00E00F13">
        <w:rPr>
          <w:rFonts w:ascii="Arial" w:hAnsi="Arial" w:cs="Arial"/>
          <w:sz w:val="24"/>
          <w:szCs w:val="24"/>
        </w:rPr>
        <w:t>.</w:t>
      </w:r>
      <w:r w:rsidRPr="00E00F13">
        <w:rPr>
          <w:rFonts w:ascii="Arial" w:hAnsi="Arial" w:cs="Arial"/>
          <w:sz w:val="24"/>
          <w:szCs w:val="24"/>
        </w:rPr>
        <w:t>​</w:t>
      </w:r>
    </w:p>
    <w:p w14:paraId="65946571" w14:textId="192F4DDE" w:rsidR="00E2113D" w:rsidRPr="00E00F13" w:rsidRDefault="00E2113D">
      <w:pPr>
        <w:pStyle w:val="Prrafodelista"/>
        <w:numPr>
          <w:ilvl w:val="0"/>
          <w:numId w:val="44"/>
        </w:numPr>
        <w:spacing w:after="0" w:line="360" w:lineRule="auto"/>
        <w:jc w:val="both"/>
        <w:rPr>
          <w:rFonts w:ascii="Arial" w:hAnsi="Arial" w:cs="Arial"/>
          <w:sz w:val="24"/>
          <w:szCs w:val="24"/>
        </w:rPr>
      </w:pPr>
      <w:r w:rsidRPr="00E00F13">
        <w:rPr>
          <w:rFonts w:ascii="Arial" w:hAnsi="Arial" w:cs="Arial"/>
          <w:sz w:val="24"/>
          <w:szCs w:val="24"/>
        </w:rPr>
        <w:lastRenderedPageBreak/>
        <w:t>Momento 5​</w:t>
      </w:r>
      <w:r w:rsidR="00225ABA" w:rsidRPr="00E00F13">
        <w:rPr>
          <w:rFonts w:ascii="Arial" w:hAnsi="Arial" w:cs="Arial"/>
          <w:sz w:val="24"/>
          <w:szCs w:val="24"/>
        </w:rPr>
        <w:t xml:space="preserve">. </w:t>
      </w:r>
      <w:r w:rsidRPr="00E00F13">
        <w:rPr>
          <w:rFonts w:ascii="Arial" w:hAnsi="Arial" w:cs="Arial"/>
          <w:sz w:val="24"/>
          <w:szCs w:val="24"/>
        </w:rPr>
        <w:t>Conozcamos c</w:t>
      </w:r>
      <w:r w:rsidR="00225ABA" w:rsidRPr="00E00F13">
        <w:rPr>
          <w:rFonts w:ascii="Arial" w:hAnsi="Arial" w:cs="Arial"/>
          <w:sz w:val="24"/>
          <w:szCs w:val="24"/>
        </w:rPr>
        <w:t>ó</w:t>
      </w:r>
      <w:r w:rsidRPr="00E00F13">
        <w:rPr>
          <w:rFonts w:ascii="Arial" w:hAnsi="Arial" w:cs="Arial"/>
          <w:sz w:val="24"/>
          <w:szCs w:val="24"/>
        </w:rPr>
        <w:t>mo se opera y mantiene nuestro sistema de agua​</w:t>
      </w:r>
      <w:r w:rsidR="00225ABA" w:rsidRPr="00E00F13">
        <w:rPr>
          <w:rFonts w:ascii="Arial" w:hAnsi="Arial" w:cs="Arial"/>
          <w:sz w:val="24"/>
          <w:szCs w:val="24"/>
        </w:rPr>
        <w:t>.</w:t>
      </w:r>
    </w:p>
    <w:p w14:paraId="09048C40" w14:textId="3EE6A220" w:rsidR="00E2113D" w:rsidRPr="00E00F13" w:rsidRDefault="00E2113D">
      <w:pPr>
        <w:pStyle w:val="Prrafodelista"/>
        <w:numPr>
          <w:ilvl w:val="0"/>
          <w:numId w:val="44"/>
        </w:numPr>
        <w:spacing w:after="0" w:line="360" w:lineRule="auto"/>
        <w:jc w:val="both"/>
        <w:rPr>
          <w:rFonts w:ascii="Arial" w:hAnsi="Arial" w:cs="Arial"/>
          <w:sz w:val="24"/>
          <w:szCs w:val="24"/>
        </w:rPr>
      </w:pPr>
      <w:r w:rsidRPr="00E00F13">
        <w:rPr>
          <w:rFonts w:ascii="Arial" w:hAnsi="Arial" w:cs="Arial"/>
          <w:sz w:val="24"/>
          <w:szCs w:val="24"/>
        </w:rPr>
        <w:t>Momento 6​</w:t>
      </w:r>
      <w:r w:rsidR="00225ABA" w:rsidRPr="00E00F13">
        <w:rPr>
          <w:rFonts w:ascii="Arial" w:hAnsi="Arial" w:cs="Arial"/>
          <w:sz w:val="24"/>
          <w:szCs w:val="24"/>
        </w:rPr>
        <w:t xml:space="preserve">. </w:t>
      </w:r>
      <w:r w:rsidRPr="00E00F13">
        <w:rPr>
          <w:rFonts w:ascii="Arial" w:hAnsi="Arial" w:cs="Arial"/>
          <w:sz w:val="24"/>
          <w:szCs w:val="24"/>
        </w:rPr>
        <w:t>Sigamos con la gestión comunitaria de agua en nuestro territorio. ​</w:t>
      </w:r>
    </w:p>
    <w:p w14:paraId="0E8531D2" w14:textId="77777777" w:rsidR="00E2113D" w:rsidRPr="00E00F13" w:rsidRDefault="00E2113D" w:rsidP="003A4ADC">
      <w:pPr>
        <w:spacing w:after="0" w:line="360" w:lineRule="auto"/>
        <w:jc w:val="both"/>
        <w:rPr>
          <w:rFonts w:ascii="Arial" w:hAnsi="Arial" w:cs="Arial"/>
          <w:sz w:val="24"/>
          <w:szCs w:val="24"/>
        </w:rPr>
      </w:pPr>
    </w:p>
    <w:p w14:paraId="09B7162B" w14:textId="35179D9C" w:rsidR="00225ABA" w:rsidRPr="00E00F13" w:rsidRDefault="00E2113D" w:rsidP="003A4ADC">
      <w:pPr>
        <w:spacing w:after="0" w:line="360" w:lineRule="auto"/>
        <w:jc w:val="both"/>
        <w:rPr>
          <w:rFonts w:ascii="Arial" w:hAnsi="Arial" w:cs="Arial"/>
          <w:sz w:val="24"/>
          <w:szCs w:val="24"/>
        </w:rPr>
      </w:pPr>
      <w:r w:rsidRPr="00E00F13">
        <w:rPr>
          <w:rFonts w:ascii="Arial" w:hAnsi="Arial" w:cs="Arial"/>
          <w:sz w:val="24"/>
          <w:szCs w:val="24"/>
        </w:rPr>
        <w:t>El desarrollo metodológico del acompañamiento se resume en el siguiente esquema</w:t>
      </w:r>
      <w:r w:rsidR="00225ABA" w:rsidRPr="00E00F13">
        <w:rPr>
          <w:rFonts w:ascii="Arial" w:hAnsi="Arial" w:cs="Arial"/>
          <w:sz w:val="24"/>
          <w:szCs w:val="24"/>
        </w:rPr>
        <w:t>.</w:t>
      </w:r>
    </w:p>
    <w:p w14:paraId="4C2946D6" w14:textId="16D14D40" w:rsidR="1D068790" w:rsidRPr="00E00F13" w:rsidRDefault="1D068790" w:rsidP="1D068790">
      <w:pPr>
        <w:spacing w:after="0" w:line="360" w:lineRule="auto"/>
        <w:jc w:val="both"/>
        <w:rPr>
          <w:rFonts w:ascii="Arial" w:hAnsi="Arial" w:cs="Arial"/>
          <w:sz w:val="24"/>
          <w:szCs w:val="24"/>
        </w:rPr>
      </w:pPr>
    </w:p>
    <w:p w14:paraId="5C61B7EC" w14:textId="20A2FACC" w:rsidR="09107D2F" w:rsidRPr="00E00F13" w:rsidRDefault="00BE41DB" w:rsidP="1D068790">
      <w:pPr>
        <w:spacing w:after="0" w:line="360" w:lineRule="auto"/>
        <w:jc w:val="both"/>
        <w:rPr>
          <w:rFonts w:ascii="Arial" w:hAnsi="Arial" w:cs="Arial"/>
          <w:b/>
          <w:bCs/>
          <w:sz w:val="24"/>
          <w:szCs w:val="24"/>
        </w:rPr>
      </w:pPr>
      <w:r w:rsidRPr="00E00F13">
        <w:rPr>
          <w:rFonts w:ascii="Arial" w:hAnsi="Arial" w:cs="Arial"/>
          <w:noProof/>
          <w:sz w:val="24"/>
          <w:szCs w:val="24"/>
        </w:rPr>
        <w:drawing>
          <wp:anchor distT="0" distB="0" distL="114300" distR="114300" simplePos="0" relativeHeight="251658244" behindDoc="0" locked="0" layoutInCell="1" allowOverlap="1" wp14:anchorId="52D30F6B" wp14:editId="673734E8">
            <wp:simplePos x="0" y="0"/>
            <wp:positionH relativeFrom="margin">
              <wp:posOffset>-89181</wp:posOffset>
            </wp:positionH>
            <wp:positionV relativeFrom="paragraph">
              <wp:posOffset>408556</wp:posOffset>
            </wp:positionV>
            <wp:extent cx="5425440" cy="2305050"/>
            <wp:effectExtent l="0" t="0" r="10160" b="6350"/>
            <wp:wrapSquare wrapText="bothSides"/>
            <wp:docPr id="930397245" name="Diagrama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6" r:lo="rId27" r:qs="rId28" r:cs="rId29"/>
              </a:graphicData>
            </a:graphic>
            <wp14:sizeRelH relativeFrom="page">
              <wp14:pctWidth>0</wp14:pctWidth>
            </wp14:sizeRelH>
            <wp14:sizeRelV relativeFrom="page">
              <wp14:pctHeight>0</wp14:pctHeight>
            </wp14:sizeRelV>
          </wp:anchor>
        </w:drawing>
      </w:r>
      <w:r w:rsidR="09107D2F" w:rsidRPr="00E00F13">
        <w:rPr>
          <w:rFonts w:ascii="Arial" w:hAnsi="Arial" w:cs="Arial"/>
          <w:b/>
          <w:bCs/>
          <w:sz w:val="24"/>
          <w:szCs w:val="24"/>
        </w:rPr>
        <w:t>Tabla. Desarrollo metodológico</w:t>
      </w:r>
    </w:p>
    <w:p w14:paraId="731CCF58" w14:textId="52DDC387" w:rsidR="00225ABA" w:rsidRPr="00E00F13" w:rsidRDefault="00225ABA" w:rsidP="003A4ADC">
      <w:pPr>
        <w:spacing w:after="0" w:line="360" w:lineRule="auto"/>
        <w:jc w:val="both"/>
        <w:rPr>
          <w:rFonts w:ascii="Arial" w:hAnsi="Arial" w:cs="Arial"/>
          <w:sz w:val="24"/>
          <w:szCs w:val="24"/>
        </w:rPr>
      </w:pPr>
    </w:p>
    <w:p w14:paraId="6C93130A" w14:textId="35FE4DB0" w:rsidR="00225ABA" w:rsidRPr="00E00F13" w:rsidRDefault="425A48B5" w:rsidP="003A4ADC">
      <w:pPr>
        <w:spacing w:after="0" w:line="360" w:lineRule="auto"/>
        <w:jc w:val="both"/>
        <w:rPr>
          <w:rFonts w:ascii="Arial" w:hAnsi="Arial" w:cs="Arial"/>
          <w:sz w:val="20"/>
          <w:szCs w:val="20"/>
        </w:rPr>
      </w:pPr>
      <w:r w:rsidRPr="00E00F13">
        <w:rPr>
          <w:rFonts w:ascii="Arial" w:hAnsi="Arial" w:cs="Arial"/>
          <w:sz w:val="20"/>
          <w:szCs w:val="20"/>
        </w:rPr>
        <w:t>Fuente: MVCT, 2025</w:t>
      </w:r>
      <w:r w:rsidR="000A10AF" w:rsidRPr="00E00F13">
        <w:rPr>
          <w:rFonts w:ascii="Arial" w:hAnsi="Arial" w:cs="Arial"/>
          <w:sz w:val="20"/>
          <w:szCs w:val="20"/>
        </w:rPr>
        <w:t>.</w:t>
      </w:r>
    </w:p>
    <w:p w14:paraId="51727EBB" w14:textId="77777777" w:rsidR="00E2113D" w:rsidRPr="00E00F13" w:rsidRDefault="00E2113D" w:rsidP="003A4ADC">
      <w:pPr>
        <w:spacing w:after="0" w:line="360" w:lineRule="auto"/>
        <w:jc w:val="both"/>
        <w:rPr>
          <w:rFonts w:ascii="Arial" w:hAnsi="Arial" w:cs="Arial"/>
          <w:sz w:val="24"/>
          <w:szCs w:val="24"/>
        </w:rPr>
      </w:pPr>
    </w:p>
    <w:p w14:paraId="4357EA95" w14:textId="77777777" w:rsidR="00BE41DB" w:rsidRPr="00E00F13" w:rsidRDefault="00BE41DB" w:rsidP="003F26BE">
      <w:pPr>
        <w:spacing w:after="0" w:line="360" w:lineRule="auto"/>
        <w:jc w:val="both"/>
        <w:rPr>
          <w:rFonts w:ascii="Arial" w:hAnsi="Arial" w:cs="Arial"/>
          <w:sz w:val="24"/>
          <w:szCs w:val="24"/>
        </w:rPr>
      </w:pPr>
    </w:p>
    <w:p w14:paraId="48BC37A4" w14:textId="19509459" w:rsidR="00D8668B" w:rsidRPr="00E00F13" w:rsidRDefault="00E2113D" w:rsidP="003F26BE">
      <w:pPr>
        <w:spacing w:after="0" w:line="360" w:lineRule="auto"/>
        <w:jc w:val="both"/>
        <w:rPr>
          <w:rFonts w:ascii="Arial" w:hAnsi="Arial" w:cs="Arial"/>
          <w:sz w:val="24"/>
          <w:szCs w:val="24"/>
        </w:rPr>
      </w:pPr>
      <w:r w:rsidRPr="00E00F13">
        <w:rPr>
          <w:rFonts w:ascii="Arial" w:hAnsi="Arial" w:cs="Arial"/>
          <w:sz w:val="24"/>
          <w:szCs w:val="24"/>
        </w:rPr>
        <w:t xml:space="preserve">Se han desarrollado 1.136 talleres de fortalecimiento de capacidades, con la participación de 18.530 personas pertenecientes a 293 comunidades </w:t>
      </w:r>
      <w:proofErr w:type="spellStart"/>
      <w:r w:rsidRPr="00E00F13">
        <w:rPr>
          <w:rFonts w:ascii="Arial" w:hAnsi="Arial" w:cs="Arial"/>
          <w:sz w:val="24"/>
          <w:szCs w:val="24"/>
        </w:rPr>
        <w:t>Wayúu</w:t>
      </w:r>
      <w:proofErr w:type="spellEnd"/>
      <w:r w:rsidRPr="00E00F13">
        <w:rPr>
          <w:rFonts w:ascii="Arial" w:hAnsi="Arial" w:cs="Arial"/>
          <w:sz w:val="24"/>
          <w:szCs w:val="24"/>
        </w:rPr>
        <w:t>. Estos espacios han contribuido significativamente al desarrollo de habilidades técnicas y organizativas para el ejercicio autónomo en la gestión, administración y operación de los sistemas de acceso al agua.</w:t>
      </w:r>
    </w:p>
    <w:p w14:paraId="3F2E8222" w14:textId="694584E6" w:rsidR="00CD07D3" w:rsidRPr="00E00F13" w:rsidRDefault="00CD07D3" w:rsidP="00234EFD">
      <w:pPr>
        <w:spacing w:after="0" w:line="360" w:lineRule="auto"/>
        <w:jc w:val="both"/>
        <w:rPr>
          <w:rFonts w:ascii="Arial" w:hAnsi="Arial" w:cs="Arial"/>
          <w:sz w:val="24"/>
          <w:szCs w:val="24"/>
        </w:rPr>
      </w:pPr>
    </w:p>
    <w:p w14:paraId="33A5488F" w14:textId="74631ED6" w:rsidR="00224A39" w:rsidRPr="00E00F13" w:rsidRDefault="00F45FCC" w:rsidP="000A10AF">
      <w:pPr>
        <w:pStyle w:val="Ttulo2"/>
        <w:rPr>
          <w:color w:val="auto"/>
        </w:rPr>
      </w:pPr>
      <w:bookmarkStart w:id="121" w:name="_Toc234242844"/>
      <w:r w:rsidRPr="00E00F13">
        <w:rPr>
          <w:color w:val="auto"/>
        </w:rPr>
        <w:t>2.</w:t>
      </w:r>
      <w:r w:rsidR="003A01CD" w:rsidRPr="00E00F13">
        <w:rPr>
          <w:color w:val="auto"/>
        </w:rPr>
        <w:t>8</w:t>
      </w:r>
      <w:r w:rsidRPr="00E00F13">
        <w:rPr>
          <w:color w:val="auto"/>
        </w:rPr>
        <w:t>. El lineamiento de política sobre l</w:t>
      </w:r>
      <w:r w:rsidR="00820698" w:rsidRPr="00E00F13">
        <w:rPr>
          <w:color w:val="auto"/>
        </w:rPr>
        <w:t>os</w:t>
      </w:r>
      <w:r w:rsidR="00224A39" w:rsidRPr="00E00F13">
        <w:rPr>
          <w:color w:val="auto"/>
        </w:rPr>
        <w:t xml:space="preserve"> enfoques</w:t>
      </w:r>
      <w:r w:rsidR="0056248B" w:rsidRPr="00E00F13">
        <w:rPr>
          <w:color w:val="auto"/>
        </w:rPr>
        <w:t xml:space="preserve"> diferenciales</w:t>
      </w:r>
      <w:bookmarkEnd w:id="121"/>
    </w:p>
    <w:p w14:paraId="18ED9013" w14:textId="3407F7D5" w:rsidR="00F45FCC" w:rsidRPr="00E00F13" w:rsidRDefault="00BF6D17" w:rsidP="00F338F1">
      <w:pPr>
        <w:spacing w:after="0" w:line="360" w:lineRule="auto"/>
        <w:jc w:val="both"/>
        <w:rPr>
          <w:rFonts w:ascii="Arial" w:hAnsi="Arial" w:cs="Arial"/>
          <w:sz w:val="24"/>
          <w:szCs w:val="24"/>
        </w:rPr>
      </w:pPr>
      <w:r w:rsidRPr="00E00F13">
        <w:rPr>
          <w:rFonts w:ascii="Arial" w:hAnsi="Arial" w:cs="Arial"/>
          <w:sz w:val="24"/>
          <w:szCs w:val="24"/>
        </w:rPr>
        <w:t>Los</w:t>
      </w:r>
      <w:r w:rsidR="00292BD4" w:rsidRPr="00E00F13">
        <w:rPr>
          <w:rFonts w:ascii="Arial" w:hAnsi="Arial" w:cs="Arial"/>
          <w:sz w:val="24"/>
          <w:szCs w:val="24"/>
        </w:rPr>
        <w:t xml:space="preserve"> enfoques diferenciales consiste</w:t>
      </w:r>
      <w:r w:rsidRPr="00E00F13">
        <w:rPr>
          <w:rFonts w:ascii="Arial" w:hAnsi="Arial" w:cs="Arial"/>
          <w:sz w:val="24"/>
          <w:szCs w:val="24"/>
        </w:rPr>
        <w:t>n</w:t>
      </w:r>
      <w:r w:rsidR="00292BD4" w:rsidRPr="00E00F13">
        <w:rPr>
          <w:rFonts w:ascii="Arial" w:hAnsi="Arial" w:cs="Arial"/>
          <w:sz w:val="24"/>
          <w:szCs w:val="24"/>
        </w:rPr>
        <w:t xml:space="preserve"> en reconocer y atender las necesidades específicas de grupos poblacionales vulnerables para garantizar sus derechos en </w:t>
      </w:r>
      <w:r w:rsidR="00292BD4" w:rsidRPr="00E00F13">
        <w:rPr>
          <w:rFonts w:ascii="Arial" w:hAnsi="Arial" w:cs="Arial"/>
          <w:sz w:val="24"/>
          <w:szCs w:val="24"/>
        </w:rPr>
        <w:lastRenderedPageBreak/>
        <w:t xml:space="preserve">materia de vivienda y agua y superar las desigualdades que enfrentan. </w:t>
      </w:r>
      <w:r w:rsidR="00F45FCC" w:rsidRPr="00E00F13">
        <w:rPr>
          <w:rFonts w:ascii="Arial" w:hAnsi="Arial" w:cs="Arial"/>
          <w:sz w:val="24"/>
          <w:szCs w:val="24"/>
        </w:rPr>
        <w:t>Es un lineamiento de la política Nuestro Hábitat Biodiverso considerar estos enfoques en todos los proyectos, no como un elemento pragmático, sino como un lineamiento estratégico de las acciones del MVCT.</w:t>
      </w:r>
    </w:p>
    <w:p w14:paraId="26DD6A34" w14:textId="77777777" w:rsidR="00F45FCC" w:rsidRPr="00E00F13" w:rsidRDefault="00F45FCC" w:rsidP="00F338F1">
      <w:pPr>
        <w:spacing w:after="0" w:line="360" w:lineRule="auto"/>
        <w:jc w:val="both"/>
        <w:rPr>
          <w:rFonts w:ascii="Arial" w:hAnsi="Arial" w:cs="Arial"/>
          <w:sz w:val="24"/>
          <w:szCs w:val="24"/>
        </w:rPr>
      </w:pPr>
    </w:p>
    <w:p w14:paraId="441E9C99" w14:textId="30BB7B93" w:rsidR="00BF6D17" w:rsidRPr="00E00F13" w:rsidRDefault="00BF6D17" w:rsidP="00F338F1">
      <w:pPr>
        <w:spacing w:after="0" w:line="360" w:lineRule="auto"/>
        <w:jc w:val="both"/>
        <w:rPr>
          <w:rFonts w:ascii="Arial" w:hAnsi="Arial" w:cs="Arial"/>
          <w:sz w:val="24"/>
          <w:szCs w:val="24"/>
        </w:rPr>
      </w:pPr>
      <w:r w:rsidRPr="00E00F13">
        <w:rPr>
          <w:rFonts w:ascii="Arial" w:hAnsi="Arial" w:cs="Arial"/>
          <w:sz w:val="24"/>
          <w:szCs w:val="24"/>
        </w:rPr>
        <w:t>Dentro de los enfoques diferenciales están:</w:t>
      </w:r>
    </w:p>
    <w:p w14:paraId="4175D56A" w14:textId="020C088C" w:rsidR="00BF6D17" w:rsidRPr="00E00F13" w:rsidRDefault="00BF6D17" w:rsidP="005E33C6">
      <w:pPr>
        <w:numPr>
          <w:ilvl w:val="0"/>
          <w:numId w:val="20"/>
        </w:numPr>
        <w:spacing w:after="0" w:line="360" w:lineRule="auto"/>
        <w:jc w:val="both"/>
        <w:rPr>
          <w:rFonts w:ascii="Arial" w:hAnsi="Arial" w:cs="Arial"/>
          <w:sz w:val="24"/>
          <w:szCs w:val="24"/>
        </w:rPr>
      </w:pPr>
      <w:r w:rsidRPr="00E00F13">
        <w:rPr>
          <w:rFonts w:ascii="Arial" w:hAnsi="Arial" w:cs="Arial"/>
          <w:sz w:val="24"/>
          <w:szCs w:val="24"/>
        </w:rPr>
        <w:t>Etario</w:t>
      </w:r>
    </w:p>
    <w:p w14:paraId="4EC9822B" w14:textId="77777777" w:rsidR="00BF6D17" w:rsidRPr="00E00F13" w:rsidRDefault="00BF6D17" w:rsidP="005E33C6">
      <w:pPr>
        <w:numPr>
          <w:ilvl w:val="0"/>
          <w:numId w:val="20"/>
        </w:numPr>
        <w:spacing w:after="0" w:line="360" w:lineRule="auto"/>
        <w:jc w:val="both"/>
        <w:rPr>
          <w:rFonts w:ascii="Arial" w:hAnsi="Arial" w:cs="Arial"/>
          <w:sz w:val="24"/>
          <w:szCs w:val="24"/>
        </w:rPr>
      </w:pPr>
      <w:r w:rsidRPr="00E00F13">
        <w:rPr>
          <w:rFonts w:ascii="Arial" w:hAnsi="Arial" w:cs="Arial"/>
          <w:sz w:val="24"/>
          <w:szCs w:val="24"/>
        </w:rPr>
        <w:t>Sexo</w:t>
      </w:r>
    </w:p>
    <w:p w14:paraId="22B09DC1" w14:textId="41BC1EC8" w:rsidR="00BF6D17" w:rsidRPr="00E00F13" w:rsidRDefault="00BF6D17" w:rsidP="005E33C6">
      <w:pPr>
        <w:numPr>
          <w:ilvl w:val="0"/>
          <w:numId w:val="20"/>
        </w:numPr>
        <w:spacing w:after="0" w:line="360" w:lineRule="auto"/>
        <w:jc w:val="both"/>
        <w:rPr>
          <w:rFonts w:ascii="Arial" w:hAnsi="Arial" w:cs="Arial"/>
          <w:sz w:val="24"/>
          <w:szCs w:val="24"/>
        </w:rPr>
      </w:pPr>
      <w:r w:rsidRPr="00E00F13">
        <w:rPr>
          <w:rFonts w:ascii="Arial" w:hAnsi="Arial" w:cs="Arial"/>
          <w:sz w:val="24"/>
          <w:szCs w:val="24"/>
        </w:rPr>
        <w:t>Identidad de género</w:t>
      </w:r>
    </w:p>
    <w:p w14:paraId="3EB7E1CC" w14:textId="13B446A1" w:rsidR="00BF6D17" w:rsidRPr="00E00F13" w:rsidRDefault="00BF6D17" w:rsidP="005E33C6">
      <w:pPr>
        <w:numPr>
          <w:ilvl w:val="0"/>
          <w:numId w:val="20"/>
        </w:numPr>
        <w:spacing w:after="0" w:line="360" w:lineRule="auto"/>
        <w:jc w:val="both"/>
        <w:rPr>
          <w:rFonts w:ascii="Arial" w:hAnsi="Arial" w:cs="Arial"/>
          <w:sz w:val="24"/>
          <w:szCs w:val="24"/>
        </w:rPr>
      </w:pPr>
      <w:r w:rsidRPr="00E00F13">
        <w:rPr>
          <w:rFonts w:ascii="Arial" w:hAnsi="Arial" w:cs="Arial"/>
          <w:sz w:val="24"/>
          <w:szCs w:val="24"/>
        </w:rPr>
        <w:t>Curso de la vida</w:t>
      </w:r>
    </w:p>
    <w:p w14:paraId="06063B13" w14:textId="6EA86EBE" w:rsidR="00BF6D17" w:rsidRPr="00E00F13" w:rsidRDefault="00BF6D17" w:rsidP="005E33C6">
      <w:pPr>
        <w:numPr>
          <w:ilvl w:val="0"/>
          <w:numId w:val="20"/>
        </w:numPr>
        <w:spacing w:after="0" w:line="360" w:lineRule="auto"/>
        <w:jc w:val="both"/>
        <w:rPr>
          <w:rFonts w:ascii="Arial" w:hAnsi="Arial" w:cs="Arial"/>
          <w:sz w:val="24"/>
          <w:szCs w:val="24"/>
        </w:rPr>
      </w:pPr>
      <w:r w:rsidRPr="00E00F13">
        <w:rPr>
          <w:rFonts w:ascii="Arial" w:hAnsi="Arial" w:cs="Arial"/>
          <w:sz w:val="24"/>
          <w:szCs w:val="24"/>
        </w:rPr>
        <w:t>Discapacidad</w:t>
      </w:r>
    </w:p>
    <w:p w14:paraId="33DC527C" w14:textId="4EAD5779" w:rsidR="00BF6D17" w:rsidRPr="00E00F13" w:rsidRDefault="00BF6D17" w:rsidP="005E33C6">
      <w:pPr>
        <w:numPr>
          <w:ilvl w:val="0"/>
          <w:numId w:val="20"/>
        </w:numPr>
        <w:spacing w:after="0" w:line="360" w:lineRule="auto"/>
        <w:jc w:val="both"/>
        <w:rPr>
          <w:rFonts w:ascii="Arial" w:hAnsi="Arial" w:cs="Arial"/>
          <w:sz w:val="24"/>
          <w:szCs w:val="24"/>
        </w:rPr>
      </w:pPr>
      <w:r w:rsidRPr="00E00F13">
        <w:rPr>
          <w:rFonts w:ascii="Arial" w:hAnsi="Arial" w:cs="Arial"/>
          <w:sz w:val="24"/>
          <w:szCs w:val="24"/>
        </w:rPr>
        <w:t>Étnico</w:t>
      </w:r>
    </w:p>
    <w:p w14:paraId="6B019EE3" w14:textId="04521D85" w:rsidR="00BF6D17" w:rsidRPr="00E00F13" w:rsidRDefault="00BF6D17" w:rsidP="005E33C6">
      <w:pPr>
        <w:numPr>
          <w:ilvl w:val="0"/>
          <w:numId w:val="20"/>
        </w:numPr>
        <w:spacing w:after="0" w:line="360" w:lineRule="auto"/>
        <w:jc w:val="both"/>
        <w:rPr>
          <w:rFonts w:ascii="Arial" w:hAnsi="Arial" w:cs="Arial"/>
          <w:sz w:val="24"/>
          <w:szCs w:val="24"/>
        </w:rPr>
      </w:pPr>
      <w:r w:rsidRPr="00E00F13">
        <w:rPr>
          <w:rFonts w:ascii="Arial" w:hAnsi="Arial" w:cs="Arial"/>
          <w:sz w:val="24"/>
          <w:szCs w:val="24"/>
        </w:rPr>
        <w:t>Víctimas</w:t>
      </w:r>
    </w:p>
    <w:p w14:paraId="5D4330C9" w14:textId="209188FA" w:rsidR="00BF6D17" w:rsidRPr="00E00F13" w:rsidRDefault="00BF6D17" w:rsidP="005E33C6">
      <w:pPr>
        <w:numPr>
          <w:ilvl w:val="0"/>
          <w:numId w:val="20"/>
        </w:numPr>
        <w:spacing w:after="0" w:line="360" w:lineRule="auto"/>
        <w:jc w:val="both"/>
        <w:rPr>
          <w:rFonts w:ascii="Arial" w:hAnsi="Arial" w:cs="Arial"/>
          <w:sz w:val="24"/>
          <w:szCs w:val="24"/>
        </w:rPr>
      </w:pPr>
      <w:r w:rsidRPr="00E00F13">
        <w:rPr>
          <w:rFonts w:ascii="Arial" w:hAnsi="Arial" w:cs="Arial"/>
          <w:sz w:val="24"/>
          <w:szCs w:val="24"/>
        </w:rPr>
        <w:t>Del cuidado</w:t>
      </w:r>
    </w:p>
    <w:p w14:paraId="0A40B404" w14:textId="110E086B" w:rsidR="00BF6D17" w:rsidRPr="00E00F13" w:rsidRDefault="00BF6D17" w:rsidP="005E33C6">
      <w:pPr>
        <w:numPr>
          <w:ilvl w:val="0"/>
          <w:numId w:val="20"/>
        </w:numPr>
        <w:spacing w:after="0" w:line="360" w:lineRule="auto"/>
        <w:jc w:val="both"/>
        <w:rPr>
          <w:rFonts w:ascii="Arial" w:hAnsi="Arial" w:cs="Arial"/>
          <w:sz w:val="24"/>
          <w:szCs w:val="24"/>
        </w:rPr>
      </w:pPr>
      <w:r w:rsidRPr="00E00F13">
        <w:rPr>
          <w:rFonts w:ascii="Arial" w:hAnsi="Arial" w:cs="Arial"/>
          <w:sz w:val="24"/>
          <w:szCs w:val="24"/>
        </w:rPr>
        <w:t>Territorial</w:t>
      </w:r>
    </w:p>
    <w:p w14:paraId="6265B6A1" w14:textId="7D731AA6" w:rsidR="00BF6D17" w:rsidRPr="00E00F13" w:rsidRDefault="00BF6D17" w:rsidP="005E33C6">
      <w:pPr>
        <w:numPr>
          <w:ilvl w:val="0"/>
          <w:numId w:val="20"/>
        </w:numPr>
        <w:spacing w:after="0" w:line="360" w:lineRule="auto"/>
        <w:jc w:val="both"/>
        <w:rPr>
          <w:rFonts w:ascii="Arial" w:hAnsi="Arial" w:cs="Arial"/>
          <w:sz w:val="24"/>
          <w:szCs w:val="24"/>
        </w:rPr>
      </w:pPr>
      <w:r w:rsidRPr="00E00F13">
        <w:rPr>
          <w:rFonts w:ascii="Arial" w:hAnsi="Arial" w:cs="Arial"/>
          <w:sz w:val="24"/>
          <w:szCs w:val="24"/>
        </w:rPr>
        <w:t>Ambiental</w:t>
      </w:r>
    </w:p>
    <w:p w14:paraId="43D256A1" w14:textId="7E35F8E8" w:rsidR="00BF6D17" w:rsidRPr="00E00F13" w:rsidRDefault="00BF6D17" w:rsidP="005E33C6">
      <w:pPr>
        <w:numPr>
          <w:ilvl w:val="0"/>
          <w:numId w:val="20"/>
        </w:numPr>
        <w:spacing w:after="0" w:line="360" w:lineRule="auto"/>
        <w:jc w:val="both"/>
        <w:rPr>
          <w:rFonts w:ascii="Arial" w:hAnsi="Arial" w:cs="Arial"/>
          <w:sz w:val="24"/>
          <w:szCs w:val="24"/>
        </w:rPr>
      </w:pPr>
      <w:r w:rsidRPr="00E00F13">
        <w:rPr>
          <w:rFonts w:ascii="Arial" w:hAnsi="Arial" w:cs="Arial"/>
          <w:sz w:val="24"/>
          <w:szCs w:val="24"/>
        </w:rPr>
        <w:t>Hacia la paz</w:t>
      </w:r>
    </w:p>
    <w:p w14:paraId="5766C0B4" w14:textId="1E96A13C" w:rsidR="00BF6D17" w:rsidRPr="00E00F13" w:rsidRDefault="00BF6D17" w:rsidP="00F338F1">
      <w:pPr>
        <w:spacing w:after="0" w:line="360" w:lineRule="auto"/>
        <w:jc w:val="both"/>
        <w:rPr>
          <w:rFonts w:ascii="Arial" w:hAnsi="Arial" w:cs="Arial"/>
          <w:sz w:val="24"/>
          <w:szCs w:val="24"/>
        </w:rPr>
      </w:pPr>
    </w:p>
    <w:p w14:paraId="0B81B70D" w14:textId="77777777" w:rsidR="00586E73" w:rsidRPr="00E00F13" w:rsidRDefault="00BF6D17" w:rsidP="00F338F1">
      <w:pPr>
        <w:spacing w:after="0" w:line="360" w:lineRule="auto"/>
        <w:jc w:val="both"/>
        <w:rPr>
          <w:rFonts w:ascii="Arial" w:hAnsi="Arial" w:cs="Arial"/>
          <w:sz w:val="24"/>
          <w:szCs w:val="24"/>
        </w:rPr>
      </w:pPr>
      <w:r w:rsidRPr="00E00F13">
        <w:rPr>
          <w:rFonts w:ascii="Arial" w:hAnsi="Arial" w:cs="Arial"/>
          <w:sz w:val="24"/>
          <w:szCs w:val="24"/>
        </w:rPr>
        <w:t xml:space="preserve">En este documento nos enfocaremos en los enfoques étnico; víctimas; del cuidado; territorial; ambiental; y hacia la paz. </w:t>
      </w:r>
    </w:p>
    <w:p w14:paraId="74E411D5" w14:textId="77777777" w:rsidR="00586E73" w:rsidRPr="00E00F13" w:rsidRDefault="00586E73" w:rsidP="00F338F1">
      <w:pPr>
        <w:spacing w:after="0" w:line="360" w:lineRule="auto"/>
        <w:jc w:val="both"/>
        <w:rPr>
          <w:rFonts w:ascii="Arial" w:hAnsi="Arial" w:cs="Arial"/>
          <w:sz w:val="24"/>
          <w:szCs w:val="24"/>
        </w:rPr>
      </w:pPr>
    </w:p>
    <w:p w14:paraId="5ADFCC79" w14:textId="0431E5B2" w:rsidR="004C3720" w:rsidRPr="00E00F13" w:rsidRDefault="00BF6D17" w:rsidP="00F338F1">
      <w:pPr>
        <w:spacing w:after="0" w:line="360" w:lineRule="auto"/>
        <w:jc w:val="both"/>
        <w:rPr>
          <w:rFonts w:ascii="Arial" w:hAnsi="Arial" w:cs="Arial"/>
          <w:sz w:val="24"/>
          <w:szCs w:val="24"/>
        </w:rPr>
      </w:pPr>
      <w:r w:rsidRPr="00E00F13">
        <w:rPr>
          <w:rFonts w:ascii="Arial" w:hAnsi="Arial" w:cs="Arial"/>
          <w:sz w:val="24"/>
          <w:szCs w:val="24"/>
        </w:rPr>
        <w:t>Los enfoques que se abordarán ha</w:t>
      </w:r>
      <w:r w:rsidR="00F45FCC" w:rsidRPr="00E00F13">
        <w:rPr>
          <w:rFonts w:ascii="Arial" w:hAnsi="Arial" w:cs="Arial"/>
          <w:sz w:val="24"/>
          <w:szCs w:val="24"/>
        </w:rPr>
        <w:t>n</w:t>
      </w:r>
      <w:r w:rsidRPr="00E00F13">
        <w:rPr>
          <w:rFonts w:ascii="Arial" w:hAnsi="Arial" w:cs="Arial"/>
          <w:sz w:val="24"/>
          <w:szCs w:val="24"/>
        </w:rPr>
        <w:t xml:space="preserve"> permitido al MVCT</w:t>
      </w:r>
      <w:r w:rsidR="00292BD4" w:rsidRPr="00E00F13">
        <w:rPr>
          <w:rFonts w:ascii="Arial" w:hAnsi="Arial" w:cs="Arial"/>
          <w:sz w:val="24"/>
          <w:szCs w:val="24"/>
        </w:rPr>
        <w:t xml:space="preserve"> adaptar políticas, programas y acciones a </w:t>
      </w:r>
      <w:r w:rsidRPr="00E00F13">
        <w:rPr>
          <w:rFonts w:ascii="Arial" w:hAnsi="Arial" w:cs="Arial"/>
          <w:sz w:val="24"/>
          <w:szCs w:val="24"/>
        </w:rPr>
        <w:t>esta</w:t>
      </w:r>
      <w:r w:rsidR="00292BD4" w:rsidRPr="00E00F13">
        <w:rPr>
          <w:rFonts w:ascii="Arial" w:hAnsi="Arial" w:cs="Arial"/>
          <w:sz w:val="24"/>
          <w:szCs w:val="24"/>
        </w:rPr>
        <w:t xml:space="preserve"> realidad. </w:t>
      </w:r>
    </w:p>
    <w:p w14:paraId="4CFF5463" w14:textId="77777777" w:rsidR="00397A3D" w:rsidRPr="00E00F13" w:rsidRDefault="00397A3D" w:rsidP="00397A3D">
      <w:pPr>
        <w:spacing w:after="0" w:line="360" w:lineRule="auto"/>
        <w:jc w:val="both"/>
        <w:rPr>
          <w:rFonts w:ascii="Arial" w:hAnsi="Arial" w:cs="Arial"/>
          <w:b/>
          <w:bCs/>
          <w:i/>
          <w:iCs/>
        </w:rPr>
      </w:pPr>
    </w:p>
    <w:p w14:paraId="6CE2B307" w14:textId="1A5CC41E" w:rsidR="00BF6D17" w:rsidRPr="00E00F13" w:rsidRDefault="00397A3D" w:rsidP="00397A3D">
      <w:pPr>
        <w:pStyle w:val="Ttulo3"/>
        <w:rPr>
          <w:color w:val="auto"/>
        </w:rPr>
      </w:pPr>
      <w:bookmarkStart w:id="122" w:name="_Toc234242845"/>
      <w:r w:rsidRPr="00E00F13">
        <w:rPr>
          <w:color w:val="auto"/>
        </w:rPr>
        <w:t>2.</w:t>
      </w:r>
      <w:r w:rsidR="003A01CD" w:rsidRPr="00E00F13">
        <w:rPr>
          <w:color w:val="auto"/>
        </w:rPr>
        <w:t>8</w:t>
      </w:r>
      <w:r w:rsidRPr="00E00F13">
        <w:rPr>
          <w:color w:val="auto"/>
        </w:rPr>
        <w:t xml:space="preserve">.1. </w:t>
      </w:r>
      <w:r w:rsidR="00BF6D17" w:rsidRPr="00E00F13">
        <w:rPr>
          <w:color w:val="auto"/>
        </w:rPr>
        <w:t>¿Qué es el enfoque diferencial?</w:t>
      </w:r>
      <w:bookmarkEnd w:id="122"/>
    </w:p>
    <w:p w14:paraId="4FFB0E5A" w14:textId="77777777" w:rsidR="00BF6D17" w:rsidRPr="00E00F13" w:rsidRDefault="00BF6D17" w:rsidP="00BF6D17">
      <w:pPr>
        <w:spacing w:after="0" w:line="360" w:lineRule="auto"/>
        <w:jc w:val="both"/>
        <w:rPr>
          <w:rFonts w:ascii="Arial" w:hAnsi="Arial" w:cs="Arial"/>
          <w:sz w:val="24"/>
          <w:szCs w:val="24"/>
        </w:rPr>
      </w:pPr>
      <w:r w:rsidRPr="00E00F13">
        <w:rPr>
          <w:rFonts w:ascii="Arial" w:hAnsi="Arial" w:cs="Arial"/>
          <w:sz w:val="24"/>
          <w:szCs w:val="24"/>
        </w:rPr>
        <w:t xml:space="preserve">Es una perspectiva y una metodología que reconoce que las desigualdades no afectan a todas las personas por igual y que los grupos poblacionales tienen necesidades, barreras y condiciones específicas. El enfoque diferencial integra los enfoques étnicos, de género, niñez, discapacidad, territorial y del cuidado. Es, por lo tanto, el paraguas que los engloba a todos. Por lo que reconoce dimensiones </w:t>
      </w:r>
      <w:r w:rsidRPr="00E00F13">
        <w:rPr>
          <w:rFonts w:ascii="Arial" w:hAnsi="Arial" w:cs="Arial"/>
          <w:sz w:val="24"/>
          <w:szCs w:val="24"/>
        </w:rPr>
        <w:lastRenderedPageBreak/>
        <w:t xml:space="preserve">socioculturales, territoriales, económicas, políticas y étnica de poblaciones diversas para su no discriminación. </w:t>
      </w:r>
    </w:p>
    <w:p w14:paraId="6D626171" w14:textId="77777777" w:rsidR="00BF6D17" w:rsidRPr="00E00F13" w:rsidRDefault="00BF6D17" w:rsidP="00BF6D17">
      <w:pPr>
        <w:spacing w:after="0" w:line="360" w:lineRule="auto"/>
        <w:jc w:val="both"/>
        <w:rPr>
          <w:rFonts w:ascii="Arial" w:hAnsi="Arial" w:cs="Arial"/>
          <w:sz w:val="24"/>
          <w:szCs w:val="24"/>
        </w:rPr>
      </w:pPr>
    </w:p>
    <w:p w14:paraId="72412894" w14:textId="77777777" w:rsidR="00BF6D17" w:rsidRPr="00E00F13" w:rsidRDefault="00BF6D17" w:rsidP="00BF6D17">
      <w:pPr>
        <w:spacing w:after="0" w:line="360" w:lineRule="auto"/>
        <w:jc w:val="both"/>
        <w:rPr>
          <w:rFonts w:ascii="Arial" w:hAnsi="Arial" w:cs="Arial"/>
          <w:b/>
          <w:bCs/>
          <w:i/>
          <w:iCs/>
          <w:sz w:val="24"/>
          <w:szCs w:val="24"/>
        </w:rPr>
      </w:pPr>
      <w:r w:rsidRPr="00E00F13">
        <w:rPr>
          <w:rFonts w:ascii="Arial" w:hAnsi="Arial" w:cs="Arial"/>
          <w:sz w:val="24"/>
          <w:szCs w:val="24"/>
        </w:rPr>
        <w:t>En este sentido, el enfoque diferencial ordena al Estado ajustar su oferta institucional a las particularidades de los grupos, para garantizar efectivamente sus derechos y para corregir desigualdades estructurales.</w:t>
      </w:r>
      <w:r w:rsidRPr="00E00F13">
        <w:rPr>
          <w:rFonts w:ascii="Arial" w:hAnsi="Arial" w:cs="Arial"/>
          <w:b/>
          <w:bCs/>
          <w:i/>
          <w:iCs/>
          <w:sz w:val="24"/>
          <w:szCs w:val="24"/>
        </w:rPr>
        <w:t xml:space="preserve"> </w:t>
      </w:r>
    </w:p>
    <w:p w14:paraId="48BEB1C6" w14:textId="77777777" w:rsidR="00BF6D17" w:rsidRPr="00E00F13" w:rsidRDefault="00BF6D17" w:rsidP="00BF6D17">
      <w:pPr>
        <w:spacing w:after="0" w:line="360" w:lineRule="auto"/>
        <w:jc w:val="both"/>
        <w:rPr>
          <w:rFonts w:ascii="Arial" w:hAnsi="Arial" w:cs="Arial"/>
          <w:b/>
          <w:bCs/>
          <w:i/>
          <w:iCs/>
          <w:sz w:val="24"/>
          <w:szCs w:val="24"/>
        </w:rPr>
      </w:pPr>
    </w:p>
    <w:p w14:paraId="56B6C415" w14:textId="77777777" w:rsidR="00BF6D17" w:rsidRPr="00E00F13" w:rsidRDefault="00BF6D17" w:rsidP="00BF6D17">
      <w:pPr>
        <w:spacing w:after="0" w:line="360" w:lineRule="auto"/>
        <w:jc w:val="both"/>
        <w:rPr>
          <w:rFonts w:ascii="Arial" w:hAnsi="Arial" w:cs="Arial"/>
          <w:b/>
          <w:bCs/>
          <w:i/>
          <w:iCs/>
          <w:sz w:val="24"/>
          <w:szCs w:val="24"/>
        </w:rPr>
      </w:pPr>
      <w:r w:rsidRPr="00E00F13">
        <w:rPr>
          <w:rFonts w:ascii="Arial" w:hAnsi="Arial" w:cs="Arial"/>
          <w:sz w:val="24"/>
          <w:szCs w:val="24"/>
        </w:rPr>
        <w:t xml:space="preserve">Surge con fuerza en Colombia con la Ley 1448 de 2011 y los Decretos Ley 4633, 4634 y 4635, además de los autos de seguimiento de la Sentencia T-025/2004. </w:t>
      </w:r>
    </w:p>
    <w:p w14:paraId="3C8D3A96" w14:textId="77777777" w:rsidR="00BF6D17" w:rsidRPr="00E00F13" w:rsidRDefault="00BF6D17" w:rsidP="00BF6D17">
      <w:pPr>
        <w:spacing w:after="0" w:line="360" w:lineRule="auto"/>
        <w:jc w:val="both"/>
        <w:rPr>
          <w:rFonts w:ascii="Arial" w:hAnsi="Arial" w:cs="Arial"/>
          <w:b/>
          <w:bCs/>
          <w:i/>
          <w:iCs/>
          <w:sz w:val="24"/>
          <w:szCs w:val="24"/>
        </w:rPr>
      </w:pPr>
      <w:r w:rsidRPr="00E00F13">
        <w:rPr>
          <w:rFonts w:ascii="Arial" w:hAnsi="Arial" w:cs="Arial"/>
          <w:sz w:val="24"/>
          <w:szCs w:val="24"/>
        </w:rPr>
        <w:t>Está basado en principios constitucionales y normativos y en criterios fundamentales como la justicia social, la redistribución, la igualdad y la acción sin daño. Dentro de los principios están la Constitución Política; Ley 1448 (víctimas y restitución de tierras) y sus decretos; Ley 70/1993 (derechos de comunidades negras); Ley 1257/2008 (mujeres); Ley 1618/2013 (discapacidad); Ley 1098/2006 (niñez); Ley 1804/2016 (primera infancia); Autos 004, 005, 092, 009, 251; Sentencia T-025/2004, sentencias de consulta previa, derechos territoriales, entre otros.</w:t>
      </w:r>
    </w:p>
    <w:p w14:paraId="69F289C3" w14:textId="77777777" w:rsidR="00397A3D" w:rsidRPr="00E00F13" w:rsidRDefault="00397A3D" w:rsidP="00397A3D">
      <w:pPr>
        <w:spacing w:after="0" w:line="360" w:lineRule="auto"/>
        <w:jc w:val="both"/>
        <w:rPr>
          <w:rFonts w:ascii="Arial" w:hAnsi="Arial" w:cs="Arial"/>
        </w:rPr>
      </w:pPr>
    </w:p>
    <w:p w14:paraId="4A5AD9B5" w14:textId="6A83D4B5" w:rsidR="00BF6D17" w:rsidRPr="00E00F13" w:rsidRDefault="00397A3D" w:rsidP="00397A3D">
      <w:pPr>
        <w:pStyle w:val="Ttulo3"/>
        <w:rPr>
          <w:color w:val="auto"/>
        </w:rPr>
      </w:pPr>
      <w:bookmarkStart w:id="123" w:name="_Toc234242846"/>
      <w:r w:rsidRPr="00E00F13">
        <w:rPr>
          <w:color w:val="auto"/>
        </w:rPr>
        <w:t>2.</w:t>
      </w:r>
      <w:r w:rsidR="003A01CD" w:rsidRPr="00E00F13">
        <w:rPr>
          <w:color w:val="auto"/>
        </w:rPr>
        <w:t>8</w:t>
      </w:r>
      <w:r w:rsidRPr="00E00F13">
        <w:rPr>
          <w:color w:val="auto"/>
        </w:rPr>
        <w:t xml:space="preserve">.2. </w:t>
      </w:r>
      <w:r w:rsidR="00BF6D17" w:rsidRPr="00E00F13">
        <w:rPr>
          <w:color w:val="auto"/>
        </w:rPr>
        <w:t>Relevancia del enfoque diferencial</w:t>
      </w:r>
      <w:bookmarkEnd w:id="123"/>
    </w:p>
    <w:p w14:paraId="1A5EC036" w14:textId="77777777" w:rsidR="00BF6D17" w:rsidRPr="00E00F13" w:rsidRDefault="00BF6D17" w:rsidP="00BF6D17">
      <w:pPr>
        <w:spacing w:after="0" w:line="360" w:lineRule="auto"/>
        <w:jc w:val="both"/>
        <w:rPr>
          <w:rFonts w:ascii="Arial" w:hAnsi="Arial" w:cs="Arial"/>
          <w:sz w:val="24"/>
          <w:szCs w:val="24"/>
        </w:rPr>
      </w:pPr>
      <w:r w:rsidRPr="00E00F13">
        <w:rPr>
          <w:rFonts w:ascii="Arial" w:hAnsi="Arial" w:cs="Arial"/>
          <w:sz w:val="24"/>
          <w:szCs w:val="24"/>
        </w:rPr>
        <w:t>Es fundamental, porque se trata de la necesidad de reconocer la diversidad sociocultural, jurídica, económica y territorial de las poblaciones en el país. Significa el reconocimiento de la diversidad cultural, étnica, territorial y social transversal a la política del MVCT.</w:t>
      </w:r>
    </w:p>
    <w:p w14:paraId="400087B9" w14:textId="77777777" w:rsidR="00BF6D17" w:rsidRPr="00E00F13" w:rsidRDefault="00BF6D17" w:rsidP="00BF6D17">
      <w:pPr>
        <w:spacing w:after="0" w:line="360" w:lineRule="auto"/>
        <w:jc w:val="both"/>
        <w:rPr>
          <w:rFonts w:ascii="Arial" w:hAnsi="Arial" w:cs="Arial"/>
          <w:sz w:val="24"/>
          <w:szCs w:val="24"/>
        </w:rPr>
      </w:pPr>
    </w:p>
    <w:p w14:paraId="6F638F35" w14:textId="0232CDC5" w:rsidR="00BF6D17" w:rsidRDefault="00BF6D17" w:rsidP="00BF6D17">
      <w:pPr>
        <w:spacing w:after="0" w:line="360" w:lineRule="auto"/>
        <w:jc w:val="both"/>
        <w:rPr>
          <w:rFonts w:ascii="Arial" w:hAnsi="Arial" w:cs="Arial"/>
          <w:sz w:val="24"/>
          <w:szCs w:val="24"/>
        </w:rPr>
      </w:pPr>
      <w:r w:rsidRPr="00E00F13">
        <w:rPr>
          <w:rFonts w:ascii="Arial" w:hAnsi="Arial" w:cs="Arial"/>
          <w:sz w:val="24"/>
          <w:szCs w:val="24"/>
        </w:rPr>
        <w:t xml:space="preserve">Con el Plan Nacional de </w:t>
      </w:r>
      <w:r w:rsidR="00E322D4" w:rsidRPr="00E00F13">
        <w:rPr>
          <w:rFonts w:ascii="Arial" w:hAnsi="Arial" w:cs="Arial"/>
          <w:sz w:val="24"/>
          <w:szCs w:val="24"/>
        </w:rPr>
        <w:t>D</w:t>
      </w:r>
      <w:r w:rsidRPr="00E00F13">
        <w:rPr>
          <w:rFonts w:ascii="Arial" w:hAnsi="Arial" w:cs="Arial"/>
          <w:sz w:val="24"/>
          <w:szCs w:val="24"/>
        </w:rPr>
        <w:t xml:space="preserve">esarrollo 2022-2026 para el MVCT </w:t>
      </w:r>
      <w:r w:rsidR="00E322D4" w:rsidRPr="00E00F13">
        <w:rPr>
          <w:rFonts w:ascii="Arial" w:hAnsi="Arial" w:cs="Arial"/>
          <w:sz w:val="24"/>
          <w:szCs w:val="24"/>
        </w:rPr>
        <w:t xml:space="preserve">este enfoque cobra </w:t>
      </w:r>
      <w:r w:rsidRPr="00E00F13">
        <w:rPr>
          <w:rFonts w:ascii="Arial" w:hAnsi="Arial" w:cs="Arial"/>
          <w:sz w:val="24"/>
          <w:szCs w:val="24"/>
        </w:rPr>
        <w:t xml:space="preserve">un interés </w:t>
      </w:r>
      <w:r w:rsidR="00B50481" w:rsidRPr="00E00F13">
        <w:rPr>
          <w:rFonts w:ascii="Arial" w:hAnsi="Arial" w:cs="Arial"/>
          <w:sz w:val="24"/>
          <w:szCs w:val="24"/>
        </w:rPr>
        <w:t xml:space="preserve">como eje de los programas de </w:t>
      </w:r>
      <w:r w:rsidRPr="00E00F13">
        <w:rPr>
          <w:rFonts w:ascii="Arial" w:hAnsi="Arial" w:cs="Arial"/>
          <w:sz w:val="24"/>
          <w:szCs w:val="24"/>
        </w:rPr>
        <w:t>vivienda</w:t>
      </w:r>
      <w:r w:rsidR="00B50481" w:rsidRPr="00E00F13">
        <w:rPr>
          <w:rFonts w:ascii="Arial" w:hAnsi="Arial" w:cs="Arial"/>
          <w:sz w:val="24"/>
          <w:szCs w:val="24"/>
        </w:rPr>
        <w:t xml:space="preserve"> y</w:t>
      </w:r>
      <w:r w:rsidRPr="00E00F13">
        <w:rPr>
          <w:rFonts w:ascii="Arial" w:hAnsi="Arial" w:cs="Arial"/>
          <w:sz w:val="24"/>
          <w:szCs w:val="24"/>
        </w:rPr>
        <w:t xml:space="preserve"> agua </w:t>
      </w:r>
      <w:r w:rsidR="00B50481" w:rsidRPr="00E00F13">
        <w:rPr>
          <w:rFonts w:ascii="Arial" w:hAnsi="Arial" w:cs="Arial"/>
          <w:sz w:val="24"/>
          <w:szCs w:val="24"/>
        </w:rPr>
        <w:t>para el consumo humano</w:t>
      </w:r>
      <w:r w:rsidRPr="00E00F13">
        <w:rPr>
          <w:rFonts w:ascii="Arial" w:hAnsi="Arial" w:cs="Arial"/>
          <w:sz w:val="24"/>
          <w:szCs w:val="24"/>
        </w:rPr>
        <w:t xml:space="preserve"> y saneamiento básico</w:t>
      </w:r>
      <w:r w:rsidR="00B50481" w:rsidRPr="00E00F13">
        <w:rPr>
          <w:rFonts w:ascii="Arial" w:hAnsi="Arial" w:cs="Arial"/>
          <w:sz w:val="24"/>
          <w:szCs w:val="24"/>
        </w:rPr>
        <w:t xml:space="preserve">, lo que </w:t>
      </w:r>
      <w:r w:rsidRPr="00E00F13">
        <w:rPr>
          <w:rFonts w:ascii="Arial" w:hAnsi="Arial" w:cs="Arial"/>
          <w:sz w:val="24"/>
          <w:szCs w:val="24"/>
        </w:rPr>
        <w:t xml:space="preserve">permite elaborar políticas públicas adecuadas </w:t>
      </w:r>
      <w:r w:rsidR="00B50481" w:rsidRPr="00E00F13">
        <w:rPr>
          <w:rFonts w:ascii="Arial" w:hAnsi="Arial" w:cs="Arial"/>
          <w:sz w:val="24"/>
          <w:szCs w:val="24"/>
        </w:rPr>
        <w:t>a</w:t>
      </w:r>
      <w:r w:rsidRPr="00E00F13">
        <w:rPr>
          <w:rFonts w:ascii="Arial" w:hAnsi="Arial" w:cs="Arial"/>
          <w:sz w:val="24"/>
          <w:szCs w:val="24"/>
        </w:rPr>
        <w:t xml:space="preserve"> la realidad del país, planificar las acciones del MVCT, focalizar las intervenciones en el territorio y permitir el acceso a la oferta institucional </w:t>
      </w:r>
      <w:r w:rsidR="00B50481" w:rsidRPr="00E00F13">
        <w:rPr>
          <w:rFonts w:ascii="Arial" w:hAnsi="Arial" w:cs="Arial"/>
          <w:sz w:val="24"/>
          <w:szCs w:val="24"/>
        </w:rPr>
        <w:t xml:space="preserve">de manera </w:t>
      </w:r>
      <w:r w:rsidRPr="00E00F13">
        <w:rPr>
          <w:rFonts w:ascii="Arial" w:hAnsi="Arial" w:cs="Arial"/>
          <w:sz w:val="24"/>
          <w:szCs w:val="24"/>
        </w:rPr>
        <w:t xml:space="preserve">clara, coherente y honesta. </w:t>
      </w:r>
    </w:p>
    <w:p w14:paraId="44C98663" w14:textId="77777777" w:rsidR="00496A94" w:rsidRDefault="00496A94" w:rsidP="00BF6D17">
      <w:pPr>
        <w:spacing w:after="0" w:line="360" w:lineRule="auto"/>
        <w:jc w:val="both"/>
        <w:rPr>
          <w:rFonts w:ascii="Arial" w:hAnsi="Arial" w:cs="Arial"/>
          <w:sz w:val="24"/>
          <w:szCs w:val="24"/>
        </w:rPr>
      </w:pPr>
    </w:p>
    <w:p w14:paraId="6CB9C6D4" w14:textId="7437D789" w:rsidR="00496A94" w:rsidRPr="00E00F13" w:rsidRDefault="00496A94" w:rsidP="00BF6D17">
      <w:pPr>
        <w:spacing w:after="0" w:line="360" w:lineRule="auto"/>
        <w:jc w:val="both"/>
        <w:rPr>
          <w:rFonts w:ascii="Arial" w:hAnsi="Arial" w:cs="Arial"/>
          <w:sz w:val="24"/>
          <w:szCs w:val="24"/>
        </w:rPr>
      </w:pPr>
      <w:r w:rsidRPr="00496A94">
        <w:rPr>
          <w:rFonts w:ascii="Arial" w:hAnsi="Arial" w:cs="Arial"/>
          <w:noProof/>
          <w:sz w:val="24"/>
          <w:szCs w:val="24"/>
        </w:rPr>
        <w:lastRenderedPageBreak/>
        <w:drawing>
          <wp:inline distT="0" distB="0" distL="0" distR="0" wp14:anchorId="1D54A393" wp14:editId="28B21421">
            <wp:extent cx="5612130" cy="3156585"/>
            <wp:effectExtent l="0" t="0" r="1270" b="5715"/>
            <wp:docPr id="3" name="Imagen 2">
              <a:extLst xmlns:a="http://schemas.openxmlformats.org/drawingml/2006/main">
                <a:ext uri="{FF2B5EF4-FFF2-40B4-BE49-F238E27FC236}">
                  <a16:creationId xmlns:a16="http://schemas.microsoft.com/office/drawing/2014/main" id="{E209D106-34B8-07C2-BBE0-6B86CB1C53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E209D106-34B8-07C2-BBE0-6B86CB1C532F}"/>
                        </a:ext>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612130" cy="3156585"/>
                    </a:xfrm>
                    <a:prstGeom prst="rect">
                      <a:avLst/>
                    </a:prstGeom>
                  </pic:spPr>
                </pic:pic>
              </a:graphicData>
            </a:graphic>
          </wp:inline>
        </w:drawing>
      </w:r>
    </w:p>
    <w:p w14:paraId="4EB54E8A" w14:textId="77777777" w:rsidR="004C3720" w:rsidRPr="00E00F13" w:rsidRDefault="004C3720" w:rsidP="00BF6D17">
      <w:pPr>
        <w:spacing w:after="0" w:line="360" w:lineRule="auto"/>
        <w:jc w:val="both"/>
        <w:rPr>
          <w:rFonts w:ascii="Arial" w:hAnsi="Arial" w:cs="Arial"/>
          <w:sz w:val="24"/>
          <w:szCs w:val="24"/>
        </w:rPr>
      </w:pPr>
    </w:p>
    <w:p w14:paraId="050F419C" w14:textId="34E79568" w:rsidR="004C3720" w:rsidRPr="00E00F13" w:rsidRDefault="004C3720" w:rsidP="004C3720">
      <w:pPr>
        <w:pStyle w:val="Ttulo3"/>
        <w:rPr>
          <w:color w:val="auto"/>
        </w:rPr>
      </w:pPr>
      <w:bookmarkStart w:id="124" w:name="_Toc234242847"/>
      <w:r w:rsidRPr="00E00F13">
        <w:rPr>
          <w:color w:val="auto"/>
        </w:rPr>
        <w:t>2</w:t>
      </w:r>
      <w:r w:rsidR="00902401" w:rsidRPr="00E00F13">
        <w:rPr>
          <w:color w:val="auto"/>
        </w:rPr>
        <w:t>.</w:t>
      </w:r>
      <w:r w:rsidRPr="00E00F13">
        <w:rPr>
          <w:color w:val="auto"/>
        </w:rPr>
        <w:t>8</w:t>
      </w:r>
      <w:r w:rsidR="00902401" w:rsidRPr="00E00F13">
        <w:rPr>
          <w:color w:val="auto"/>
        </w:rPr>
        <w:t>.</w:t>
      </w:r>
      <w:r w:rsidRPr="00E00F13">
        <w:rPr>
          <w:color w:val="auto"/>
        </w:rPr>
        <w:t>3. El enfoque diferencial en el marco normativo del MVCT</w:t>
      </w:r>
      <w:bookmarkEnd w:id="124"/>
    </w:p>
    <w:p w14:paraId="35549FFD" w14:textId="590DB82F" w:rsidR="004C3720" w:rsidRPr="00E00F13" w:rsidRDefault="004C3720" w:rsidP="00BE41DB">
      <w:pPr>
        <w:spacing w:after="0" w:line="360" w:lineRule="auto"/>
        <w:jc w:val="both"/>
        <w:rPr>
          <w:rFonts w:ascii="Arial" w:hAnsi="Arial" w:cs="Arial"/>
          <w:sz w:val="24"/>
          <w:szCs w:val="24"/>
        </w:rPr>
      </w:pPr>
      <w:r w:rsidRPr="00E00F13">
        <w:rPr>
          <w:rFonts w:ascii="Arial" w:hAnsi="Arial" w:cs="Arial"/>
          <w:sz w:val="24"/>
          <w:szCs w:val="24"/>
        </w:rPr>
        <w:t>El MVCT reconoce una política de enfoque diferencial. Esta política está consignada en sus distintos programas y en los decretos expedidos entre 2024 y 2026, como parte del cambio estructural que obedece al nuevo paradigma.</w:t>
      </w:r>
    </w:p>
    <w:p w14:paraId="0A8A8E19" w14:textId="77777777" w:rsidR="004C3720" w:rsidRPr="00E00F13" w:rsidRDefault="004C3720" w:rsidP="004C3720">
      <w:pPr>
        <w:spacing w:line="240" w:lineRule="auto"/>
        <w:jc w:val="both"/>
        <w:rPr>
          <w:rFonts w:ascii="Arial" w:hAnsi="Arial" w:cs="Arial"/>
          <w:sz w:val="20"/>
          <w:szCs w:val="20"/>
        </w:rPr>
      </w:pPr>
    </w:p>
    <w:p w14:paraId="718C4E24" w14:textId="24DC2339" w:rsidR="004C3720" w:rsidRPr="00E00F13" w:rsidRDefault="004C3720" w:rsidP="004C3720">
      <w:pPr>
        <w:spacing w:line="240" w:lineRule="auto"/>
        <w:jc w:val="both"/>
        <w:rPr>
          <w:rFonts w:ascii="Arial" w:hAnsi="Arial" w:cs="Arial"/>
          <w:b/>
          <w:bCs/>
          <w:sz w:val="20"/>
          <w:szCs w:val="20"/>
        </w:rPr>
      </w:pPr>
      <w:r w:rsidRPr="00E00F13">
        <w:rPr>
          <w:rFonts w:ascii="Arial" w:hAnsi="Arial" w:cs="Arial"/>
          <w:b/>
          <w:bCs/>
          <w:sz w:val="20"/>
          <w:szCs w:val="20"/>
        </w:rPr>
        <w:t>Tabla. El enfoque diferencial en el marco normativo del MVCT</w:t>
      </w:r>
    </w:p>
    <w:tbl>
      <w:tblPr>
        <w:tblStyle w:val="Tablaconcuadrcula"/>
        <w:tblW w:w="8730" w:type="dxa"/>
        <w:tblLayout w:type="fixed"/>
        <w:tblLook w:val="04A0" w:firstRow="1" w:lastRow="0" w:firstColumn="1" w:lastColumn="0" w:noHBand="0" w:noVBand="1"/>
      </w:tblPr>
      <w:tblGrid>
        <w:gridCol w:w="1271"/>
        <w:gridCol w:w="1418"/>
        <w:gridCol w:w="6041"/>
      </w:tblGrid>
      <w:tr w:rsidR="004C3720" w:rsidRPr="00E00F13" w14:paraId="0D2C4535" w14:textId="77777777" w:rsidTr="00B83EBB">
        <w:tc>
          <w:tcPr>
            <w:tcW w:w="1271" w:type="dxa"/>
            <w:shd w:val="clear" w:color="auto" w:fill="D0CECE" w:themeFill="background2" w:themeFillShade="E6"/>
          </w:tcPr>
          <w:p w14:paraId="2E9EB5D0" w14:textId="77777777" w:rsidR="004C3720" w:rsidRPr="00E00F13" w:rsidRDefault="004C3720" w:rsidP="00B83EBB">
            <w:pPr>
              <w:jc w:val="center"/>
              <w:rPr>
                <w:rFonts w:ascii="Arial" w:hAnsi="Arial" w:cs="Arial"/>
                <w:b/>
                <w:bCs/>
                <w:sz w:val="16"/>
                <w:szCs w:val="16"/>
              </w:rPr>
            </w:pPr>
            <w:r w:rsidRPr="00E00F13">
              <w:rPr>
                <w:rFonts w:ascii="Arial" w:hAnsi="Arial" w:cs="Arial"/>
                <w:b/>
                <w:bCs/>
                <w:sz w:val="16"/>
                <w:szCs w:val="16"/>
              </w:rPr>
              <w:t>Enfoque diferencial</w:t>
            </w:r>
          </w:p>
        </w:tc>
        <w:tc>
          <w:tcPr>
            <w:tcW w:w="1418" w:type="dxa"/>
            <w:shd w:val="clear" w:color="auto" w:fill="D0CECE" w:themeFill="background2" w:themeFillShade="E6"/>
          </w:tcPr>
          <w:p w14:paraId="19B1B446" w14:textId="77777777" w:rsidR="004C3720" w:rsidRPr="00E00F13" w:rsidRDefault="004C3720" w:rsidP="00B83EBB">
            <w:pPr>
              <w:jc w:val="center"/>
              <w:rPr>
                <w:rFonts w:ascii="Arial" w:hAnsi="Arial" w:cs="Arial"/>
                <w:b/>
                <w:bCs/>
                <w:sz w:val="16"/>
                <w:szCs w:val="16"/>
              </w:rPr>
            </w:pPr>
            <w:r w:rsidRPr="00E00F13">
              <w:rPr>
                <w:rFonts w:ascii="Arial" w:hAnsi="Arial" w:cs="Arial"/>
                <w:b/>
                <w:bCs/>
                <w:sz w:val="16"/>
                <w:szCs w:val="16"/>
              </w:rPr>
              <w:t>Decreto</w:t>
            </w:r>
          </w:p>
        </w:tc>
        <w:tc>
          <w:tcPr>
            <w:tcW w:w="6041" w:type="dxa"/>
            <w:shd w:val="clear" w:color="auto" w:fill="D0CECE" w:themeFill="background2" w:themeFillShade="E6"/>
          </w:tcPr>
          <w:p w14:paraId="515D8E63" w14:textId="77777777" w:rsidR="004C3720" w:rsidRPr="00E00F13" w:rsidRDefault="004C3720" w:rsidP="00B83EBB">
            <w:pPr>
              <w:jc w:val="center"/>
              <w:rPr>
                <w:rFonts w:ascii="Arial" w:hAnsi="Arial" w:cs="Arial"/>
                <w:b/>
                <w:bCs/>
                <w:sz w:val="16"/>
                <w:szCs w:val="16"/>
              </w:rPr>
            </w:pPr>
            <w:r w:rsidRPr="00E00F13">
              <w:rPr>
                <w:rFonts w:ascii="Arial" w:hAnsi="Arial" w:cs="Arial"/>
                <w:b/>
                <w:bCs/>
                <w:sz w:val="16"/>
                <w:szCs w:val="16"/>
              </w:rPr>
              <w:t>Texto</w:t>
            </w:r>
          </w:p>
        </w:tc>
      </w:tr>
      <w:tr w:rsidR="004C3720" w:rsidRPr="00E00F13" w14:paraId="7DB42F5A" w14:textId="77777777" w:rsidTr="00B83EBB">
        <w:tc>
          <w:tcPr>
            <w:tcW w:w="1271" w:type="dxa"/>
            <w:shd w:val="clear" w:color="auto" w:fill="D0CECE" w:themeFill="background2" w:themeFillShade="E6"/>
          </w:tcPr>
          <w:p w14:paraId="7667C28A"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Étnico</w:t>
            </w:r>
          </w:p>
        </w:tc>
        <w:tc>
          <w:tcPr>
            <w:tcW w:w="1418" w:type="dxa"/>
            <w:shd w:val="clear" w:color="auto" w:fill="D0CECE" w:themeFill="background2" w:themeFillShade="E6"/>
          </w:tcPr>
          <w:p w14:paraId="059F227F"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Decreto 0585 de 2025 </w:t>
            </w:r>
          </w:p>
          <w:p w14:paraId="44FB0714"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Autogestión y autoconstrucción</w:t>
            </w:r>
          </w:p>
        </w:tc>
        <w:tc>
          <w:tcPr>
            <w:tcW w:w="6041" w:type="dxa"/>
          </w:tcPr>
          <w:p w14:paraId="6D4B52CB" w14:textId="77777777" w:rsidR="004C3720" w:rsidRPr="00E00F13" w:rsidRDefault="004C3720" w:rsidP="00B83EBB">
            <w:pPr>
              <w:jc w:val="both"/>
              <w:rPr>
                <w:rFonts w:ascii="Arial" w:eastAsia="Times New Roman" w:hAnsi="Arial" w:cs="Arial"/>
                <w:sz w:val="16"/>
                <w:szCs w:val="16"/>
                <w:lang w:eastAsia="es-CO"/>
              </w:rPr>
            </w:pPr>
            <w:r w:rsidRPr="00E00F13">
              <w:rPr>
                <w:rFonts w:ascii="Arial" w:eastAsia="Times New Roman" w:hAnsi="Arial" w:cs="Arial"/>
                <w:b/>
                <w:bCs/>
                <w:sz w:val="16"/>
                <w:szCs w:val="16"/>
                <w:shd w:val="clear" w:color="auto" w:fill="FFFFFF"/>
                <w:lang w:eastAsia="es-CO"/>
              </w:rPr>
              <w:t>Artículo 2.1.13.4.7. Condiciones y requisitos de los hogares</w:t>
            </w:r>
            <w:r w:rsidRPr="00E00F13">
              <w:rPr>
                <w:rFonts w:ascii="Arial" w:eastAsia="Times New Roman" w:hAnsi="Arial" w:cs="Arial"/>
                <w:sz w:val="16"/>
                <w:szCs w:val="16"/>
                <w:shd w:val="clear" w:color="auto" w:fill="FFFFFF"/>
                <w:lang w:eastAsia="es-CO"/>
              </w:rPr>
              <w:t>. (…) Parágrafo 2. El MVCT podrá establecer mediante acto administrativo los criterios de priorización para los potenciales beneficiarios que cumplan con los requisitos establecidos en el presente artículo. Dentro de la priorización se podrán incluir, entre otras, a las personas víctimas del conflicto armado interno, el enfoque diferencial étnico, personas en condición de discapacidad, grupo etario y enfoque de género y las demás que se dispongan en el marco de la política de vivienda nacional.</w:t>
            </w:r>
            <w:r w:rsidRPr="00E00F13">
              <w:rPr>
                <w:rFonts w:ascii="Arial" w:eastAsia="Times New Roman" w:hAnsi="Arial" w:cs="Arial"/>
                <w:sz w:val="16"/>
                <w:szCs w:val="16"/>
                <w:lang w:eastAsia="es-CO"/>
              </w:rPr>
              <w:t> </w:t>
            </w:r>
          </w:p>
        </w:tc>
      </w:tr>
      <w:tr w:rsidR="004C3720" w:rsidRPr="00E00F13" w14:paraId="01B43D38" w14:textId="77777777" w:rsidTr="00B83EBB">
        <w:tc>
          <w:tcPr>
            <w:tcW w:w="1271" w:type="dxa"/>
            <w:shd w:val="clear" w:color="auto" w:fill="D0CECE" w:themeFill="background2" w:themeFillShade="E6"/>
          </w:tcPr>
          <w:p w14:paraId="04898869"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Poblacional</w:t>
            </w:r>
          </w:p>
          <w:p w14:paraId="2B42C93C"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Étnico</w:t>
            </w:r>
          </w:p>
          <w:p w14:paraId="3C2ED944"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Víctimas del conflicto</w:t>
            </w:r>
          </w:p>
          <w:p w14:paraId="6C51D0B4"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Discapacidad</w:t>
            </w:r>
          </w:p>
        </w:tc>
        <w:tc>
          <w:tcPr>
            <w:tcW w:w="1418" w:type="dxa"/>
            <w:shd w:val="clear" w:color="auto" w:fill="D0CECE" w:themeFill="background2" w:themeFillShade="E6"/>
          </w:tcPr>
          <w:p w14:paraId="19C082C7"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Decreto 0413 de 2025 mejoramiento de vivienda </w:t>
            </w:r>
          </w:p>
        </w:tc>
        <w:tc>
          <w:tcPr>
            <w:tcW w:w="6041" w:type="dxa"/>
          </w:tcPr>
          <w:p w14:paraId="0965C9AA" w14:textId="77777777" w:rsidR="004C3720" w:rsidRPr="00E00F13" w:rsidRDefault="004C3720" w:rsidP="00B83EBB">
            <w:pPr>
              <w:jc w:val="both"/>
              <w:rPr>
                <w:rFonts w:ascii="Arial" w:eastAsia="Times New Roman" w:hAnsi="Arial" w:cs="Arial"/>
                <w:sz w:val="16"/>
                <w:szCs w:val="16"/>
                <w:lang w:eastAsia="es-CO"/>
              </w:rPr>
            </w:pPr>
            <w:r w:rsidRPr="00E00F13">
              <w:rPr>
                <w:rFonts w:ascii="Arial" w:eastAsia="Times New Roman" w:hAnsi="Arial" w:cs="Arial"/>
                <w:b/>
                <w:bCs/>
                <w:sz w:val="16"/>
                <w:szCs w:val="16"/>
                <w:shd w:val="clear" w:color="auto" w:fill="FFFFFF"/>
                <w:lang w:eastAsia="es-CO"/>
              </w:rPr>
              <w:t>Artículo 2.1.1.7.1. Aplicación</w:t>
            </w:r>
            <w:r w:rsidRPr="00E00F13">
              <w:rPr>
                <w:rFonts w:ascii="Arial" w:eastAsia="Times New Roman" w:hAnsi="Arial" w:cs="Arial"/>
                <w:sz w:val="16"/>
                <w:szCs w:val="16"/>
                <w:shd w:val="clear" w:color="auto" w:fill="FFFFFF"/>
                <w:lang w:eastAsia="es-CO"/>
              </w:rPr>
              <w:t>. «(…) en el marco del Programa de mejoramiento integral de hábitat denominado "Mejoramiento de Vivienda", el cual profundiza en los enfoques diferencial, de género y territorial (…)». Beneficiarios - Parágrafo: Dentro de la priorización se incluirán,</w:t>
            </w:r>
            <w:r w:rsidRPr="00E00F13">
              <w:rPr>
                <w:rFonts w:ascii="Arial" w:eastAsia="Times New Roman" w:hAnsi="Arial" w:cs="Arial"/>
                <w:sz w:val="16"/>
                <w:szCs w:val="16"/>
                <w:lang w:eastAsia="es-CO"/>
              </w:rPr>
              <w:t> </w:t>
            </w:r>
            <w:r w:rsidRPr="00E00F13">
              <w:rPr>
                <w:rFonts w:ascii="Arial" w:eastAsia="Times New Roman" w:hAnsi="Arial" w:cs="Arial"/>
                <w:sz w:val="16"/>
                <w:szCs w:val="16"/>
                <w:shd w:val="clear" w:color="auto" w:fill="FFFFFF"/>
                <w:lang w:eastAsia="es-CO"/>
              </w:rPr>
              <w:t>como mínimo, a las mujeres cabeza de familia de los estratos más pobres de la población, a las trabajadoras del sector informal y a las madres comunitarias, a las personas víctimas del conflicto armado interno, el enfoque diferencial étnico, personas en condición de discapacidad, grupo etario y enfoque de género.</w:t>
            </w:r>
            <w:r w:rsidRPr="00E00F13">
              <w:rPr>
                <w:rFonts w:ascii="Arial" w:eastAsia="Times New Roman" w:hAnsi="Arial" w:cs="Arial"/>
                <w:sz w:val="16"/>
                <w:szCs w:val="16"/>
                <w:lang w:eastAsia="es-CO"/>
              </w:rPr>
              <w:t> </w:t>
            </w:r>
          </w:p>
          <w:p w14:paraId="20F6292B" w14:textId="77777777" w:rsidR="004C3720" w:rsidRPr="00E00F13" w:rsidRDefault="004C3720" w:rsidP="00B83EBB">
            <w:pPr>
              <w:jc w:val="both"/>
              <w:rPr>
                <w:rFonts w:ascii="Arial" w:eastAsia="Times New Roman" w:hAnsi="Arial" w:cs="Arial"/>
                <w:sz w:val="16"/>
                <w:szCs w:val="16"/>
                <w:lang w:eastAsia="es-CO"/>
              </w:rPr>
            </w:pPr>
            <w:r w:rsidRPr="00E00F13">
              <w:rPr>
                <w:rFonts w:ascii="Arial" w:eastAsia="Times New Roman" w:hAnsi="Arial" w:cs="Arial"/>
                <w:b/>
                <w:bCs/>
                <w:sz w:val="16"/>
                <w:szCs w:val="16"/>
                <w:shd w:val="clear" w:color="auto" w:fill="FFFFFF"/>
                <w:lang w:eastAsia="es-CO"/>
              </w:rPr>
              <w:t>Artículo 2.1.1.7.B. Condicione</w:t>
            </w:r>
            <w:r w:rsidRPr="00E00F13">
              <w:rPr>
                <w:rFonts w:ascii="Arial" w:eastAsia="Times New Roman" w:hAnsi="Arial" w:cs="Arial"/>
                <w:sz w:val="16"/>
                <w:szCs w:val="16"/>
                <w:shd w:val="clear" w:color="auto" w:fill="FFFFFF"/>
                <w:lang w:eastAsia="es-CO"/>
              </w:rPr>
              <w:t>s de las intervenciones de mejoramiento. Diferencial y género: Reconocer las prácticas culturales de los hogares promoviendo intervenciones que soporten el trabajo doméstico y de cuidado al interior de la vivienda, facilitando la independencia y seguridad de personas con necesidades especiales como personas mayores, niños, niñas y aquellas en condición de discapacidad.</w:t>
            </w:r>
            <w:r w:rsidRPr="00E00F13">
              <w:rPr>
                <w:rFonts w:ascii="Arial" w:eastAsia="Times New Roman" w:hAnsi="Arial" w:cs="Arial"/>
                <w:sz w:val="16"/>
                <w:szCs w:val="16"/>
                <w:lang w:eastAsia="es-CO"/>
              </w:rPr>
              <w:t> </w:t>
            </w:r>
          </w:p>
          <w:p w14:paraId="1E96291F" w14:textId="77777777" w:rsidR="004C3720" w:rsidRPr="00E00F13" w:rsidRDefault="004C3720" w:rsidP="00B83EBB">
            <w:pPr>
              <w:jc w:val="both"/>
              <w:rPr>
                <w:rFonts w:ascii="Arial" w:eastAsia="Times New Roman" w:hAnsi="Arial" w:cs="Arial"/>
                <w:sz w:val="16"/>
                <w:szCs w:val="16"/>
                <w:lang w:eastAsia="es-CO"/>
              </w:rPr>
            </w:pPr>
            <w:r w:rsidRPr="00E00F13">
              <w:rPr>
                <w:rFonts w:ascii="Arial" w:eastAsia="Times New Roman" w:hAnsi="Arial" w:cs="Arial"/>
                <w:b/>
                <w:bCs/>
                <w:sz w:val="16"/>
                <w:szCs w:val="16"/>
                <w:shd w:val="clear" w:color="auto" w:fill="FFFFFF"/>
                <w:lang w:eastAsia="es-CO"/>
              </w:rPr>
              <w:t>Valor del Subsidio:</w:t>
            </w:r>
            <w:r w:rsidRPr="00E00F13">
              <w:rPr>
                <w:rFonts w:ascii="Arial" w:eastAsia="Times New Roman" w:hAnsi="Arial" w:cs="Arial"/>
                <w:sz w:val="16"/>
                <w:szCs w:val="16"/>
                <w:shd w:val="clear" w:color="auto" w:fill="FFFFFF"/>
                <w:lang w:eastAsia="es-CO"/>
              </w:rPr>
              <w:t xml:space="preserve"> Parágrafo 3. En los casos donde se realice un mejoramiento de vivienda, en un hogar conformado por una o más personas en situación de discapacidad con afectación en la movilidad, se podrá hacer un incremento de </w:t>
            </w:r>
            <w:r w:rsidRPr="00E00F13">
              <w:rPr>
                <w:rFonts w:ascii="Arial" w:eastAsia="Times New Roman" w:hAnsi="Arial" w:cs="Arial"/>
                <w:sz w:val="16"/>
                <w:szCs w:val="16"/>
                <w:shd w:val="clear" w:color="auto" w:fill="FFFFFF"/>
                <w:lang w:eastAsia="es-CO"/>
              </w:rPr>
              <w:lastRenderedPageBreak/>
              <w:t>hasta 2 SMML V que serán usados exclusivamente para garantizar las condiciones de accesibilidad al medio físico y funcionalidad al interior de la vivienda.</w:t>
            </w:r>
            <w:r w:rsidRPr="00E00F13">
              <w:rPr>
                <w:rFonts w:ascii="Arial" w:eastAsia="Times New Roman" w:hAnsi="Arial" w:cs="Arial"/>
                <w:sz w:val="16"/>
                <w:szCs w:val="16"/>
                <w:lang w:eastAsia="es-CO"/>
              </w:rPr>
              <w:t> </w:t>
            </w:r>
          </w:p>
        </w:tc>
      </w:tr>
      <w:tr w:rsidR="004C3720" w:rsidRPr="00E00F13" w14:paraId="1767870C" w14:textId="77777777" w:rsidTr="00B83EBB">
        <w:tc>
          <w:tcPr>
            <w:tcW w:w="1271" w:type="dxa"/>
            <w:shd w:val="clear" w:color="auto" w:fill="D0CECE" w:themeFill="background2" w:themeFillShade="E6"/>
          </w:tcPr>
          <w:p w14:paraId="7A9D2E3C"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lastRenderedPageBreak/>
              <w:t>Poblacional</w:t>
            </w:r>
          </w:p>
          <w:p w14:paraId="7B03AA08"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Género</w:t>
            </w:r>
          </w:p>
        </w:tc>
        <w:tc>
          <w:tcPr>
            <w:tcW w:w="1418" w:type="dxa"/>
            <w:shd w:val="clear" w:color="auto" w:fill="D0CECE" w:themeFill="background2" w:themeFillShade="E6"/>
          </w:tcPr>
          <w:p w14:paraId="569EFDCD"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Decreto 1470 2024 Barrios de paz </w:t>
            </w:r>
          </w:p>
        </w:tc>
        <w:tc>
          <w:tcPr>
            <w:tcW w:w="6041" w:type="dxa"/>
          </w:tcPr>
          <w:p w14:paraId="2C7B75EB" w14:textId="77777777" w:rsidR="004C3720" w:rsidRPr="00E00F13" w:rsidRDefault="004C3720" w:rsidP="00B83EBB">
            <w:pPr>
              <w:jc w:val="both"/>
              <w:rPr>
                <w:rFonts w:ascii="Arial" w:hAnsi="Arial" w:cs="Arial"/>
                <w:sz w:val="16"/>
                <w:szCs w:val="16"/>
              </w:rPr>
            </w:pPr>
            <w:r w:rsidRPr="00E00F13">
              <w:rPr>
                <w:rFonts w:ascii="Arial" w:eastAsia="Times New Roman" w:hAnsi="Arial" w:cs="Arial"/>
                <w:b/>
                <w:bCs/>
                <w:sz w:val="16"/>
                <w:szCs w:val="16"/>
                <w:shd w:val="clear" w:color="auto" w:fill="FFFFFF"/>
                <w:lang w:eastAsia="es-CO"/>
              </w:rPr>
              <w:t>Artículo 2.2.4.4.1.2. Objetivos del Programa Barrios de Paz</w:t>
            </w:r>
            <w:r w:rsidRPr="00E00F13">
              <w:rPr>
                <w:rFonts w:ascii="Arial" w:eastAsia="Times New Roman" w:hAnsi="Arial" w:cs="Arial"/>
                <w:sz w:val="16"/>
                <w:szCs w:val="16"/>
                <w:shd w:val="clear" w:color="auto" w:fill="FFFFFF"/>
                <w:lang w:eastAsia="es-CO"/>
              </w:rPr>
              <w:t>. (…) Las intervenciones se diseñarán y ejecutarán partiendo de un concepto de hábitat integral para la paz territorial; garantizando que los procesos respondan a las necesidades sociales, económicas y culturales de la comunidad. Para el desarrollo de los procesos se tomarán en consideración enfoques poblacionales, diferenciales, interseccionales, de género y de derecho a la ciudad.</w:t>
            </w:r>
            <w:r w:rsidRPr="00E00F13">
              <w:rPr>
                <w:rFonts w:ascii="Arial" w:eastAsia="Times New Roman" w:hAnsi="Arial" w:cs="Arial"/>
                <w:sz w:val="16"/>
                <w:szCs w:val="16"/>
                <w:lang w:eastAsia="es-CO"/>
              </w:rPr>
              <w:t> </w:t>
            </w:r>
          </w:p>
        </w:tc>
      </w:tr>
      <w:tr w:rsidR="004C3720" w:rsidRPr="00E00F13" w14:paraId="7DD90CCD" w14:textId="77777777" w:rsidTr="00B83EBB">
        <w:tc>
          <w:tcPr>
            <w:tcW w:w="1271" w:type="dxa"/>
            <w:shd w:val="clear" w:color="auto" w:fill="D0CECE" w:themeFill="background2" w:themeFillShade="E6"/>
          </w:tcPr>
          <w:p w14:paraId="79B4A68E"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Étnico</w:t>
            </w:r>
          </w:p>
        </w:tc>
        <w:tc>
          <w:tcPr>
            <w:tcW w:w="1418" w:type="dxa"/>
            <w:shd w:val="clear" w:color="auto" w:fill="D0CECE" w:themeFill="background2" w:themeFillShade="E6"/>
          </w:tcPr>
          <w:p w14:paraId="22669591"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Decreto 0584 de 2025. Vivienda Nueva en San Andrés, Providencia y Santa Catalina</w:t>
            </w:r>
          </w:p>
        </w:tc>
        <w:tc>
          <w:tcPr>
            <w:tcW w:w="6041" w:type="dxa"/>
          </w:tcPr>
          <w:p w14:paraId="54849871" w14:textId="77777777" w:rsidR="004C3720" w:rsidRPr="00E00F13" w:rsidRDefault="004C3720" w:rsidP="00B83EBB">
            <w:pPr>
              <w:jc w:val="both"/>
              <w:rPr>
                <w:rFonts w:ascii="Arial" w:hAnsi="Arial" w:cs="Arial"/>
                <w:sz w:val="16"/>
                <w:szCs w:val="16"/>
              </w:rPr>
            </w:pPr>
            <w:r w:rsidRPr="00E00F13">
              <w:rPr>
                <w:rFonts w:ascii="Arial" w:hAnsi="Arial" w:cs="Arial"/>
                <w:b/>
                <w:bCs/>
                <w:sz w:val="16"/>
                <w:szCs w:val="16"/>
              </w:rPr>
              <w:t>Reconoce las condiciones diferenciales para atender programas de vivienda nueva en San Andrés y Providencia</w:t>
            </w:r>
            <w:r w:rsidRPr="00E00F13">
              <w:rPr>
                <w:rFonts w:ascii="Arial" w:hAnsi="Arial" w:cs="Arial"/>
                <w:sz w:val="16"/>
                <w:szCs w:val="16"/>
              </w:rPr>
              <w:t xml:space="preserve"> (materialidad, recursos y participación de organizaciones sociales). La modificación tarifaria surge en respuesta a la orden séptima de la Corte Constitucional en el fallo T-333 de 2022, la cual exigió convocar a la comunidad raizal para adelantar un proceso de consulta sobre la reconstrucción integral de las islas de Providencia y Santa Catalina.</w:t>
            </w:r>
          </w:p>
        </w:tc>
      </w:tr>
      <w:tr w:rsidR="004C3720" w:rsidRPr="00E00F13" w14:paraId="2885F267" w14:textId="77777777" w:rsidTr="00B83EBB">
        <w:tc>
          <w:tcPr>
            <w:tcW w:w="1271" w:type="dxa"/>
            <w:shd w:val="clear" w:color="auto" w:fill="D0CECE" w:themeFill="background2" w:themeFillShade="E6"/>
          </w:tcPr>
          <w:p w14:paraId="0ACD07F1"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Población raizal</w:t>
            </w:r>
          </w:p>
        </w:tc>
        <w:tc>
          <w:tcPr>
            <w:tcW w:w="1418" w:type="dxa"/>
            <w:shd w:val="clear" w:color="auto" w:fill="D0CECE" w:themeFill="background2" w:themeFillShade="E6"/>
          </w:tcPr>
          <w:p w14:paraId="76B65894"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 xml:space="preserve">Decreto 0584 de 2025. Vivienda Nueva </w:t>
            </w:r>
          </w:p>
        </w:tc>
        <w:tc>
          <w:tcPr>
            <w:tcW w:w="6041" w:type="dxa"/>
          </w:tcPr>
          <w:p w14:paraId="4C71102A" w14:textId="77777777" w:rsidR="004C3720" w:rsidRPr="00E00F13" w:rsidRDefault="004C3720" w:rsidP="00B83EBB">
            <w:pPr>
              <w:jc w:val="both"/>
              <w:rPr>
                <w:rFonts w:ascii="Arial" w:hAnsi="Arial" w:cs="Arial"/>
                <w:sz w:val="16"/>
                <w:szCs w:val="16"/>
              </w:rPr>
            </w:pPr>
            <w:r w:rsidRPr="00E00F13">
              <w:rPr>
                <w:rFonts w:ascii="Arial" w:hAnsi="Arial" w:cs="Arial"/>
                <w:sz w:val="16"/>
                <w:szCs w:val="16"/>
              </w:rPr>
              <w:t xml:space="preserve">Artículo 2. Adiciónese un parágrafo al artículo 2.1.1 .2.1.4.6. del Decreto 1077 de 2015, el cual quedará así: </w:t>
            </w:r>
            <w:r w:rsidRPr="00E00F13">
              <w:rPr>
                <w:rFonts w:ascii="Arial" w:hAnsi="Arial" w:cs="Arial"/>
                <w:b/>
                <w:bCs/>
                <w:sz w:val="16"/>
                <w:szCs w:val="16"/>
              </w:rPr>
              <w:t>ARTÍCULO 2.1.1.2.1.4.6. Valor del subsidio familiar de vivienda en especie</w:t>
            </w:r>
            <w:r w:rsidRPr="00E00F13">
              <w:rPr>
                <w:rFonts w:ascii="Arial" w:hAnsi="Arial" w:cs="Arial"/>
                <w:sz w:val="16"/>
                <w:szCs w:val="16"/>
              </w:rPr>
              <w:t xml:space="preserve">. El Subsidio familiar de vivienda en especie que se asigne mediante el procedimiento establecido en la presente sección, será hasta de noventa (90) Salarios Mínimos Legales Mensuales Vigentes en cualquier parte del territorio nacional. (…) </w:t>
            </w:r>
            <w:r w:rsidRPr="00E00F13">
              <w:rPr>
                <w:rFonts w:ascii="Arial" w:hAnsi="Arial" w:cs="Arial"/>
                <w:b/>
                <w:bCs/>
                <w:sz w:val="16"/>
                <w:szCs w:val="16"/>
              </w:rPr>
              <w:t>Parágrafo 2.</w:t>
            </w:r>
            <w:r w:rsidRPr="00E00F13">
              <w:rPr>
                <w:rFonts w:ascii="Arial" w:hAnsi="Arial" w:cs="Arial"/>
                <w:sz w:val="16"/>
                <w:szCs w:val="16"/>
              </w:rPr>
              <w:t xml:space="preserve"> Para el departamento de </w:t>
            </w:r>
            <w:r w:rsidRPr="00E00F13">
              <w:rPr>
                <w:rFonts w:ascii="Arial" w:hAnsi="Arial" w:cs="Arial"/>
                <w:b/>
                <w:bCs/>
                <w:sz w:val="16"/>
                <w:szCs w:val="16"/>
              </w:rPr>
              <w:t xml:space="preserve">San Andrés Providencia y Santa Catalina, el MVCT podrá asignar el Subsidio Familiar de Vivienda Rural en Especie de hasta doscientos ochenta (280) </w:t>
            </w:r>
            <w:r w:rsidRPr="00E00F13">
              <w:rPr>
                <w:rFonts w:ascii="Arial" w:hAnsi="Arial" w:cs="Arial"/>
                <w:sz w:val="16"/>
                <w:szCs w:val="16"/>
              </w:rPr>
              <w:t>salarios mínimos legales mensuales vigentes (</w:t>
            </w:r>
            <w:proofErr w:type="spellStart"/>
            <w:r w:rsidRPr="00E00F13">
              <w:rPr>
                <w:rFonts w:ascii="Arial" w:hAnsi="Arial" w:cs="Arial"/>
                <w:sz w:val="16"/>
                <w:szCs w:val="16"/>
              </w:rPr>
              <w:t>smlmv</w:t>
            </w:r>
            <w:proofErr w:type="spellEnd"/>
            <w:r w:rsidRPr="00E00F13">
              <w:rPr>
                <w:rFonts w:ascii="Arial" w:hAnsi="Arial" w:cs="Arial"/>
                <w:sz w:val="16"/>
                <w:szCs w:val="16"/>
              </w:rPr>
              <w:t>) que corresponde al tope del valor de la Vivienda de Interés Social Rural.</w:t>
            </w:r>
          </w:p>
        </w:tc>
      </w:tr>
      <w:tr w:rsidR="004C3720" w:rsidRPr="00E00F13" w14:paraId="34502DD3" w14:textId="77777777" w:rsidTr="00B83EBB">
        <w:tc>
          <w:tcPr>
            <w:tcW w:w="1271" w:type="dxa"/>
            <w:shd w:val="clear" w:color="auto" w:fill="D0CECE" w:themeFill="background2" w:themeFillShade="E6"/>
          </w:tcPr>
          <w:p w14:paraId="35B11669"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Poblacional. Población vulnerable</w:t>
            </w:r>
          </w:p>
        </w:tc>
        <w:tc>
          <w:tcPr>
            <w:tcW w:w="1418" w:type="dxa"/>
            <w:shd w:val="clear" w:color="auto" w:fill="D0CECE" w:themeFill="background2" w:themeFillShade="E6"/>
          </w:tcPr>
          <w:p w14:paraId="65B58E70"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 xml:space="preserve">Decreto 0776 de 2025- Mínimo vital de agua </w:t>
            </w:r>
          </w:p>
        </w:tc>
        <w:tc>
          <w:tcPr>
            <w:tcW w:w="6041" w:type="dxa"/>
          </w:tcPr>
          <w:p w14:paraId="012645CB" w14:textId="77777777" w:rsidR="004C3720" w:rsidRPr="00E00F13" w:rsidRDefault="004C3720" w:rsidP="00B83EBB">
            <w:pPr>
              <w:jc w:val="both"/>
              <w:rPr>
                <w:rFonts w:ascii="Arial" w:hAnsi="Arial" w:cs="Arial"/>
                <w:sz w:val="16"/>
                <w:szCs w:val="16"/>
              </w:rPr>
            </w:pPr>
            <w:r w:rsidRPr="00E00F13">
              <w:rPr>
                <w:rFonts w:ascii="Arial" w:hAnsi="Arial" w:cs="Arial"/>
                <w:sz w:val="16"/>
                <w:szCs w:val="16"/>
              </w:rPr>
              <w:t>Establece lineamientos para garantizar el mínimo vital de agua y saneamiento a población vulnerable, definiendo medios alternos y estrategias para asegurar el acceso efectivo a agua apta para consumo humano y a saneamiento básico en todo el país.</w:t>
            </w:r>
          </w:p>
        </w:tc>
      </w:tr>
      <w:tr w:rsidR="004C3720" w:rsidRPr="00E00F13" w14:paraId="08C417C6" w14:textId="77777777" w:rsidTr="00B83EBB">
        <w:tc>
          <w:tcPr>
            <w:tcW w:w="1271" w:type="dxa"/>
            <w:shd w:val="clear" w:color="auto" w:fill="D0CECE" w:themeFill="background2" w:themeFillShade="E6"/>
          </w:tcPr>
          <w:p w14:paraId="02FAD086"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Poblacional. Recicladores de oficio</w:t>
            </w:r>
          </w:p>
          <w:p w14:paraId="6B1E4DA0"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Víctimas del conflicto</w:t>
            </w:r>
          </w:p>
          <w:p w14:paraId="0494EA61"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En proceso de reintegración</w:t>
            </w:r>
          </w:p>
          <w:p w14:paraId="5FF0459B"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Madres comunitarias</w:t>
            </w:r>
          </w:p>
        </w:tc>
        <w:tc>
          <w:tcPr>
            <w:tcW w:w="1418" w:type="dxa"/>
            <w:shd w:val="clear" w:color="auto" w:fill="D0CECE" w:themeFill="background2" w:themeFillShade="E6"/>
          </w:tcPr>
          <w:p w14:paraId="1FAB3842" w14:textId="006F18EE" w:rsidR="004C3720" w:rsidRPr="00E00F13" w:rsidRDefault="004C3720" w:rsidP="00B83EBB">
            <w:pPr>
              <w:jc w:val="both"/>
              <w:rPr>
                <w:rFonts w:ascii="Arial" w:eastAsia="Times New Roman" w:hAnsi="Arial" w:cs="Arial"/>
                <w:b/>
                <w:bCs/>
                <w:sz w:val="16"/>
                <w:szCs w:val="16"/>
                <w:lang w:eastAsia="es-ES_tradnl"/>
              </w:rPr>
            </w:pPr>
            <w:r w:rsidRPr="00E00F13">
              <w:rPr>
                <w:rFonts w:ascii="Arial" w:eastAsia="Times New Roman" w:hAnsi="Arial" w:cs="Arial"/>
                <w:b/>
                <w:bCs/>
                <w:sz w:val="16"/>
                <w:szCs w:val="16"/>
                <w:lang w:eastAsia="es-ES_tradnl"/>
              </w:rPr>
              <w:t>Decreto 0775 de julio de 2025</w:t>
            </w:r>
          </w:p>
          <w:p w14:paraId="0699F381" w14:textId="77777777" w:rsidR="004C3720" w:rsidRPr="00E00F13" w:rsidRDefault="004C3720" w:rsidP="00B83EBB">
            <w:pPr>
              <w:jc w:val="both"/>
              <w:rPr>
                <w:rFonts w:ascii="Arial" w:hAnsi="Arial" w:cs="Arial"/>
                <w:b/>
                <w:bCs/>
                <w:sz w:val="16"/>
                <w:szCs w:val="16"/>
              </w:rPr>
            </w:pPr>
            <w:r w:rsidRPr="00E00F13">
              <w:rPr>
                <w:rFonts w:ascii="Arial" w:eastAsia="Times New Roman" w:hAnsi="Arial" w:cs="Arial"/>
                <w:b/>
                <w:bCs/>
                <w:sz w:val="16"/>
                <w:szCs w:val="16"/>
                <w:lang w:eastAsia="es-ES_tradnl"/>
              </w:rPr>
              <w:t>Vivienda usada</w:t>
            </w:r>
          </w:p>
        </w:tc>
        <w:tc>
          <w:tcPr>
            <w:tcW w:w="6041" w:type="dxa"/>
          </w:tcPr>
          <w:p w14:paraId="5B1F3FD4" w14:textId="77777777" w:rsidR="004C3720" w:rsidRPr="00E00F13" w:rsidRDefault="004C3720" w:rsidP="00B83EBB">
            <w:pPr>
              <w:jc w:val="both"/>
              <w:rPr>
                <w:rFonts w:ascii="Arial" w:hAnsi="Arial" w:cs="Arial"/>
                <w:sz w:val="16"/>
                <w:szCs w:val="16"/>
              </w:rPr>
            </w:pPr>
            <w:r w:rsidRPr="00E00F13">
              <w:rPr>
                <w:rFonts w:ascii="Arial" w:hAnsi="Arial" w:cs="Arial"/>
                <w:sz w:val="16"/>
                <w:szCs w:val="16"/>
              </w:rPr>
              <w:t xml:space="preserve">El decreto incluye a los recicladores de oficio como un grupo poblacional específico y diferencial elegible para los subsidios de vivienda (adquisición de vivienda nueva o usada), así: </w:t>
            </w:r>
            <w:r w:rsidRPr="00E00F13">
              <w:rPr>
                <w:rFonts w:ascii="Arial" w:hAnsi="Arial" w:cs="Arial"/>
                <w:b/>
                <w:bCs/>
                <w:i/>
                <w:iCs/>
                <w:sz w:val="16"/>
                <w:szCs w:val="16"/>
              </w:rPr>
              <w:t>Artículo 2.1.1.4.1.2.1. Valor del subsidio familiar de vivienda</w:t>
            </w:r>
          </w:p>
          <w:p w14:paraId="58E0890C" w14:textId="77777777" w:rsidR="004C3720" w:rsidRPr="00E00F13" w:rsidRDefault="004C3720" w:rsidP="00B83EBB">
            <w:pPr>
              <w:jc w:val="both"/>
              <w:rPr>
                <w:rFonts w:ascii="Arial" w:hAnsi="Arial" w:cs="Arial"/>
                <w:sz w:val="16"/>
                <w:szCs w:val="16"/>
              </w:rPr>
            </w:pPr>
            <w:r w:rsidRPr="00E00F13">
              <w:rPr>
                <w:rFonts w:ascii="Arial" w:hAnsi="Arial" w:cs="Arial"/>
                <w:sz w:val="16"/>
                <w:szCs w:val="16"/>
              </w:rPr>
              <w:t xml:space="preserve">Parágrafo 5°. Los </w:t>
            </w:r>
            <w:r w:rsidRPr="00E00F13">
              <w:rPr>
                <w:rFonts w:ascii="Arial" w:hAnsi="Arial" w:cs="Arial"/>
                <w:b/>
                <w:bCs/>
                <w:sz w:val="16"/>
                <w:szCs w:val="16"/>
              </w:rPr>
              <w:t>subsidios familiares de vivienda</w:t>
            </w:r>
            <w:r w:rsidRPr="00E00F13">
              <w:rPr>
                <w:rFonts w:ascii="Arial" w:hAnsi="Arial" w:cs="Arial"/>
                <w:sz w:val="16"/>
                <w:szCs w:val="16"/>
              </w:rPr>
              <w:t xml:space="preserve"> asignados para la adquisición de vivienda usada de la que trata el presente articulo sólo serán dirigidos a hogares que cumplan los requisitos establecidos en el artículo 2.1.1.4.1.3.1 y que al menos un miembro del hogar cumpla alguna de las siguientes condiciones:</w:t>
            </w:r>
          </w:p>
          <w:p w14:paraId="38F673D1" w14:textId="77777777" w:rsidR="004C3720" w:rsidRPr="00E00F13" w:rsidRDefault="004C3720" w:rsidP="00B83EBB">
            <w:pPr>
              <w:jc w:val="both"/>
              <w:rPr>
                <w:rFonts w:ascii="Arial" w:hAnsi="Arial" w:cs="Arial"/>
                <w:sz w:val="16"/>
                <w:szCs w:val="16"/>
              </w:rPr>
            </w:pPr>
            <w:r w:rsidRPr="00E00F13">
              <w:rPr>
                <w:rFonts w:ascii="Arial" w:hAnsi="Arial" w:cs="Arial"/>
                <w:sz w:val="16"/>
                <w:szCs w:val="16"/>
              </w:rPr>
              <w:t xml:space="preserve">. </w:t>
            </w:r>
            <w:r w:rsidRPr="00E00F13">
              <w:rPr>
                <w:rFonts w:ascii="Arial" w:hAnsi="Arial" w:cs="Arial"/>
                <w:b/>
                <w:bCs/>
                <w:sz w:val="16"/>
                <w:szCs w:val="16"/>
              </w:rPr>
              <w:t>Víctima del conflicto armado</w:t>
            </w:r>
            <w:r w:rsidRPr="00E00F13">
              <w:rPr>
                <w:rFonts w:ascii="Arial" w:hAnsi="Arial" w:cs="Arial"/>
                <w:sz w:val="16"/>
                <w:szCs w:val="16"/>
              </w:rPr>
              <w:t xml:space="preserve"> con estado INCLUIDO en el Registro Único de Víctimas de la Unidad para la Atención y Reparación Integral a las Víctimas — UARIV, o quien haga sus veces.</w:t>
            </w:r>
          </w:p>
          <w:p w14:paraId="61C5E653" w14:textId="77777777" w:rsidR="004C3720" w:rsidRPr="00E00F13" w:rsidRDefault="004C3720" w:rsidP="00B83EBB">
            <w:pPr>
              <w:jc w:val="both"/>
              <w:rPr>
                <w:rFonts w:ascii="Arial" w:hAnsi="Arial" w:cs="Arial"/>
                <w:sz w:val="16"/>
                <w:szCs w:val="16"/>
              </w:rPr>
            </w:pPr>
            <w:r w:rsidRPr="00E00F13">
              <w:rPr>
                <w:rFonts w:ascii="Arial" w:hAnsi="Arial" w:cs="Arial"/>
                <w:sz w:val="16"/>
                <w:szCs w:val="16"/>
              </w:rPr>
              <w:t xml:space="preserve">. </w:t>
            </w:r>
            <w:r w:rsidRPr="00E00F13">
              <w:rPr>
                <w:rFonts w:ascii="Arial" w:hAnsi="Arial" w:cs="Arial"/>
                <w:b/>
                <w:bCs/>
                <w:sz w:val="16"/>
                <w:szCs w:val="16"/>
              </w:rPr>
              <w:t>En proceso de reincorporación</w:t>
            </w:r>
            <w:r w:rsidRPr="00E00F13">
              <w:rPr>
                <w:rFonts w:ascii="Arial" w:hAnsi="Arial" w:cs="Arial"/>
                <w:sz w:val="16"/>
                <w:szCs w:val="16"/>
              </w:rPr>
              <w:t xml:space="preserve"> que se encuentre activo en las bases de datos a cargo de la Agencia para la Reincorporación y la Normalización - ARN o quien haga sus veces.</w:t>
            </w:r>
          </w:p>
          <w:p w14:paraId="0021F059" w14:textId="77777777" w:rsidR="004C3720" w:rsidRPr="00E00F13" w:rsidRDefault="004C3720" w:rsidP="00B83EBB">
            <w:pPr>
              <w:jc w:val="both"/>
              <w:rPr>
                <w:rFonts w:ascii="Arial" w:hAnsi="Arial" w:cs="Arial"/>
                <w:sz w:val="16"/>
                <w:szCs w:val="16"/>
              </w:rPr>
            </w:pPr>
            <w:r w:rsidRPr="00E00F13">
              <w:rPr>
                <w:rFonts w:ascii="Arial" w:hAnsi="Arial" w:cs="Arial"/>
                <w:sz w:val="16"/>
                <w:szCs w:val="16"/>
              </w:rPr>
              <w:t xml:space="preserve">. </w:t>
            </w:r>
            <w:r w:rsidRPr="00E00F13">
              <w:rPr>
                <w:rFonts w:ascii="Arial" w:hAnsi="Arial" w:cs="Arial"/>
                <w:b/>
                <w:bCs/>
                <w:sz w:val="16"/>
                <w:szCs w:val="16"/>
              </w:rPr>
              <w:t>Madre comunitaria</w:t>
            </w:r>
            <w:r w:rsidRPr="00E00F13">
              <w:rPr>
                <w:rFonts w:ascii="Arial" w:hAnsi="Arial" w:cs="Arial"/>
                <w:sz w:val="16"/>
                <w:szCs w:val="16"/>
              </w:rPr>
              <w:t xml:space="preserve"> vinculada a los programas de hogares comunitarios de Bienestar, Famis y Madres Sustitutas, certificada por el Instituto Colombiano de Bienestar Familiar.</w:t>
            </w:r>
          </w:p>
          <w:p w14:paraId="310E32EA" w14:textId="77777777" w:rsidR="004C3720" w:rsidRPr="00E00F13" w:rsidRDefault="004C3720" w:rsidP="00B83EBB">
            <w:pPr>
              <w:jc w:val="both"/>
              <w:rPr>
                <w:rFonts w:ascii="Arial" w:hAnsi="Arial" w:cs="Arial"/>
                <w:sz w:val="16"/>
                <w:szCs w:val="16"/>
              </w:rPr>
            </w:pPr>
            <w:r w:rsidRPr="00E00F13">
              <w:rPr>
                <w:rFonts w:ascii="Arial" w:hAnsi="Arial" w:cs="Arial"/>
                <w:sz w:val="16"/>
                <w:szCs w:val="16"/>
              </w:rPr>
              <w:t xml:space="preserve">. </w:t>
            </w:r>
            <w:r w:rsidRPr="00E00F13">
              <w:rPr>
                <w:rFonts w:ascii="Arial" w:hAnsi="Arial" w:cs="Arial"/>
                <w:b/>
                <w:bCs/>
                <w:sz w:val="16"/>
                <w:szCs w:val="16"/>
              </w:rPr>
              <w:t>Reciclador de oficio</w:t>
            </w:r>
            <w:r w:rsidRPr="00E00F13">
              <w:rPr>
                <w:rFonts w:ascii="Arial" w:hAnsi="Arial" w:cs="Arial"/>
                <w:sz w:val="16"/>
                <w:szCs w:val="16"/>
              </w:rPr>
              <w:t xml:space="preserve"> que se encuentre registrado ante la Superintendencia de Servicios Públicos Domiciliarios como miembro de una organización de recicladores de oficio o en el sistema de información que determine el Ministerio de Vivienda, Ciudad y Territorio para tal fin.</w:t>
            </w:r>
          </w:p>
        </w:tc>
      </w:tr>
      <w:tr w:rsidR="004C3720" w:rsidRPr="00E00F13" w14:paraId="0829992F" w14:textId="77777777" w:rsidTr="00B83EBB">
        <w:tc>
          <w:tcPr>
            <w:tcW w:w="1271" w:type="dxa"/>
            <w:shd w:val="clear" w:color="auto" w:fill="D0CECE" w:themeFill="background2" w:themeFillShade="E6"/>
          </w:tcPr>
          <w:p w14:paraId="65D0C3D8"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 xml:space="preserve">Paz </w:t>
            </w:r>
          </w:p>
        </w:tc>
        <w:tc>
          <w:tcPr>
            <w:tcW w:w="1418" w:type="dxa"/>
            <w:shd w:val="clear" w:color="auto" w:fill="D0CECE" w:themeFill="background2" w:themeFillShade="E6"/>
          </w:tcPr>
          <w:p w14:paraId="14F62929"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Decreto 1470 de 2024 Programa Barrios y Veredas de Paz</w:t>
            </w:r>
          </w:p>
        </w:tc>
        <w:tc>
          <w:tcPr>
            <w:tcW w:w="6041" w:type="dxa"/>
          </w:tcPr>
          <w:p w14:paraId="4295CEC1" w14:textId="77777777" w:rsidR="004C3720" w:rsidRPr="00E00F13" w:rsidRDefault="004C3720" w:rsidP="00B83EBB">
            <w:pPr>
              <w:jc w:val="both"/>
              <w:rPr>
                <w:rFonts w:ascii="Arial" w:hAnsi="Arial" w:cs="Arial"/>
                <w:sz w:val="16"/>
                <w:szCs w:val="16"/>
              </w:rPr>
            </w:pPr>
            <w:r w:rsidRPr="00E00F13">
              <w:rPr>
                <w:rFonts w:ascii="Arial" w:hAnsi="Arial" w:cs="Arial"/>
                <w:sz w:val="16"/>
                <w:szCs w:val="16"/>
              </w:rPr>
              <w:t>Concibe la transformación del hábitat como mecanismo generador de paz</w:t>
            </w:r>
          </w:p>
        </w:tc>
      </w:tr>
      <w:tr w:rsidR="004C3720" w:rsidRPr="00E00F13" w14:paraId="7778DA5B" w14:textId="77777777" w:rsidTr="00B83EBB">
        <w:tc>
          <w:tcPr>
            <w:tcW w:w="1271" w:type="dxa"/>
            <w:shd w:val="clear" w:color="auto" w:fill="D0CECE" w:themeFill="background2" w:themeFillShade="E6"/>
          </w:tcPr>
          <w:p w14:paraId="3EE65619"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Poblacional. Firmantes de los Acuerdos de Paz</w:t>
            </w:r>
          </w:p>
        </w:tc>
        <w:tc>
          <w:tcPr>
            <w:tcW w:w="1418" w:type="dxa"/>
            <w:shd w:val="clear" w:color="auto" w:fill="D0CECE" w:themeFill="background2" w:themeFillShade="E6"/>
          </w:tcPr>
          <w:p w14:paraId="2581D580"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Decreto 0413 de abril 3 de 2025</w:t>
            </w:r>
          </w:p>
          <w:p w14:paraId="00E84FDE"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Mejoramiento</w:t>
            </w:r>
          </w:p>
        </w:tc>
        <w:tc>
          <w:tcPr>
            <w:tcW w:w="6041" w:type="dxa"/>
          </w:tcPr>
          <w:p w14:paraId="6B4CAC3F" w14:textId="77777777" w:rsidR="004C3720" w:rsidRPr="00E00F13" w:rsidRDefault="004C3720" w:rsidP="00B83EBB">
            <w:pPr>
              <w:jc w:val="both"/>
              <w:rPr>
                <w:rFonts w:ascii="Arial" w:hAnsi="Arial" w:cs="Arial"/>
                <w:sz w:val="16"/>
                <w:szCs w:val="16"/>
              </w:rPr>
            </w:pPr>
            <w:r w:rsidRPr="00E00F13">
              <w:rPr>
                <w:rFonts w:ascii="Arial" w:hAnsi="Arial" w:cs="Arial"/>
                <w:sz w:val="16"/>
                <w:szCs w:val="16"/>
              </w:rPr>
              <w:t>Beneficia a los firmantes del Acuerdo de Paz a través de organizaciones jurídicas en las que se hayan conformado y que hayan recibido bienes inmuebles por parte de la ANT o la Sociedad de Activos Especiales (SAE).</w:t>
            </w:r>
          </w:p>
        </w:tc>
      </w:tr>
      <w:tr w:rsidR="004C3720" w:rsidRPr="00E00F13" w14:paraId="24433ABB" w14:textId="77777777" w:rsidTr="00B83EBB">
        <w:tc>
          <w:tcPr>
            <w:tcW w:w="1271" w:type="dxa"/>
            <w:shd w:val="clear" w:color="auto" w:fill="D0CECE" w:themeFill="background2" w:themeFillShade="E6"/>
          </w:tcPr>
          <w:p w14:paraId="725DC8D2"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Ambiental</w:t>
            </w:r>
          </w:p>
          <w:p w14:paraId="12EE128F"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Territorial</w:t>
            </w:r>
          </w:p>
          <w:p w14:paraId="524AAB93"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Diferencial</w:t>
            </w:r>
          </w:p>
        </w:tc>
        <w:tc>
          <w:tcPr>
            <w:tcW w:w="1418" w:type="dxa"/>
            <w:shd w:val="clear" w:color="auto" w:fill="D0CECE" w:themeFill="background2" w:themeFillShade="E6"/>
          </w:tcPr>
          <w:p w14:paraId="15A50604"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Decreto 0413 de abril 3 de 2025</w:t>
            </w:r>
          </w:p>
          <w:p w14:paraId="76E4723C"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Mejoramiento</w:t>
            </w:r>
          </w:p>
          <w:p w14:paraId="34FF5D23" w14:textId="77777777" w:rsidR="004C3720" w:rsidRPr="00E00F13" w:rsidRDefault="004C3720" w:rsidP="00B83EBB">
            <w:pPr>
              <w:jc w:val="both"/>
              <w:rPr>
                <w:rFonts w:ascii="Arial" w:hAnsi="Arial" w:cs="Arial"/>
                <w:b/>
                <w:bCs/>
                <w:sz w:val="16"/>
                <w:szCs w:val="16"/>
              </w:rPr>
            </w:pPr>
          </w:p>
        </w:tc>
        <w:tc>
          <w:tcPr>
            <w:tcW w:w="6041" w:type="dxa"/>
          </w:tcPr>
          <w:p w14:paraId="43A4CC6D" w14:textId="77777777" w:rsidR="004C3720" w:rsidRPr="00E00F13" w:rsidRDefault="004C3720" w:rsidP="00B83EBB">
            <w:pPr>
              <w:jc w:val="both"/>
              <w:rPr>
                <w:rFonts w:ascii="Arial" w:hAnsi="Arial" w:cs="Arial"/>
                <w:sz w:val="16"/>
                <w:szCs w:val="16"/>
              </w:rPr>
            </w:pPr>
            <w:r w:rsidRPr="00E00F13">
              <w:rPr>
                <w:rFonts w:ascii="Arial" w:hAnsi="Arial" w:cs="Arial"/>
                <w:b/>
                <w:bCs/>
                <w:sz w:val="16"/>
                <w:szCs w:val="16"/>
              </w:rPr>
              <w:t>"ARTÍCULO 2.1.1.7.8. Condiciones</w:t>
            </w:r>
            <w:r w:rsidRPr="00E00F13">
              <w:rPr>
                <w:rFonts w:ascii="Arial" w:hAnsi="Arial" w:cs="Arial"/>
                <w:sz w:val="16"/>
                <w:szCs w:val="16"/>
              </w:rPr>
              <w:t xml:space="preserve"> de las intervenciones de mejoramiento. El subsidio familiar de vivienda en la modalidad de mejoramiento (…) tiene por objeto mejorar las condiciones habitacionales (…), que contemplen los siguientes enfoques: </w:t>
            </w:r>
            <w:r w:rsidRPr="00E00F13">
              <w:rPr>
                <w:rFonts w:ascii="Arial" w:hAnsi="Arial" w:cs="Arial"/>
                <w:b/>
                <w:bCs/>
                <w:sz w:val="16"/>
                <w:szCs w:val="16"/>
              </w:rPr>
              <w:t>a) Ambiental</w:t>
            </w:r>
            <w:r w:rsidRPr="00E00F13">
              <w:rPr>
                <w:rFonts w:ascii="Arial" w:hAnsi="Arial" w:cs="Arial"/>
                <w:sz w:val="16"/>
                <w:szCs w:val="16"/>
              </w:rPr>
              <w:t xml:space="preserve">: Fomentar el uso eficiente de recursos por medio de acciones que promuevan intervenciones para la adaptación al cambio climático, a través de soluciones basadas en la naturaleza, la economía circular y utilización de materiales y/o usos de la región. </w:t>
            </w:r>
            <w:r w:rsidRPr="00E00F13">
              <w:rPr>
                <w:rFonts w:ascii="Arial" w:hAnsi="Arial" w:cs="Arial"/>
                <w:b/>
                <w:bCs/>
                <w:sz w:val="16"/>
                <w:szCs w:val="16"/>
              </w:rPr>
              <w:t>b) Territorial</w:t>
            </w:r>
            <w:r w:rsidRPr="00E00F13">
              <w:rPr>
                <w:rFonts w:ascii="Arial" w:hAnsi="Arial" w:cs="Arial"/>
                <w:sz w:val="16"/>
                <w:szCs w:val="16"/>
              </w:rPr>
              <w:t xml:space="preserve">: Potenciar intervenciones que reconozcan las características sociales, culturales y económicas de cada territorio, y en donde se consideren las particularidades relacionadas con la accesibilidad, la disponibilidad de recursos y los riesgos asociados a factores ambientales y sociales. </w:t>
            </w:r>
            <w:r w:rsidRPr="00E00F13">
              <w:rPr>
                <w:rFonts w:ascii="Arial" w:hAnsi="Arial" w:cs="Arial"/>
                <w:b/>
                <w:bCs/>
                <w:sz w:val="16"/>
                <w:szCs w:val="16"/>
              </w:rPr>
              <w:t>c) Diferencial y género</w:t>
            </w:r>
            <w:r w:rsidRPr="00E00F13">
              <w:rPr>
                <w:rFonts w:ascii="Arial" w:hAnsi="Arial" w:cs="Arial"/>
                <w:sz w:val="16"/>
                <w:szCs w:val="16"/>
              </w:rPr>
              <w:t xml:space="preserve">: Reconocer las prácticas culturales de los hogares promoviendo intervenciones que soporten el trabajo doméstico y de cuidado al interior de la vivienda, facilitando la independencia y seguridad de </w:t>
            </w:r>
            <w:r w:rsidRPr="00E00F13">
              <w:rPr>
                <w:rFonts w:ascii="Arial" w:hAnsi="Arial" w:cs="Arial"/>
                <w:sz w:val="16"/>
                <w:szCs w:val="16"/>
              </w:rPr>
              <w:lastRenderedPageBreak/>
              <w:t>personas con necesidades especiales como personas mayores, niños, niñas y aquellas en condición de discapacidad.</w:t>
            </w:r>
          </w:p>
        </w:tc>
      </w:tr>
      <w:tr w:rsidR="004C3720" w:rsidRPr="00E00F13" w14:paraId="7C50DC60" w14:textId="77777777" w:rsidTr="00B83EBB">
        <w:tc>
          <w:tcPr>
            <w:tcW w:w="1271" w:type="dxa"/>
            <w:shd w:val="clear" w:color="auto" w:fill="D0CECE" w:themeFill="background2" w:themeFillShade="E6"/>
          </w:tcPr>
          <w:p w14:paraId="4230D633"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lastRenderedPageBreak/>
              <w:t>Población vulnerable</w:t>
            </w:r>
          </w:p>
          <w:p w14:paraId="66963A31" w14:textId="77777777" w:rsidR="004C3720" w:rsidRPr="00E00F13" w:rsidRDefault="004C3720" w:rsidP="00B83EBB">
            <w:pPr>
              <w:jc w:val="both"/>
              <w:rPr>
                <w:rFonts w:ascii="Arial" w:hAnsi="Arial" w:cs="Arial"/>
                <w:b/>
                <w:bCs/>
                <w:sz w:val="16"/>
                <w:szCs w:val="16"/>
              </w:rPr>
            </w:pPr>
          </w:p>
          <w:p w14:paraId="2C435792" w14:textId="77777777" w:rsidR="004C3720" w:rsidRPr="00E00F13" w:rsidRDefault="004C3720" w:rsidP="00B83EBB">
            <w:pPr>
              <w:jc w:val="both"/>
              <w:rPr>
                <w:rFonts w:ascii="Arial" w:hAnsi="Arial" w:cs="Arial"/>
                <w:b/>
                <w:bCs/>
                <w:sz w:val="16"/>
                <w:szCs w:val="16"/>
              </w:rPr>
            </w:pPr>
          </w:p>
          <w:p w14:paraId="2E8359DA"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Gestores comunitarios, poblaciones campesina, indígena, negra, afrocolombiana, raizal y palenquera -NARP, y comunidades organizadas</w:t>
            </w:r>
          </w:p>
          <w:p w14:paraId="001AC38F" w14:textId="77777777" w:rsidR="004C3720" w:rsidRPr="00E00F13" w:rsidRDefault="004C3720" w:rsidP="00B83EBB">
            <w:pPr>
              <w:jc w:val="both"/>
              <w:rPr>
                <w:rFonts w:ascii="Arial" w:hAnsi="Arial" w:cs="Arial"/>
                <w:b/>
                <w:bCs/>
                <w:sz w:val="16"/>
                <w:szCs w:val="16"/>
              </w:rPr>
            </w:pPr>
          </w:p>
          <w:p w14:paraId="1DCD03BE" w14:textId="77777777" w:rsidR="004C3720" w:rsidRPr="00E00F13" w:rsidRDefault="004C3720" w:rsidP="00B83EBB">
            <w:pPr>
              <w:jc w:val="both"/>
              <w:rPr>
                <w:rFonts w:ascii="Arial" w:hAnsi="Arial" w:cs="Arial"/>
                <w:b/>
                <w:bCs/>
                <w:sz w:val="16"/>
                <w:szCs w:val="16"/>
              </w:rPr>
            </w:pPr>
          </w:p>
          <w:p w14:paraId="5D154BBE"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Territorialización</w:t>
            </w:r>
          </w:p>
          <w:p w14:paraId="15079756" w14:textId="77777777" w:rsidR="004C3720" w:rsidRPr="00E00F13" w:rsidRDefault="004C3720" w:rsidP="00B83EBB">
            <w:pPr>
              <w:jc w:val="both"/>
              <w:rPr>
                <w:rFonts w:ascii="Arial" w:hAnsi="Arial" w:cs="Arial"/>
                <w:b/>
                <w:bCs/>
                <w:sz w:val="16"/>
                <w:szCs w:val="16"/>
              </w:rPr>
            </w:pPr>
          </w:p>
          <w:p w14:paraId="5F457384" w14:textId="77777777" w:rsidR="004C3720" w:rsidRPr="00E00F13" w:rsidRDefault="004C3720" w:rsidP="00B83EBB">
            <w:pPr>
              <w:jc w:val="both"/>
              <w:rPr>
                <w:rFonts w:ascii="Arial" w:hAnsi="Arial" w:cs="Arial"/>
                <w:b/>
                <w:bCs/>
                <w:sz w:val="16"/>
                <w:szCs w:val="16"/>
              </w:rPr>
            </w:pPr>
          </w:p>
          <w:p w14:paraId="066D6E6A"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Personas en condición de pobreza y vulnerabilidad</w:t>
            </w:r>
          </w:p>
          <w:p w14:paraId="2F319BB8" w14:textId="77777777" w:rsidR="004C3720" w:rsidRPr="00E00F13" w:rsidRDefault="004C3720" w:rsidP="00B83EBB">
            <w:pPr>
              <w:jc w:val="both"/>
              <w:rPr>
                <w:rFonts w:ascii="Arial" w:hAnsi="Arial" w:cs="Arial"/>
                <w:b/>
                <w:bCs/>
                <w:sz w:val="16"/>
                <w:szCs w:val="16"/>
              </w:rPr>
            </w:pPr>
          </w:p>
          <w:p w14:paraId="1D2FB910"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 xml:space="preserve">Territorialización. Municipios PDET </w:t>
            </w:r>
          </w:p>
          <w:p w14:paraId="4ADB5EC6" w14:textId="77777777" w:rsidR="004C3720" w:rsidRPr="00E00F13" w:rsidRDefault="004C3720" w:rsidP="00B83EBB">
            <w:pPr>
              <w:jc w:val="both"/>
              <w:rPr>
                <w:rFonts w:ascii="Arial" w:hAnsi="Arial" w:cs="Arial"/>
                <w:b/>
                <w:bCs/>
                <w:sz w:val="16"/>
                <w:szCs w:val="16"/>
              </w:rPr>
            </w:pPr>
            <w:proofErr w:type="spellStart"/>
            <w:r w:rsidRPr="00E00F13">
              <w:rPr>
                <w:rFonts w:ascii="Arial" w:hAnsi="Arial" w:cs="Arial"/>
                <w:b/>
                <w:bCs/>
                <w:sz w:val="16"/>
                <w:szCs w:val="16"/>
              </w:rPr>
              <w:t>Zomac</w:t>
            </w:r>
            <w:proofErr w:type="spellEnd"/>
          </w:p>
        </w:tc>
        <w:tc>
          <w:tcPr>
            <w:tcW w:w="1418" w:type="dxa"/>
            <w:shd w:val="clear" w:color="auto" w:fill="D0CECE" w:themeFill="background2" w:themeFillShade="E6"/>
          </w:tcPr>
          <w:p w14:paraId="5CCFA21A"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Decreto 0776 de 2025</w:t>
            </w:r>
          </w:p>
          <w:p w14:paraId="248AA6EC"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 xml:space="preserve">Mínimo vital de agua </w:t>
            </w:r>
          </w:p>
          <w:p w14:paraId="76327FA7" w14:textId="77777777" w:rsidR="004C3720" w:rsidRPr="00E00F13" w:rsidRDefault="004C3720" w:rsidP="00B83EBB">
            <w:pPr>
              <w:jc w:val="both"/>
              <w:rPr>
                <w:rFonts w:ascii="Arial" w:hAnsi="Arial" w:cs="Arial"/>
                <w:b/>
                <w:bCs/>
                <w:sz w:val="16"/>
                <w:szCs w:val="16"/>
              </w:rPr>
            </w:pPr>
          </w:p>
          <w:p w14:paraId="0A58144B" w14:textId="77777777" w:rsidR="004C3720" w:rsidRPr="00E00F13" w:rsidRDefault="004C3720" w:rsidP="00B83EBB">
            <w:pPr>
              <w:jc w:val="both"/>
              <w:rPr>
                <w:rFonts w:ascii="Arial" w:hAnsi="Arial" w:cs="Arial"/>
                <w:b/>
                <w:bCs/>
                <w:sz w:val="16"/>
                <w:szCs w:val="16"/>
              </w:rPr>
            </w:pPr>
          </w:p>
          <w:p w14:paraId="700F4700" w14:textId="77777777" w:rsidR="004C3720" w:rsidRPr="00E00F13" w:rsidRDefault="004C3720" w:rsidP="00B83EBB">
            <w:pPr>
              <w:jc w:val="both"/>
              <w:rPr>
                <w:rFonts w:ascii="Arial" w:hAnsi="Arial" w:cs="Arial"/>
                <w:b/>
                <w:bCs/>
                <w:sz w:val="16"/>
                <w:szCs w:val="16"/>
              </w:rPr>
            </w:pPr>
          </w:p>
          <w:p w14:paraId="1523CF54" w14:textId="77777777" w:rsidR="004C3720" w:rsidRPr="00E00F13" w:rsidRDefault="004C3720" w:rsidP="00B83EBB">
            <w:pPr>
              <w:jc w:val="both"/>
              <w:rPr>
                <w:rFonts w:ascii="Arial" w:hAnsi="Arial" w:cs="Arial"/>
                <w:b/>
                <w:bCs/>
                <w:sz w:val="16"/>
                <w:szCs w:val="16"/>
              </w:rPr>
            </w:pPr>
          </w:p>
          <w:p w14:paraId="19D57474" w14:textId="77777777" w:rsidR="004C3720" w:rsidRPr="00E00F13" w:rsidRDefault="004C3720" w:rsidP="00B83EBB">
            <w:pPr>
              <w:jc w:val="both"/>
              <w:rPr>
                <w:rFonts w:ascii="Arial" w:hAnsi="Arial" w:cs="Arial"/>
                <w:b/>
                <w:bCs/>
                <w:sz w:val="16"/>
                <w:szCs w:val="16"/>
              </w:rPr>
            </w:pPr>
          </w:p>
          <w:p w14:paraId="2CE13CB1" w14:textId="77777777" w:rsidR="004C3720" w:rsidRPr="00E00F13" w:rsidRDefault="004C3720" w:rsidP="00B83EBB">
            <w:pPr>
              <w:jc w:val="both"/>
              <w:rPr>
                <w:rFonts w:ascii="Arial" w:hAnsi="Arial" w:cs="Arial"/>
                <w:b/>
                <w:bCs/>
                <w:sz w:val="16"/>
                <w:szCs w:val="16"/>
              </w:rPr>
            </w:pPr>
          </w:p>
          <w:p w14:paraId="57E20EC4" w14:textId="77777777" w:rsidR="004C3720" w:rsidRPr="00E00F13" w:rsidRDefault="004C3720" w:rsidP="00B83EBB">
            <w:pPr>
              <w:jc w:val="both"/>
              <w:rPr>
                <w:rFonts w:ascii="Arial" w:hAnsi="Arial" w:cs="Arial"/>
                <w:b/>
                <w:bCs/>
                <w:sz w:val="16"/>
                <w:szCs w:val="16"/>
              </w:rPr>
            </w:pPr>
          </w:p>
          <w:p w14:paraId="165D6573" w14:textId="77777777" w:rsidR="004C3720" w:rsidRPr="00E00F13" w:rsidRDefault="004C3720" w:rsidP="00B83EBB">
            <w:pPr>
              <w:jc w:val="both"/>
              <w:rPr>
                <w:rFonts w:ascii="Arial" w:hAnsi="Arial" w:cs="Arial"/>
                <w:b/>
                <w:bCs/>
                <w:sz w:val="16"/>
                <w:szCs w:val="16"/>
              </w:rPr>
            </w:pPr>
          </w:p>
          <w:p w14:paraId="1809A401" w14:textId="77777777" w:rsidR="004C3720" w:rsidRPr="00E00F13" w:rsidRDefault="004C3720" w:rsidP="00B83EBB">
            <w:pPr>
              <w:jc w:val="both"/>
              <w:rPr>
                <w:rFonts w:ascii="Arial" w:hAnsi="Arial" w:cs="Arial"/>
                <w:b/>
                <w:bCs/>
                <w:sz w:val="16"/>
                <w:szCs w:val="16"/>
              </w:rPr>
            </w:pPr>
          </w:p>
          <w:p w14:paraId="44E568D2" w14:textId="77777777" w:rsidR="004C3720" w:rsidRPr="00E00F13" w:rsidRDefault="004C3720" w:rsidP="00B83EBB">
            <w:pPr>
              <w:jc w:val="both"/>
              <w:rPr>
                <w:rFonts w:ascii="Arial" w:hAnsi="Arial" w:cs="Arial"/>
                <w:b/>
                <w:bCs/>
                <w:sz w:val="16"/>
                <w:szCs w:val="16"/>
              </w:rPr>
            </w:pPr>
          </w:p>
          <w:p w14:paraId="2FF30B72" w14:textId="77777777" w:rsidR="004C3720" w:rsidRPr="00E00F13" w:rsidRDefault="004C3720" w:rsidP="00B83EBB">
            <w:pPr>
              <w:jc w:val="both"/>
              <w:rPr>
                <w:rFonts w:ascii="Arial" w:hAnsi="Arial" w:cs="Arial"/>
                <w:b/>
                <w:bCs/>
                <w:sz w:val="16"/>
                <w:szCs w:val="16"/>
              </w:rPr>
            </w:pPr>
          </w:p>
          <w:p w14:paraId="1A0ACF03" w14:textId="77777777" w:rsidR="004C3720" w:rsidRPr="00E00F13" w:rsidRDefault="004C3720" w:rsidP="00B83EBB">
            <w:pPr>
              <w:jc w:val="both"/>
              <w:rPr>
                <w:rFonts w:ascii="Arial" w:hAnsi="Arial" w:cs="Arial"/>
                <w:b/>
                <w:bCs/>
                <w:sz w:val="16"/>
                <w:szCs w:val="16"/>
              </w:rPr>
            </w:pPr>
          </w:p>
          <w:p w14:paraId="2BB45B37" w14:textId="77777777" w:rsidR="004C3720" w:rsidRPr="00E00F13" w:rsidRDefault="004C3720" w:rsidP="00B83EBB">
            <w:pPr>
              <w:jc w:val="both"/>
              <w:rPr>
                <w:rFonts w:ascii="Arial" w:hAnsi="Arial" w:cs="Arial"/>
                <w:b/>
                <w:bCs/>
                <w:sz w:val="16"/>
                <w:szCs w:val="16"/>
              </w:rPr>
            </w:pPr>
          </w:p>
          <w:p w14:paraId="411C1E81" w14:textId="77777777" w:rsidR="004C3720" w:rsidRPr="00E00F13" w:rsidRDefault="004C3720" w:rsidP="00B83EBB">
            <w:pPr>
              <w:jc w:val="both"/>
              <w:rPr>
                <w:rFonts w:ascii="Arial" w:hAnsi="Arial" w:cs="Arial"/>
                <w:b/>
                <w:bCs/>
                <w:sz w:val="16"/>
                <w:szCs w:val="16"/>
              </w:rPr>
            </w:pPr>
          </w:p>
          <w:p w14:paraId="6ECB0650" w14:textId="77777777" w:rsidR="004C3720" w:rsidRPr="00E00F13" w:rsidRDefault="004C3720" w:rsidP="00B83EBB">
            <w:pPr>
              <w:jc w:val="both"/>
              <w:rPr>
                <w:rFonts w:ascii="Arial" w:hAnsi="Arial" w:cs="Arial"/>
                <w:b/>
                <w:bCs/>
                <w:sz w:val="16"/>
                <w:szCs w:val="16"/>
              </w:rPr>
            </w:pPr>
          </w:p>
          <w:p w14:paraId="7DBE27E4" w14:textId="77777777" w:rsidR="004C3720" w:rsidRPr="00E00F13" w:rsidRDefault="004C3720" w:rsidP="00B83EBB">
            <w:pPr>
              <w:jc w:val="both"/>
              <w:rPr>
                <w:rFonts w:ascii="Arial" w:hAnsi="Arial" w:cs="Arial"/>
                <w:b/>
                <w:bCs/>
                <w:sz w:val="16"/>
                <w:szCs w:val="16"/>
              </w:rPr>
            </w:pPr>
          </w:p>
          <w:p w14:paraId="030D4733" w14:textId="77777777" w:rsidR="004C3720" w:rsidRPr="00E00F13" w:rsidRDefault="004C3720" w:rsidP="00B83EBB">
            <w:pPr>
              <w:jc w:val="both"/>
              <w:rPr>
                <w:rFonts w:ascii="Arial" w:hAnsi="Arial" w:cs="Arial"/>
                <w:b/>
                <w:bCs/>
                <w:sz w:val="16"/>
                <w:szCs w:val="16"/>
              </w:rPr>
            </w:pPr>
          </w:p>
          <w:p w14:paraId="2F711C43" w14:textId="77777777" w:rsidR="004C3720" w:rsidRPr="00E00F13" w:rsidRDefault="004C3720" w:rsidP="00B83EBB">
            <w:pPr>
              <w:jc w:val="both"/>
              <w:rPr>
                <w:rFonts w:ascii="Arial" w:hAnsi="Arial" w:cs="Arial"/>
                <w:b/>
                <w:bCs/>
                <w:sz w:val="16"/>
                <w:szCs w:val="16"/>
              </w:rPr>
            </w:pPr>
          </w:p>
          <w:p w14:paraId="2155FAAE" w14:textId="77777777" w:rsidR="004C3720" w:rsidRPr="00E00F13" w:rsidRDefault="004C3720" w:rsidP="00B83EBB">
            <w:pPr>
              <w:jc w:val="both"/>
              <w:rPr>
                <w:rFonts w:ascii="Arial" w:hAnsi="Arial" w:cs="Arial"/>
                <w:b/>
                <w:bCs/>
                <w:sz w:val="16"/>
                <w:szCs w:val="16"/>
              </w:rPr>
            </w:pPr>
          </w:p>
          <w:p w14:paraId="7A7EA280" w14:textId="77777777" w:rsidR="004C3720" w:rsidRPr="00E00F13" w:rsidRDefault="004C3720" w:rsidP="00B83EBB">
            <w:pPr>
              <w:jc w:val="both"/>
              <w:rPr>
                <w:rFonts w:ascii="Arial" w:hAnsi="Arial" w:cs="Arial"/>
                <w:b/>
                <w:bCs/>
                <w:sz w:val="16"/>
                <w:szCs w:val="16"/>
              </w:rPr>
            </w:pPr>
          </w:p>
          <w:p w14:paraId="672CF8AA" w14:textId="77777777" w:rsidR="004C3720" w:rsidRPr="00E00F13" w:rsidRDefault="004C3720" w:rsidP="00B83EBB">
            <w:pPr>
              <w:jc w:val="both"/>
              <w:rPr>
                <w:rFonts w:ascii="Arial" w:hAnsi="Arial" w:cs="Arial"/>
                <w:b/>
                <w:bCs/>
                <w:sz w:val="16"/>
                <w:szCs w:val="16"/>
              </w:rPr>
            </w:pPr>
          </w:p>
          <w:p w14:paraId="434C8ED0" w14:textId="77777777" w:rsidR="004C3720" w:rsidRPr="00E00F13" w:rsidRDefault="004C3720" w:rsidP="00B83EBB">
            <w:pPr>
              <w:jc w:val="both"/>
              <w:rPr>
                <w:rFonts w:ascii="Arial" w:hAnsi="Arial" w:cs="Arial"/>
                <w:b/>
                <w:bCs/>
                <w:sz w:val="16"/>
                <w:szCs w:val="16"/>
              </w:rPr>
            </w:pPr>
          </w:p>
          <w:p w14:paraId="6B0FA178" w14:textId="77777777" w:rsidR="004C3720" w:rsidRPr="00E00F13" w:rsidRDefault="004C3720" w:rsidP="00B83EBB">
            <w:pPr>
              <w:jc w:val="both"/>
              <w:rPr>
                <w:rFonts w:ascii="Arial" w:hAnsi="Arial" w:cs="Arial"/>
                <w:b/>
                <w:bCs/>
                <w:sz w:val="16"/>
                <w:szCs w:val="16"/>
              </w:rPr>
            </w:pPr>
          </w:p>
          <w:p w14:paraId="51B2659D" w14:textId="77777777" w:rsidR="004C3720" w:rsidRPr="00E00F13" w:rsidRDefault="004C3720" w:rsidP="00B83EBB">
            <w:pPr>
              <w:jc w:val="both"/>
              <w:rPr>
                <w:rFonts w:ascii="Arial" w:hAnsi="Arial" w:cs="Arial"/>
                <w:b/>
                <w:bCs/>
                <w:sz w:val="16"/>
                <w:szCs w:val="16"/>
              </w:rPr>
            </w:pPr>
          </w:p>
          <w:p w14:paraId="43F11CF7" w14:textId="77777777" w:rsidR="004C3720" w:rsidRPr="00E00F13" w:rsidRDefault="004C3720" w:rsidP="00B83EBB">
            <w:pPr>
              <w:jc w:val="both"/>
              <w:rPr>
                <w:rFonts w:ascii="Arial" w:hAnsi="Arial" w:cs="Arial"/>
                <w:b/>
                <w:bCs/>
                <w:sz w:val="16"/>
                <w:szCs w:val="16"/>
              </w:rPr>
            </w:pPr>
          </w:p>
          <w:p w14:paraId="13F0FCE9" w14:textId="77777777" w:rsidR="004C3720" w:rsidRPr="00E00F13" w:rsidRDefault="004C3720" w:rsidP="00B83EBB">
            <w:pPr>
              <w:jc w:val="both"/>
              <w:rPr>
                <w:rFonts w:ascii="Arial" w:hAnsi="Arial" w:cs="Arial"/>
                <w:b/>
                <w:bCs/>
                <w:sz w:val="16"/>
                <w:szCs w:val="16"/>
              </w:rPr>
            </w:pPr>
          </w:p>
          <w:p w14:paraId="1F232D92" w14:textId="77777777" w:rsidR="004C3720" w:rsidRPr="00E00F13" w:rsidRDefault="004C3720" w:rsidP="00B83EBB">
            <w:pPr>
              <w:jc w:val="both"/>
              <w:rPr>
                <w:rFonts w:ascii="Arial" w:hAnsi="Arial" w:cs="Arial"/>
                <w:b/>
                <w:bCs/>
                <w:sz w:val="16"/>
                <w:szCs w:val="16"/>
              </w:rPr>
            </w:pPr>
          </w:p>
          <w:p w14:paraId="2397F2FD" w14:textId="77777777" w:rsidR="004C3720" w:rsidRPr="00E00F13" w:rsidRDefault="004C3720" w:rsidP="00B83EBB">
            <w:pPr>
              <w:jc w:val="both"/>
              <w:rPr>
                <w:rFonts w:ascii="Arial" w:hAnsi="Arial" w:cs="Arial"/>
                <w:b/>
                <w:bCs/>
                <w:sz w:val="16"/>
                <w:szCs w:val="16"/>
              </w:rPr>
            </w:pPr>
          </w:p>
        </w:tc>
        <w:tc>
          <w:tcPr>
            <w:tcW w:w="6041" w:type="dxa"/>
          </w:tcPr>
          <w:p w14:paraId="17518930" w14:textId="77777777" w:rsidR="004C3720" w:rsidRPr="00E00F13" w:rsidRDefault="004C3720" w:rsidP="00B83EBB">
            <w:pPr>
              <w:jc w:val="both"/>
              <w:rPr>
                <w:rFonts w:ascii="Arial" w:hAnsi="Arial" w:cs="Arial"/>
                <w:sz w:val="16"/>
                <w:szCs w:val="16"/>
              </w:rPr>
            </w:pPr>
            <w:r w:rsidRPr="00E00F13">
              <w:rPr>
                <w:rFonts w:ascii="Arial" w:hAnsi="Arial" w:cs="Arial"/>
                <w:b/>
                <w:bCs/>
                <w:sz w:val="16"/>
                <w:szCs w:val="16"/>
              </w:rPr>
              <w:t>Artículo 2.3.10.1.1. Objeto</w:t>
            </w:r>
            <w:r w:rsidRPr="00E00F13">
              <w:rPr>
                <w:rFonts w:ascii="Arial" w:hAnsi="Arial" w:cs="Arial"/>
                <w:sz w:val="16"/>
                <w:szCs w:val="16"/>
              </w:rPr>
              <w:t xml:space="preserve">. El presente título establece lineamientos para garantizar el mínimo vital de acueducto y alcantarillado por parte de las entidades territoriales a la población en situación de pobreza o vulnerabilidad (…) Artículo 2.3.10.1.3. Principios de acceso universal: (…) </w:t>
            </w:r>
            <w:r w:rsidRPr="00E00F13">
              <w:rPr>
                <w:rFonts w:ascii="Arial" w:hAnsi="Arial" w:cs="Arial"/>
                <w:b/>
                <w:bCs/>
                <w:sz w:val="16"/>
                <w:szCs w:val="16"/>
              </w:rPr>
              <w:t>Accesibilidad:</w:t>
            </w:r>
            <w:r w:rsidRPr="00E00F13">
              <w:rPr>
                <w:rFonts w:ascii="Arial" w:hAnsi="Arial" w:cs="Arial"/>
                <w:sz w:val="16"/>
                <w:szCs w:val="16"/>
              </w:rPr>
              <w:t xml:space="preserve"> (…) Se prestará especial consideración a las acciones que minimicen los riesgos socioambientales en el territorio y disminuyan los tiempos de desplazamiento, esfuerzos físicos y situaciones de vulnerabilidad que afectan, principalmente, a las mujeres, niñas y niños. </w:t>
            </w:r>
            <w:r w:rsidRPr="00E00F13">
              <w:rPr>
                <w:rFonts w:ascii="Arial" w:hAnsi="Arial" w:cs="Arial"/>
                <w:b/>
                <w:bCs/>
                <w:sz w:val="16"/>
                <w:szCs w:val="16"/>
              </w:rPr>
              <w:t xml:space="preserve">Participación: </w:t>
            </w:r>
            <w:r w:rsidRPr="00E00F13">
              <w:rPr>
                <w:rFonts w:ascii="Arial" w:hAnsi="Arial" w:cs="Arial"/>
                <w:sz w:val="16"/>
                <w:szCs w:val="16"/>
              </w:rPr>
              <w:t>La formulación, implementación y monitoreo de las estrategias encaminadas a garantizar el acceso al agua y saneamiento básico, se basarán en una construcción colectiva con los actores de cada territorio, con especial énfasis en la participación de los gestores comunitarios, poblaciones campesina, indígena, negra, afrocolombiana, raizal y palenquera -NARP, y comunidades organizadas, en general.</w:t>
            </w:r>
          </w:p>
          <w:p w14:paraId="2E08AF89" w14:textId="77777777" w:rsidR="004C3720" w:rsidRPr="00E00F13" w:rsidRDefault="004C3720" w:rsidP="00B83EBB">
            <w:pPr>
              <w:pStyle w:val="p1"/>
              <w:jc w:val="both"/>
              <w:rPr>
                <w:rFonts w:ascii="Arial" w:hAnsi="Arial" w:cs="Arial"/>
                <w:color w:val="auto"/>
                <w:sz w:val="16"/>
                <w:szCs w:val="16"/>
              </w:rPr>
            </w:pPr>
            <w:r w:rsidRPr="00E00F13">
              <w:rPr>
                <w:rFonts w:ascii="Arial" w:hAnsi="Arial" w:cs="Arial"/>
                <w:b/>
                <w:bCs/>
                <w:color w:val="auto"/>
                <w:sz w:val="16"/>
                <w:szCs w:val="16"/>
              </w:rPr>
              <w:t xml:space="preserve">Artículo 2.3.10.1.1.1. Programa de mínimo vital de acueducto y alcantarillado por </w:t>
            </w:r>
            <w:r w:rsidRPr="00E00F13">
              <w:rPr>
                <w:rStyle w:val="s1"/>
                <w:rFonts w:ascii="Arial" w:hAnsi="Arial" w:cs="Arial"/>
                <w:b/>
                <w:bCs/>
                <w:color w:val="auto"/>
                <w:sz w:val="16"/>
                <w:szCs w:val="16"/>
              </w:rPr>
              <w:t xml:space="preserve">los municipios y distritos. </w:t>
            </w:r>
            <w:r w:rsidRPr="00E00F13">
              <w:rPr>
                <w:rStyle w:val="s1"/>
                <w:rFonts w:ascii="Arial" w:hAnsi="Arial" w:cs="Arial"/>
                <w:color w:val="auto"/>
                <w:sz w:val="16"/>
                <w:szCs w:val="16"/>
              </w:rPr>
              <w:t>Los municipios y distritos formularán un programa de mínimo vital de acueducto y</w:t>
            </w:r>
            <w:r w:rsidRPr="00E00F13">
              <w:rPr>
                <w:color w:val="auto"/>
              </w:rPr>
              <w:t xml:space="preserve"> </w:t>
            </w:r>
            <w:r w:rsidRPr="00E00F13">
              <w:rPr>
                <w:rStyle w:val="s1"/>
                <w:rFonts w:ascii="Arial" w:hAnsi="Arial" w:cs="Arial"/>
                <w:color w:val="auto"/>
                <w:sz w:val="16"/>
                <w:szCs w:val="16"/>
              </w:rPr>
              <w:t xml:space="preserve">alcantarillado en su jurisdicción, a través del cual se garantice el volumen mínimo establecido en </w:t>
            </w:r>
            <w:r w:rsidRPr="00E00F13">
              <w:rPr>
                <w:rFonts w:ascii="Arial" w:hAnsi="Arial" w:cs="Arial"/>
                <w:color w:val="auto"/>
                <w:sz w:val="16"/>
                <w:szCs w:val="16"/>
              </w:rPr>
              <w:t xml:space="preserve">el artículo 2.3.10.1.4. del presente decreto, a los suscriptores o usuarios que definan en su focalización, con el fin de asegurar que las personas en condición de pobreza y vulnerabilidad puedan llevar una vida digna. (…) </w:t>
            </w:r>
            <w:r w:rsidRPr="00E00F13">
              <w:rPr>
                <w:rStyle w:val="s1"/>
                <w:rFonts w:ascii="Arial" w:hAnsi="Arial" w:cs="Arial"/>
                <w:b/>
                <w:bCs/>
                <w:color w:val="auto"/>
                <w:sz w:val="16"/>
                <w:szCs w:val="16"/>
              </w:rPr>
              <w:t xml:space="preserve">Parágrafo 2. </w:t>
            </w:r>
            <w:r w:rsidRPr="00E00F13">
              <w:rPr>
                <w:rFonts w:ascii="Arial" w:hAnsi="Arial" w:cs="Arial"/>
                <w:color w:val="auto"/>
                <w:sz w:val="16"/>
                <w:szCs w:val="16"/>
              </w:rPr>
              <w:t xml:space="preserve">En aquellos municipios donde la cobertura de alguno de los servicios de acueducto </w:t>
            </w:r>
            <w:r w:rsidRPr="00E00F13">
              <w:rPr>
                <w:rStyle w:val="s1"/>
                <w:rFonts w:ascii="Arial" w:hAnsi="Arial" w:cs="Arial"/>
                <w:color w:val="auto"/>
                <w:sz w:val="16"/>
                <w:szCs w:val="16"/>
              </w:rPr>
              <w:t>o alcantarillado sea inferior al 50% en la zona urbana y rural, la entidad territorial deberá priorizar</w:t>
            </w:r>
            <w:r w:rsidRPr="00E00F13">
              <w:rPr>
                <w:rFonts w:ascii="Arial" w:hAnsi="Arial" w:cs="Arial"/>
                <w:color w:val="auto"/>
                <w:sz w:val="16"/>
                <w:szCs w:val="16"/>
              </w:rPr>
              <w:t xml:space="preserve"> l</w:t>
            </w:r>
            <w:r w:rsidRPr="00E00F13">
              <w:rPr>
                <w:rStyle w:val="s1"/>
                <w:rFonts w:ascii="Arial" w:hAnsi="Arial" w:cs="Arial"/>
                <w:color w:val="auto"/>
                <w:sz w:val="16"/>
                <w:szCs w:val="16"/>
              </w:rPr>
              <w:t>as inversiones en ampliación de cobertura de estos servicios (…)</w:t>
            </w:r>
            <w:r w:rsidRPr="00E00F13">
              <w:rPr>
                <w:rFonts w:ascii="Arial" w:hAnsi="Arial" w:cs="Arial"/>
                <w:color w:val="auto"/>
                <w:sz w:val="16"/>
                <w:szCs w:val="16"/>
              </w:rPr>
              <w:t>.</w:t>
            </w:r>
          </w:p>
          <w:p w14:paraId="1E42DDFC" w14:textId="77777777" w:rsidR="004C3720" w:rsidRPr="00E00F13" w:rsidRDefault="004C3720" w:rsidP="00B83EBB">
            <w:pPr>
              <w:pStyle w:val="p1"/>
              <w:jc w:val="both"/>
              <w:rPr>
                <w:rFonts w:ascii="Arial" w:hAnsi="Arial" w:cs="Arial"/>
                <w:color w:val="auto"/>
                <w:sz w:val="16"/>
                <w:szCs w:val="16"/>
              </w:rPr>
            </w:pPr>
            <w:r w:rsidRPr="00E00F13">
              <w:rPr>
                <w:rFonts w:ascii="Arial" w:hAnsi="Arial" w:cs="Arial"/>
                <w:b/>
                <w:bCs/>
                <w:color w:val="auto"/>
                <w:sz w:val="16"/>
                <w:szCs w:val="16"/>
              </w:rPr>
              <w:t xml:space="preserve">Artículo 2.3.10.1.1.3. Metodología de focalización. </w:t>
            </w:r>
            <w:r w:rsidRPr="00E00F13">
              <w:rPr>
                <w:rStyle w:val="s1"/>
                <w:rFonts w:ascii="Arial" w:hAnsi="Arial" w:cs="Arial"/>
                <w:color w:val="auto"/>
                <w:sz w:val="16"/>
                <w:szCs w:val="16"/>
              </w:rPr>
              <w:t xml:space="preserve">Los municipios y distritos priorizarán dentro </w:t>
            </w:r>
            <w:r w:rsidRPr="00E00F13">
              <w:rPr>
                <w:rFonts w:ascii="Arial" w:hAnsi="Arial" w:cs="Arial"/>
                <w:color w:val="auto"/>
                <w:sz w:val="16"/>
                <w:szCs w:val="16"/>
              </w:rPr>
              <w:t>del programa de mínimo vital, a las personas en condición de pobreza y vulnerabilidad (…)</w:t>
            </w:r>
          </w:p>
          <w:p w14:paraId="064ABD67" w14:textId="77777777" w:rsidR="004C3720" w:rsidRPr="00E00F13" w:rsidRDefault="004C3720" w:rsidP="00B83EBB">
            <w:pPr>
              <w:pStyle w:val="p1"/>
              <w:jc w:val="both"/>
              <w:rPr>
                <w:rFonts w:ascii="Arial" w:hAnsi="Arial" w:cs="Arial"/>
                <w:color w:val="auto"/>
                <w:sz w:val="16"/>
                <w:szCs w:val="16"/>
              </w:rPr>
            </w:pPr>
            <w:r w:rsidRPr="00E00F13">
              <w:rPr>
                <w:rFonts w:ascii="Arial" w:hAnsi="Arial" w:cs="Arial"/>
                <w:b/>
                <w:bCs/>
                <w:color w:val="auto"/>
                <w:sz w:val="16"/>
                <w:szCs w:val="16"/>
              </w:rPr>
              <w:t>Artículo 2.3.10.1.2.1.</w:t>
            </w:r>
            <w:r w:rsidRPr="00E00F13">
              <w:rPr>
                <w:rStyle w:val="apple-converted-space"/>
                <w:rFonts w:ascii="Arial" w:hAnsi="Arial" w:cs="Arial"/>
                <w:b/>
                <w:bCs/>
                <w:color w:val="auto"/>
                <w:sz w:val="16"/>
                <w:szCs w:val="16"/>
              </w:rPr>
              <w:t> </w:t>
            </w:r>
            <w:r w:rsidRPr="00E00F13">
              <w:rPr>
                <w:rFonts w:ascii="Arial" w:hAnsi="Arial" w:cs="Arial"/>
                <w:color w:val="auto"/>
                <w:sz w:val="16"/>
                <w:szCs w:val="16"/>
              </w:rPr>
              <w:t xml:space="preserve"> (…) prioritariamente, formular y ejecutar proyectos encaminados a ampliar la cobertura de agua apta para consumo humano y doméstico y saneamiento básico en municipios con Programas de Desarrollo con Enfoque Territorial - PDET, Zonas más Afectadas por el Conflicto </w:t>
            </w:r>
            <w:r w:rsidRPr="00E00F13">
              <w:rPr>
                <w:rStyle w:val="s1"/>
                <w:rFonts w:ascii="Arial" w:hAnsi="Arial" w:cs="Arial"/>
                <w:color w:val="auto"/>
                <w:sz w:val="16"/>
                <w:szCs w:val="16"/>
              </w:rPr>
              <w:t>Armado -ZOMAC, población indígena, población Negra, Afrocolombiana, Raizal y Palenquera -</w:t>
            </w:r>
            <w:r w:rsidRPr="00E00F13">
              <w:rPr>
                <w:rFonts w:ascii="Arial" w:hAnsi="Arial" w:cs="Arial"/>
                <w:color w:val="auto"/>
                <w:sz w:val="16"/>
                <w:szCs w:val="16"/>
              </w:rPr>
              <w:t xml:space="preserve"> </w:t>
            </w:r>
            <w:r w:rsidRPr="00E00F13">
              <w:rPr>
                <w:rStyle w:val="s1"/>
                <w:rFonts w:ascii="Arial" w:hAnsi="Arial" w:cs="Arial"/>
                <w:color w:val="auto"/>
                <w:sz w:val="16"/>
                <w:szCs w:val="16"/>
              </w:rPr>
              <w:t xml:space="preserve">NARP y, en general, territorios que requieran atención especial, acorde con sus capacidades y </w:t>
            </w:r>
            <w:r w:rsidRPr="00E00F13">
              <w:rPr>
                <w:rStyle w:val="s2"/>
                <w:rFonts w:ascii="Arial" w:hAnsi="Arial" w:cs="Arial"/>
                <w:color w:val="auto"/>
                <w:sz w:val="16"/>
                <w:szCs w:val="16"/>
              </w:rPr>
              <w:t>necesidades.</w:t>
            </w:r>
          </w:p>
        </w:tc>
      </w:tr>
      <w:tr w:rsidR="004C3720" w:rsidRPr="00E00F13" w14:paraId="29A6B2CF" w14:textId="77777777" w:rsidTr="00B83EBB">
        <w:tc>
          <w:tcPr>
            <w:tcW w:w="1271" w:type="dxa"/>
            <w:shd w:val="clear" w:color="auto" w:fill="D0CECE" w:themeFill="background2" w:themeFillShade="E6"/>
          </w:tcPr>
          <w:p w14:paraId="45234569"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Poblacional</w:t>
            </w:r>
          </w:p>
          <w:p w14:paraId="752AB49E" w14:textId="77777777" w:rsidR="004C3720" w:rsidRPr="00E00F13" w:rsidRDefault="004C3720" w:rsidP="00B83EBB">
            <w:pPr>
              <w:jc w:val="both"/>
              <w:rPr>
                <w:rFonts w:ascii="Arial" w:hAnsi="Arial" w:cs="Arial"/>
                <w:b/>
                <w:bCs/>
                <w:sz w:val="16"/>
                <w:szCs w:val="16"/>
              </w:rPr>
            </w:pPr>
          </w:p>
          <w:p w14:paraId="02600BAF"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Población recicladora de oficio</w:t>
            </w:r>
          </w:p>
        </w:tc>
        <w:tc>
          <w:tcPr>
            <w:tcW w:w="1418" w:type="dxa"/>
            <w:shd w:val="clear" w:color="auto" w:fill="D0CECE" w:themeFill="background2" w:themeFillShade="E6"/>
          </w:tcPr>
          <w:p w14:paraId="39ACFCD6"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Decreto 1381 de 2024</w:t>
            </w:r>
          </w:p>
          <w:p w14:paraId="3C6C636E"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Recicladores de oficio</w:t>
            </w:r>
          </w:p>
        </w:tc>
        <w:tc>
          <w:tcPr>
            <w:tcW w:w="6041" w:type="dxa"/>
          </w:tcPr>
          <w:p w14:paraId="252F3A98" w14:textId="77777777" w:rsidR="004C3720" w:rsidRPr="00E00F13" w:rsidRDefault="004C3720" w:rsidP="00B83EBB">
            <w:pPr>
              <w:jc w:val="both"/>
              <w:rPr>
                <w:rFonts w:ascii="Arial" w:hAnsi="Arial" w:cs="Arial"/>
                <w:sz w:val="16"/>
                <w:szCs w:val="16"/>
              </w:rPr>
            </w:pPr>
            <w:r w:rsidRPr="00E00F13">
              <w:rPr>
                <w:rFonts w:ascii="Arial" w:hAnsi="Arial" w:cs="Arial"/>
                <w:b/>
                <w:bCs/>
                <w:sz w:val="16"/>
                <w:szCs w:val="16"/>
              </w:rPr>
              <w:t>ARTÍCULO 2</w:t>
            </w:r>
            <w:r w:rsidRPr="00E00F13">
              <w:rPr>
                <w:rFonts w:ascii="Arial" w:hAnsi="Arial" w:cs="Arial"/>
                <w:sz w:val="16"/>
                <w:szCs w:val="16"/>
              </w:rPr>
              <w:t>. (…) Regularización en la actividad de aprovechamiento. Es el proceso que asume la organización de recicladores de oficio para cumplir progresivamente con los estándares de la prestación de la actividad de aprovechamiento en el marco del servicio público de aseo.</w:t>
            </w:r>
          </w:p>
          <w:p w14:paraId="1FE7A593" w14:textId="77777777" w:rsidR="004C3720" w:rsidRPr="00E00F13" w:rsidRDefault="004C3720" w:rsidP="00B83EBB">
            <w:pPr>
              <w:jc w:val="both"/>
              <w:rPr>
                <w:rFonts w:ascii="Arial" w:hAnsi="Arial" w:cs="Arial"/>
                <w:sz w:val="16"/>
                <w:szCs w:val="16"/>
              </w:rPr>
            </w:pPr>
            <w:r w:rsidRPr="00E00F13">
              <w:rPr>
                <w:rFonts w:ascii="Arial" w:hAnsi="Arial" w:cs="Arial"/>
                <w:b/>
                <w:bCs/>
                <w:sz w:val="16"/>
                <w:szCs w:val="16"/>
              </w:rPr>
              <w:t>ARTÍCULO 2.3.2.5.1.1. Objeto</w:t>
            </w:r>
            <w:r w:rsidRPr="00E00F13">
              <w:rPr>
                <w:rFonts w:ascii="Arial" w:hAnsi="Arial" w:cs="Arial"/>
                <w:sz w:val="16"/>
                <w:szCs w:val="16"/>
              </w:rPr>
              <w:t>. (…) objeto establecer la exclusividad de la actividad de aprovechamiento para las organizaciones de recicladores oficio, definiendo el esquema operativo de la prestación y el régimen de regularización en el marco del servicio público de aseo.</w:t>
            </w:r>
          </w:p>
          <w:p w14:paraId="14C7AF67" w14:textId="77777777" w:rsidR="004C3720" w:rsidRPr="00E00F13" w:rsidRDefault="004C3720" w:rsidP="00B83EBB">
            <w:pPr>
              <w:jc w:val="both"/>
              <w:rPr>
                <w:rFonts w:ascii="Arial" w:hAnsi="Arial" w:cs="Arial"/>
                <w:sz w:val="16"/>
                <w:szCs w:val="16"/>
              </w:rPr>
            </w:pPr>
            <w:r w:rsidRPr="00E00F13">
              <w:rPr>
                <w:rFonts w:ascii="Arial" w:hAnsi="Arial" w:cs="Arial"/>
                <w:b/>
                <w:bCs/>
                <w:sz w:val="16"/>
                <w:szCs w:val="16"/>
              </w:rPr>
              <w:t>ARTÍCULO 2.3.2.5.1.3. Criterios orientadores</w:t>
            </w:r>
            <w:r w:rsidRPr="00E00F13">
              <w:rPr>
                <w:rFonts w:ascii="Arial" w:hAnsi="Arial" w:cs="Arial"/>
                <w:sz w:val="16"/>
                <w:szCs w:val="16"/>
              </w:rPr>
              <w:t>. Los criterios orientadores que rigen la actividad de aprovechamiento en el marco del servicio público de aseo son:</w:t>
            </w:r>
          </w:p>
          <w:p w14:paraId="4BA0C255" w14:textId="77777777" w:rsidR="004C3720" w:rsidRPr="00E00F13" w:rsidRDefault="004C3720" w:rsidP="00B83EBB">
            <w:pPr>
              <w:jc w:val="both"/>
              <w:rPr>
                <w:rFonts w:ascii="Arial" w:hAnsi="Arial" w:cs="Arial"/>
                <w:sz w:val="16"/>
                <w:szCs w:val="16"/>
              </w:rPr>
            </w:pPr>
            <w:r w:rsidRPr="00E00F13">
              <w:rPr>
                <w:rFonts w:ascii="Arial" w:hAnsi="Arial" w:cs="Arial"/>
                <w:sz w:val="16"/>
                <w:szCs w:val="16"/>
              </w:rPr>
              <w:t>. Reconocimiento de la labor histórica de la población recicladora de oficio.</w:t>
            </w:r>
          </w:p>
          <w:p w14:paraId="714C0E64" w14:textId="77777777" w:rsidR="004C3720" w:rsidRPr="00E00F13" w:rsidRDefault="004C3720" w:rsidP="00B83EBB">
            <w:pPr>
              <w:jc w:val="both"/>
              <w:rPr>
                <w:rFonts w:ascii="Arial" w:hAnsi="Arial" w:cs="Arial"/>
                <w:sz w:val="16"/>
                <w:szCs w:val="16"/>
              </w:rPr>
            </w:pPr>
            <w:r w:rsidRPr="00E00F13">
              <w:rPr>
                <w:rFonts w:ascii="Arial" w:hAnsi="Arial" w:cs="Arial"/>
                <w:sz w:val="16"/>
                <w:szCs w:val="16"/>
              </w:rPr>
              <w:t>. Fortalecimiento y regularización de las organizaciones de recicladores de oficio como prestadores exclusivos de la actividad de aprovechamiento.</w:t>
            </w:r>
          </w:p>
          <w:p w14:paraId="0DD11887" w14:textId="77777777" w:rsidR="004C3720" w:rsidRPr="00E00F13" w:rsidRDefault="004C3720" w:rsidP="00B83EBB">
            <w:pPr>
              <w:jc w:val="both"/>
              <w:rPr>
                <w:rFonts w:ascii="Arial" w:hAnsi="Arial" w:cs="Arial"/>
                <w:sz w:val="16"/>
                <w:szCs w:val="16"/>
              </w:rPr>
            </w:pPr>
            <w:r w:rsidRPr="00E00F13">
              <w:rPr>
                <w:rFonts w:ascii="Arial" w:hAnsi="Arial" w:cs="Arial"/>
                <w:sz w:val="16"/>
                <w:szCs w:val="16"/>
              </w:rPr>
              <w:t>. Adopción de criterios diferenciales para la reglamentación, inspección, vigilancia, control y regulación para las organizaciones de recicladores de oficio. (…)</w:t>
            </w:r>
          </w:p>
        </w:tc>
      </w:tr>
      <w:tr w:rsidR="004C3720" w:rsidRPr="00E00F13" w14:paraId="5E2D5FF1" w14:textId="77777777" w:rsidTr="00B83EBB">
        <w:tc>
          <w:tcPr>
            <w:tcW w:w="1271" w:type="dxa"/>
            <w:shd w:val="clear" w:color="auto" w:fill="D0CECE" w:themeFill="background2" w:themeFillShade="E6"/>
          </w:tcPr>
          <w:p w14:paraId="7B2678C7"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Poblacional</w:t>
            </w:r>
          </w:p>
          <w:p w14:paraId="0DF4525F"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Población recicladora de oficio</w:t>
            </w:r>
          </w:p>
        </w:tc>
        <w:tc>
          <w:tcPr>
            <w:tcW w:w="1418" w:type="dxa"/>
            <w:shd w:val="clear" w:color="auto" w:fill="D0CECE" w:themeFill="background2" w:themeFillShade="E6"/>
          </w:tcPr>
          <w:p w14:paraId="7108C586"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Decreto 670 de 2025</w:t>
            </w:r>
          </w:p>
          <w:p w14:paraId="788E9CAA"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 xml:space="preserve">Programa Basura Cero </w:t>
            </w:r>
          </w:p>
          <w:p w14:paraId="121D10AF" w14:textId="77777777" w:rsidR="004C3720" w:rsidRPr="00E00F13" w:rsidRDefault="004C3720" w:rsidP="00B83EBB">
            <w:pPr>
              <w:jc w:val="both"/>
              <w:rPr>
                <w:rFonts w:ascii="Arial" w:hAnsi="Arial" w:cs="Arial"/>
                <w:b/>
                <w:bCs/>
                <w:sz w:val="16"/>
                <w:szCs w:val="16"/>
              </w:rPr>
            </w:pPr>
          </w:p>
        </w:tc>
        <w:tc>
          <w:tcPr>
            <w:tcW w:w="6041" w:type="dxa"/>
          </w:tcPr>
          <w:p w14:paraId="0015C4D9" w14:textId="77777777" w:rsidR="004C3720" w:rsidRPr="00E00F13" w:rsidRDefault="004C3720" w:rsidP="00B83EBB">
            <w:pPr>
              <w:jc w:val="both"/>
              <w:rPr>
                <w:rFonts w:ascii="Arial" w:hAnsi="Arial" w:cs="Arial"/>
                <w:sz w:val="16"/>
                <w:szCs w:val="16"/>
              </w:rPr>
            </w:pPr>
            <w:r w:rsidRPr="00E00F13">
              <w:rPr>
                <w:rFonts w:ascii="Arial" w:hAnsi="Arial" w:cs="Arial"/>
                <w:b/>
                <w:bCs/>
                <w:sz w:val="16"/>
                <w:szCs w:val="16"/>
              </w:rPr>
              <w:t>ARTÍCULO 2.3.2.8.2.2. Estrategias para la implementación del Programa Basura Cero.</w:t>
            </w:r>
            <w:r w:rsidRPr="00E00F13">
              <w:rPr>
                <w:rFonts w:ascii="Arial" w:hAnsi="Arial" w:cs="Arial"/>
                <w:sz w:val="16"/>
                <w:szCs w:val="16"/>
              </w:rPr>
              <w:t xml:space="preserve"> (…) k) Implementar, por parte del MVCT, las disposiciones relativas al subsidio familiar de vivienda para los recicladores de oficio y establecer disposiciones orientadas al acceso y mejoramiento de vivienda para dicha población.</w:t>
            </w:r>
          </w:p>
        </w:tc>
      </w:tr>
      <w:tr w:rsidR="004C3720" w:rsidRPr="00E00F13" w14:paraId="01817542" w14:textId="77777777" w:rsidTr="00B83EBB">
        <w:tc>
          <w:tcPr>
            <w:tcW w:w="1271" w:type="dxa"/>
            <w:shd w:val="clear" w:color="auto" w:fill="D0CECE" w:themeFill="background2" w:themeFillShade="E6"/>
          </w:tcPr>
          <w:p w14:paraId="0DC699B7"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Poblacional</w:t>
            </w:r>
          </w:p>
          <w:p w14:paraId="1703B795"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Étnico</w:t>
            </w:r>
          </w:p>
          <w:p w14:paraId="04A68827"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 xml:space="preserve">Territorial </w:t>
            </w:r>
          </w:p>
          <w:p w14:paraId="03C1FC6A"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Víctimas</w:t>
            </w:r>
          </w:p>
          <w:p w14:paraId="43FD237B" w14:textId="77777777" w:rsidR="004C3720" w:rsidRPr="00E00F13" w:rsidRDefault="004C3720" w:rsidP="00B83EBB">
            <w:pPr>
              <w:jc w:val="both"/>
              <w:rPr>
                <w:rFonts w:ascii="Arial" w:hAnsi="Arial" w:cs="Arial"/>
                <w:b/>
                <w:bCs/>
                <w:sz w:val="16"/>
                <w:szCs w:val="16"/>
              </w:rPr>
            </w:pPr>
          </w:p>
        </w:tc>
        <w:tc>
          <w:tcPr>
            <w:tcW w:w="1418" w:type="dxa"/>
            <w:shd w:val="clear" w:color="auto" w:fill="D0CECE" w:themeFill="background2" w:themeFillShade="E6"/>
          </w:tcPr>
          <w:p w14:paraId="61470FA1"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Decreto 1341 de 2025</w:t>
            </w:r>
          </w:p>
          <w:p w14:paraId="7E2F8D8B" w14:textId="77777777" w:rsidR="004C3720" w:rsidRPr="00E00F13" w:rsidRDefault="004C3720" w:rsidP="00B83EBB">
            <w:pPr>
              <w:jc w:val="both"/>
              <w:rPr>
                <w:rFonts w:ascii="Arial" w:hAnsi="Arial" w:cs="Arial"/>
                <w:b/>
                <w:bCs/>
                <w:sz w:val="16"/>
                <w:szCs w:val="16"/>
              </w:rPr>
            </w:pPr>
          </w:p>
          <w:p w14:paraId="01560995"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Hábitat y vivienda diferencial</w:t>
            </w:r>
          </w:p>
          <w:p w14:paraId="5CBA44D0" w14:textId="77777777" w:rsidR="004C3720" w:rsidRPr="00E00F13" w:rsidRDefault="004C3720" w:rsidP="00B83EBB">
            <w:pPr>
              <w:jc w:val="both"/>
              <w:rPr>
                <w:rFonts w:ascii="Arial" w:hAnsi="Arial" w:cs="Arial"/>
                <w:b/>
                <w:bCs/>
                <w:sz w:val="16"/>
                <w:szCs w:val="16"/>
              </w:rPr>
            </w:pPr>
          </w:p>
          <w:p w14:paraId="70EEB56E" w14:textId="77777777" w:rsidR="004C3720" w:rsidRPr="00E00F13" w:rsidRDefault="004C3720" w:rsidP="00B83EBB">
            <w:pPr>
              <w:jc w:val="both"/>
              <w:rPr>
                <w:rFonts w:ascii="Arial" w:hAnsi="Arial" w:cs="Arial"/>
                <w:b/>
                <w:bCs/>
                <w:sz w:val="16"/>
                <w:szCs w:val="16"/>
              </w:rPr>
            </w:pPr>
          </w:p>
          <w:p w14:paraId="10B32869" w14:textId="77777777" w:rsidR="004C3720" w:rsidRPr="00E00F13" w:rsidRDefault="004C3720" w:rsidP="00B83EBB">
            <w:pPr>
              <w:jc w:val="both"/>
              <w:rPr>
                <w:rFonts w:ascii="Arial" w:hAnsi="Arial" w:cs="Arial"/>
                <w:b/>
                <w:bCs/>
                <w:sz w:val="16"/>
                <w:szCs w:val="16"/>
              </w:rPr>
            </w:pPr>
          </w:p>
          <w:p w14:paraId="442209C1" w14:textId="77777777" w:rsidR="004C3720" w:rsidRPr="00E00F13" w:rsidRDefault="004C3720" w:rsidP="00B83EBB">
            <w:pPr>
              <w:jc w:val="both"/>
              <w:rPr>
                <w:rFonts w:ascii="Arial" w:hAnsi="Arial" w:cs="Arial"/>
                <w:b/>
                <w:bCs/>
                <w:sz w:val="16"/>
                <w:szCs w:val="16"/>
              </w:rPr>
            </w:pPr>
          </w:p>
        </w:tc>
        <w:tc>
          <w:tcPr>
            <w:tcW w:w="6041" w:type="dxa"/>
          </w:tcPr>
          <w:p w14:paraId="68DD0122"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HÁBITAT Y VIVIENDA DIFERENCIAL. Artículo 2.2.2.4.1 Objeto</w:t>
            </w:r>
            <w:r w:rsidRPr="00E00F13">
              <w:rPr>
                <w:rFonts w:ascii="Arial" w:hAnsi="Arial" w:cs="Arial"/>
                <w:sz w:val="16"/>
                <w:szCs w:val="16"/>
              </w:rPr>
              <w:t>. En el presente capítulo se establecen las normas para orientar las intervenciones del Estado en hábitats y viviendas, a partir de sus características diferenciales y el reconocimiento de los derechos bioculturales, incentivando el uso de materiales y sistemas alternativos de construcción.</w:t>
            </w:r>
            <w:r w:rsidRPr="00E00F13">
              <w:rPr>
                <w:rFonts w:ascii="Arial" w:hAnsi="Arial" w:cs="Arial"/>
                <w:b/>
                <w:bCs/>
                <w:sz w:val="16"/>
                <w:szCs w:val="16"/>
              </w:rPr>
              <w:t xml:space="preserve"> </w:t>
            </w:r>
            <w:r w:rsidRPr="00E00F13">
              <w:rPr>
                <w:rFonts w:ascii="Arial" w:hAnsi="Arial" w:cs="Arial"/>
                <w:sz w:val="16"/>
                <w:szCs w:val="16"/>
              </w:rPr>
              <w:t>Las autoridades correspondientes podrán aplicar las normas contenidas en el presente capítulo para beneficiar, entre otros, a los pueblos indígenas, las</w:t>
            </w:r>
            <w:r w:rsidRPr="00E00F13">
              <w:rPr>
                <w:rFonts w:ascii="Arial" w:hAnsi="Arial" w:cs="Arial"/>
                <w:b/>
                <w:bCs/>
                <w:sz w:val="16"/>
                <w:szCs w:val="16"/>
              </w:rPr>
              <w:t xml:space="preserve"> </w:t>
            </w:r>
            <w:r w:rsidRPr="00E00F13">
              <w:rPr>
                <w:rFonts w:ascii="Arial" w:hAnsi="Arial" w:cs="Arial"/>
                <w:sz w:val="16"/>
                <w:szCs w:val="16"/>
              </w:rPr>
              <w:t xml:space="preserve">comunidades negras, afrocolombianas, raizales, palenqueras, Pueblo </w:t>
            </w:r>
            <w:proofErr w:type="spellStart"/>
            <w:r w:rsidRPr="00E00F13">
              <w:rPr>
                <w:rFonts w:ascii="Arial" w:hAnsi="Arial" w:cs="Arial"/>
                <w:sz w:val="16"/>
                <w:szCs w:val="16"/>
              </w:rPr>
              <w:t>Rrom</w:t>
            </w:r>
            <w:proofErr w:type="spellEnd"/>
            <w:r w:rsidRPr="00E00F13">
              <w:rPr>
                <w:rFonts w:ascii="Arial" w:hAnsi="Arial" w:cs="Arial"/>
                <w:sz w:val="16"/>
                <w:szCs w:val="16"/>
              </w:rPr>
              <w:t xml:space="preserve"> o Gitano, el campesinado colombiano y la población víctima del conflicto armado incluida en el registro único de víctimas localizados en hábitats y viviendas diferenciales.</w:t>
            </w:r>
          </w:p>
        </w:tc>
      </w:tr>
      <w:tr w:rsidR="004C3720" w:rsidRPr="00E00F13" w14:paraId="0F8A4F1E" w14:textId="77777777" w:rsidTr="00B83EBB">
        <w:tc>
          <w:tcPr>
            <w:tcW w:w="1271" w:type="dxa"/>
            <w:shd w:val="clear" w:color="auto" w:fill="D0CECE" w:themeFill="background2" w:themeFillShade="E6"/>
          </w:tcPr>
          <w:p w14:paraId="5E7C1AC6"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Étnico</w:t>
            </w:r>
          </w:p>
        </w:tc>
        <w:tc>
          <w:tcPr>
            <w:tcW w:w="1418" w:type="dxa"/>
            <w:shd w:val="clear" w:color="auto" w:fill="D0CECE" w:themeFill="background2" w:themeFillShade="E6"/>
          </w:tcPr>
          <w:p w14:paraId="5A1C07CE"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Decreto 960 de 2025</w:t>
            </w:r>
          </w:p>
          <w:p w14:paraId="00644208"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 xml:space="preserve">Gestión comunitaria del agua </w:t>
            </w:r>
          </w:p>
        </w:tc>
        <w:tc>
          <w:tcPr>
            <w:tcW w:w="6041" w:type="dxa"/>
          </w:tcPr>
          <w:p w14:paraId="2145D85E" w14:textId="77777777" w:rsidR="004C3720" w:rsidRPr="00E00F13" w:rsidRDefault="004C3720" w:rsidP="00B83EBB">
            <w:pPr>
              <w:jc w:val="both"/>
              <w:rPr>
                <w:rFonts w:ascii="Arial" w:hAnsi="Arial" w:cs="Arial"/>
                <w:sz w:val="16"/>
                <w:szCs w:val="16"/>
              </w:rPr>
            </w:pPr>
            <w:r w:rsidRPr="00E00F13">
              <w:rPr>
                <w:rFonts w:ascii="Arial" w:hAnsi="Arial" w:cs="Arial"/>
                <w:b/>
                <w:bCs/>
                <w:sz w:val="16"/>
                <w:szCs w:val="16"/>
              </w:rPr>
              <w:t xml:space="preserve">Gestor Comunitario del Agua y el Saneamiento Básico (GC). ARTÍCULO 2.3.8.2.1. </w:t>
            </w:r>
            <w:r w:rsidRPr="00E00F13">
              <w:rPr>
                <w:rFonts w:ascii="Arial" w:hAnsi="Arial" w:cs="Arial"/>
                <w:sz w:val="16"/>
                <w:szCs w:val="16"/>
              </w:rPr>
              <w:t xml:space="preserve">Naturaleza, conformación y funcionamiento del GC. El GC al ser comunidad organizada sin ánimo de lucro, puede constituirse bajo las diversas tipologías configuradas en la ley, entre ellas: i) formas propias de la economía solidaria, tales como, cooperativas y asociaciones, siempre y cuando su objeto </w:t>
            </w:r>
            <w:r w:rsidRPr="00E00F13">
              <w:rPr>
                <w:rFonts w:ascii="Arial" w:hAnsi="Arial" w:cs="Arial"/>
                <w:sz w:val="16"/>
                <w:szCs w:val="16"/>
              </w:rPr>
              <w:lastRenderedPageBreak/>
              <w:t xml:space="preserve">prevalente sea la GCASB, </w:t>
            </w:r>
            <w:proofErr w:type="spellStart"/>
            <w:r w:rsidRPr="00E00F13">
              <w:rPr>
                <w:rFonts w:ascii="Arial" w:hAnsi="Arial" w:cs="Arial"/>
                <w:sz w:val="16"/>
                <w:szCs w:val="16"/>
              </w:rPr>
              <w:t>ii</w:t>
            </w:r>
            <w:proofErr w:type="spellEnd"/>
            <w:r w:rsidRPr="00E00F13">
              <w:rPr>
                <w:rFonts w:ascii="Arial" w:hAnsi="Arial" w:cs="Arial"/>
                <w:sz w:val="16"/>
                <w:szCs w:val="16"/>
              </w:rPr>
              <w:t xml:space="preserve">) organismos de acción comunal, </w:t>
            </w:r>
            <w:proofErr w:type="spellStart"/>
            <w:r w:rsidRPr="00E00F13">
              <w:rPr>
                <w:rFonts w:ascii="Arial" w:hAnsi="Arial" w:cs="Arial"/>
                <w:sz w:val="16"/>
                <w:szCs w:val="16"/>
              </w:rPr>
              <w:t>iii</w:t>
            </w:r>
            <w:proofErr w:type="spellEnd"/>
            <w:r w:rsidRPr="00E00F13">
              <w:rPr>
                <w:rFonts w:ascii="Arial" w:hAnsi="Arial" w:cs="Arial"/>
                <w:sz w:val="16"/>
                <w:szCs w:val="16"/>
              </w:rPr>
              <w:t>) los pueblos indígenas y las comunidades negras, afrocolombianas, raizales y palenqueras (NARP) y sus instituciones de gobierno o aquellas que ellos creen para la GCASB.</w:t>
            </w:r>
          </w:p>
        </w:tc>
      </w:tr>
      <w:tr w:rsidR="004C3720" w:rsidRPr="00E00F13" w14:paraId="14BD275A" w14:textId="77777777" w:rsidTr="00B83EBB">
        <w:tc>
          <w:tcPr>
            <w:tcW w:w="1271" w:type="dxa"/>
            <w:shd w:val="clear" w:color="auto" w:fill="D0CECE" w:themeFill="background2" w:themeFillShade="E6"/>
          </w:tcPr>
          <w:p w14:paraId="4809DFE7"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lastRenderedPageBreak/>
              <w:t>Étnico</w:t>
            </w:r>
          </w:p>
          <w:p w14:paraId="3DDF8EFD"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Víctimas del conflicto</w:t>
            </w:r>
          </w:p>
          <w:p w14:paraId="447D533B"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Personas adultas</w:t>
            </w:r>
          </w:p>
          <w:p w14:paraId="16EED7AD"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Mayores</w:t>
            </w:r>
          </w:p>
          <w:p w14:paraId="63D4C822"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Mujeres cabeza de hogar</w:t>
            </w:r>
          </w:p>
          <w:p w14:paraId="750EBAB5"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Trabajadoras sector informal</w:t>
            </w:r>
          </w:p>
          <w:p w14:paraId="511DA358"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Madres comunitarias Madres</w:t>
            </w:r>
          </w:p>
          <w:p w14:paraId="79104EE4"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sustitutas</w:t>
            </w:r>
          </w:p>
        </w:tc>
        <w:tc>
          <w:tcPr>
            <w:tcW w:w="1418" w:type="dxa"/>
            <w:shd w:val="clear" w:color="auto" w:fill="D0CECE" w:themeFill="background2" w:themeFillShade="E6"/>
          </w:tcPr>
          <w:p w14:paraId="01AF7E90"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Resolución 466 de 2026</w:t>
            </w:r>
          </w:p>
          <w:p w14:paraId="449705D9"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Manual operativo de Mejoramiento de Vivienda</w:t>
            </w:r>
          </w:p>
          <w:p w14:paraId="70C81DC3" w14:textId="77777777" w:rsidR="004C3720" w:rsidRPr="00E00F13" w:rsidRDefault="004C3720" w:rsidP="00B83EBB">
            <w:pPr>
              <w:jc w:val="both"/>
              <w:rPr>
                <w:rFonts w:ascii="Arial" w:hAnsi="Arial" w:cs="Arial"/>
                <w:b/>
                <w:bCs/>
                <w:sz w:val="16"/>
                <w:szCs w:val="16"/>
              </w:rPr>
            </w:pPr>
          </w:p>
          <w:p w14:paraId="482AC111" w14:textId="77777777" w:rsidR="004C3720" w:rsidRPr="00E00F13" w:rsidRDefault="004C3720" w:rsidP="00B83EBB">
            <w:pPr>
              <w:jc w:val="both"/>
              <w:rPr>
                <w:rFonts w:ascii="Arial" w:hAnsi="Arial" w:cs="Arial"/>
                <w:b/>
                <w:bCs/>
                <w:sz w:val="16"/>
                <w:szCs w:val="16"/>
              </w:rPr>
            </w:pPr>
            <w:r w:rsidRPr="00E00F13">
              <w:rPr>
                <w:rFonts w:ascii="Arial" w:hAnsi="Arial" w:cs="Arial"/>
                <w:b/>
                <w:bCs/>
                <w:sz w:val="16"/>
                <w:szCs w:val="16"/>
              </w:rPr>
              <w:t>Es el manual operativo del Decreto 413 de 2025</w:t>
            </w:r>
          </w:p>
        </w:tc>
        <w:tc>
          <w:tcPr>
            <w:tcW w:w="6041" w:type="dxa"/>
          </w:tcPr>
          <w:p w14:paraId="2B3D935A" w14:textId="77777777" w:rsidR="004C3720" w:rsidRPr="00E00F13" w:rsidRDefault="004C3720" w:rsidP="00B83EBB">
            <w:pPr>
              <w:jc w:val="both"/>
              <w:rPr>
                <w:rFonts w:ascii="Arial" w:hAnsi="Arial" w:cs="Arial"/>
                <w:sz w:val="16"/>
                <w:szCs w:val="16"/>
              </w:rPr>
            </w:pPr>
            <w:r w:rsidRPr="00E00F13">
              <w:rPr>
                <w:rFonts w:ascii="Arial" w:hAnsi="Arial" w:cs="Arial"/>
                <w:sz w:val="16"/>
                <w:szCs w:val="16"/>
              </w:rPr>
              <w:t>De conformidad con lo establecido en el Decreto 0413 de 2025, el Programa de</w:t>
            </w:r>
          </w:p>
          <w:p w14:paraId="744AA5EE" w14:textId="77777777" w:rsidR="004C3720" w:rsidRPr="00E00F13" w:rsidRDefault="004C3720" w:rsidP="00B83EBB">
            <w:pPr>
              <w:jc w:val="both"/>
              <w:rPr>
                <w:rFonts w:ascii="Arial" w:hAnsi="Arial" w:cs="Arial"/>
                <w:sz w:val="16"/>
                <w:szCs w:val="16"/>
              </w:rPr>
            </w:pPr>
            <w:r w:rsidRPr="00E00F13">
              <w:rPr>
                <w:rFonts w:ascii="Arial" w:hAnsi="Arial" w:cs="Arial"/>
                <w:sz w:val="16"/>
                <w:szCs w:val="16"/>
              </w:rPr>
              <w:t xml:space="preserve">Mejoramiento de Vivienda deberá </w:t>
            </w:r>
            <w:r w:rsidRPr="00E00F13">
              <w:rPr>
                <w:rFonts w:ascii="Arial" w:hAnsi="Arial" w:cs="Arial"/>
                <w:b/>
                <w:bCs/>
                <w:sz w:val="16"/>
                <w:szCs w:val="16"/>
              </w:rPr>
              <w:t>priorizar criterio poblacional</w:t>
            </w:r>
            <w:r w:rsidRPr="00E00F13">
              <w:rPr>
                <w:rFonts w:ascii="Arial" w:hAnsi="Arial" w:cs="Arial"/>
                <w:sz w:val="16"/>
                <w:szCs w:val="16"/>
              </w:rPr>
              <w:t xml:space="preserve"> que garanticen la atención de los hogares con mayores condiciones de vulnerabilidad, bajo un enfoque diferencial, de género y de garantía de derechos. Se priorizará a las personas adultas mayores, mujeres cabeza de hogar pertenecientes a los estratos socioeconómicos más bajos, trabajadoras del sector informal, así como a madres comunitarias y madres sustitutas. Esta priorización reconoce las prácticas culturales de los hogares y las condiciones estructurales que afectan de manera desproporcionada a ciertos grupos poblacionales, especialmente en lo relacionado con el trabajo doméstico y de cuidado no remunerado.</w:t>
            </w:r>
          </w:p>
          <w:p w14:paraId="6ECC8B2D" w14:textId="77777777" w:rsidR="004C3720" w:rsidRPr="00E00F13" w:rsidRDefault="004C3720" w:rsidP="00B83EBB">
            <w:pPr>
              <w:jc w:val="both"/>
              <w:rPr>
                <w:rFonts w:ascii="Arial" w:hAnsi="Arial" w:cs="Arial"/>
                <w:sz w:val="16"/>
                <w:szCs w:val="16"/>
              </w:rPr>
            </w:pPr>
            <w:r w:rsidRPr="00E00F13">
              <w:rPr>
                <w:rFonts w:ascii="Arial" w:hAnsi="Arial" w:cs="Arial"/>
                <w:sz w:val="16"/>
                <w:szCs w:val="16"/>
              </w:rPr>
              <w:t>Los enfoques ambientales, territorial, y diferencial y de género, deben estar presentes no solo en los lineamientos estratégicos del programa, sino también en la práctica concreta durante la implementación de las obras.</w:t>
            </w:r>
          </w:p>
          <w:p w14:paraId="380436F5" w14:textId="77777777" w:rsidR="004C3720" w:rsidRPr="00E00F13" w:rsidRDefault="004C3720" w:rsidP="00B83EBB">
            <w:pPr>
              <w:jc w:val="both"/>
              <w:rPr>
                <w:rFonts w:ascii="Arial" w:hAnsi="Arial" w:cs="Arial"/>
                <w:b/>
                <w:bCs/>
                <w:sz w:val="16"/>
                <w:szCs w:val="16"/>
              </w:rPr>
            </w:pPr>
          </w:p>
        </w:tc>
      </w:tr>
    </w:tbl>
    <w:p w14:paraId="379B7313" w14:textId="253C6AC6" w:rsidR="004C3720" w:rsidRPr="00E00F13" w:rsidRDefault="00902401" w:rsidP="004C3720">
      <w:pPr>
        <w:spacing w:line="240" w:lineRule="auto"/>
        <w:jc w:val="both"/>
        <w:rPr>
          <w:rFonts w:ascii="Arial" w:hAnsi="Arial" w:cs="Arial"/>
          <w:sz w:val="24"/>
          <w:szCs w:val="24"/>
        </w:rPr>
      </w:pPr>
      <w:r w:rsidRPr="00E00F13">
        <w:rPr>
          <w:rFonts w:ascii="Arial" w:hAnsi="Arial" w:cs="Arial"/>
          <w:sz w:val="24"/>
          <w:szCs w:val="24"/>
        </w:rPr>
        <w:t>Fuente: MVCT, 2026.</w:t>
      </w:r>
    </w:p>
    <w:p w14:paraId="619A6F66" w14:textId="77777777" w:rsidR="004C3720" w:rsidRPr="00E00F13" w:rsidRDefault="004C3720" w:rsidP="004C3720">
      <w:pPr>
        <w:spacing w:line="240" w:lineRule="auto"/>
        <w:jc w:val="both"/>
        <w:rPr>
          <w:rFonts w:ascii="Arial" w:hAnsi="Arial" w:cs="Arial"/>
          <w:sz w:val="20"/>
          <w:szCs w:val="20"/>
        </w:rPr>
      </w:pPr>
    </w:p>
    <w:p w14:paraId="560389C0" w14:textId="77777777" w:rsidR="00397A3D" w:rsidRPr="00E00F13" w:rsidRDefault="00397A3D" w:rsidP="00397A3D">
      <w:pPr>
        <w:spacing w:after="0" w:line="360" w:lineRule="auto"/>
        <w:jc w:val="both"/>
        <w:rPr>
          <w:rFonts w:ascii="Arial" w:hAnsi="Arial" w:cs="Arial"/>
          <w:b/>
          <w:bCs/>
          <w:i/>
          <w:iCs/>
          <w:sz w:val="24"/>
          <w:szCs w:val="24"/>
        </w:rPr>
      </w:pPr>
    </w:p>
    <w:p w14:paraId="6C58976E" w14:textId="7681ABE0" w:rsidR="00BF6D17" w:rsidRPr="00E00F13" w:rsidRDefault="00397A3D" w:rsidP="00397A3D">
      <w:pPr>
        <w:pStyle w:val="Ttulo3"/>
        <w:rPr>
          <w:color w:val="auto"/>
        </w:rPr>
      </w:pPr>
      <w:bookmarkStart w:id="125" w:name="_Toc234242848"/>
      <w:r w:rsidRPr="00E00F13">
        <w:rPr>
          <w:color w:val="auto"/>
        </w:rPr>
        <w:t>2.</w:t>
      </w:r>
      <w:r w:rsidR="003A01CD" w:rsidRPr="00E00F13">
        <w:rPr>
          <w:color w:val="auto"/>
        </w:rPr>
        <w:t>8</w:t>
      </w:r>
      <w:r w:rsidRPr="00E00F13">
        <w:rPr>
          <w:color w:val="auto"/>
        </w:rPr>
        <w:t>.</w:t>
      </w:r>
      <w:r w:rsidR="00902401" w:rsidRPr="00E00F13">
        <w:rPr>
          <w:color w:val="auto"/>
        </w:rPr>
        <w:t>4</w:t>
      </w:r>
      <w:r w:rsidRPr="00E00F13">
        <w:rPr>
          <w:color w:val="auto"/>
        </w:rPr>
        <w:t xml:space="preserve">. </w:t>
      </w:r>
      <w:r w:rsidR="00F5469C" w:rsidRPr="00E00F13">
        <w:rPr>
          <w:color w:val="auto"/>
        </w:rPr>
        <w:t>Retos</w:t>
      </w:r>
      <w:bookmarkEnd w:id="125"/>
    </w:p>
    <w:p w14:paraId="1DB656A4" w14:textId="77777777" w:rsidR="00BF6D17" w:rsidRPr="00E00F13" w:rsidRDefault="00BF6D17" w:rsidP="00BF6D17">
      <w:pPr>
        <w:spacing w:after="0" w:line="360" w:lineRule="auto"/>
        <w:jc w:val="both"/>
        <w:rPr>
          <w:rFonts w:ascii="Arial" w:hAnsi="Arial" w:cs="Arial"/>
          <w:b/>
          <w:bCs/>
          <w:sz w:val="24"/>
          <w:szCs w:val="24"/>
        </w:rPr>
      </w:pPr>
      <w:r w:rsidRPr="00E00F13">
        <w:rPr>
          <w:rFonts w:ascii="Arial" w:hAnsi="Arial" w:cs="Arial"/>
          <w:b/>
          <w:bCs/>
          <w:sz w:val="24"/>
          <w:szCs w:val="24"/>
        </w:rPr>
        <w:t>Una ruta institucional unificada</w:t>
      </w:r>
    </w:p>
    <w:p w14:paraId="772698D5" w14:textId="451158ED" w:rsidR="00BF6D17" w:rsidRPr="00E00F13" w:rsidRDefault="00BF6D17" w:rsidP="00BF6D17">
      <w:pPr>
        <w:spacing w:after="0" w:line="360" w:lineRule="auto"/>
        <w:jc w:val="both"/>
        <w:rPr>
          <w:rFonts w:ascii="Arial" w:hAnsi="Arial" w:cs="Arial"/>
          <w:sz w:val="24"/>
          <w:szCs w:val="24"/>
        </w:rPr>
      </w:pPr>
      <w:r w:rsidRPr="00E00F13">
        <w:rPr>
          <w:rFonts w:ascii="Arial" w:hAnsi="Arial" w:cs="Arial"/>
          <w:sz w:val="24"/>
          <w:szCs w:val="24"/>
        </w:rPr>
        <w:t xml:space="preserve">A pesar del esfuerzo puesto en estos últimos tres años en la conceptuación del enfoque diferencial y en ofrecer herramientas de capacitación que permitan darlo a conocer tanto en la entidad como en el territorio, el MVCT tiene el desafío de su total implementación. </w:t>
      </w:r>
      <w:r w:rsidR="00121A59" w:rsidRPr="00E00F13">
        <w:rPr>
          <w:rFonts w:ascii="Arial" w:hAnsi="Arial" w:cs="Arial"/>
          <w:sz w:val="24"/>
          <w:szCs w:val="24"/>
        </w:rPr>
        <w:t>Para ello se requiere el diseño de un modelo de enfoque diferencial del Ministerio en su conjunto. Por el momento no existe un modelo propio y articulado internamente; en cambio, las distintas áreas</w:t>
      </w:r>
      <w:r w:rsidRPr="00E00F13">
        <w:rPr>
          <w:rFonts w:ascii="Arial" w:hAnsi="Arial" w:cs="Arial"/>
          <w:sz w:val="24"/>
          <w:szCs w:val="24"/>
        </w:rPr>
        <w:t xml:space="preserve"> está</w:t>
      </w:r>
      <w:r w:rsidR="00121A59" w:rsidRPr="00E00F13">
        <w:rPr>
          <w:rFonts w:ascii="Arial" w:hAnsi="Arial" w:cs="Arial"/>
          <w:sz w:val="24"/>
          <w:szCs w:val="24"/>
        </w:rPr>
        <w:t>n</w:t>
      </w:r>
      <w:r w:rsidRPr="00E00F13">
        <w:rPr>
          <w:rFonts w:ascii="Arial" w:hAnsi="Arial" w:cs="Arial"/>
          <w:sz w:val="24"/>
          <w:szCs w:val="24"/>
        </w:rPr>
        <w:t xml:space="preserve"> trabajando </w:t>
      </w:r>
      <w:r w:rsidR="00121A59" w:rsidRPr="00E00F13">
        <w:rPr>
          <w:rFonts w:ascii="Arial" w:hAnsi="Arial" w:cs="Arial"/>
          <w:sz w:val="24"/>
          <w:szCs w:val="24"/>
        </w:rPr>
        <w:t>con una ruta</w:t>
      </w:r>
      <w:r w:rsidRPr="00E00F13">
        <w:rPr>
          <w:rFonts w:ascii="Arial" w:hAnsi="Arial" w:cs="Arial"/>
          <w:sz w:val="24"/>
          <w:szCs w:val="24"/>
        </w:rPr>
        <w:t xml:space="preserve"> </w:t>
      </w:r>
      <w:r w:rsidR="00121A59" w:rsidRPr="00E00F13">
        <w:rPr>
          <w:rFonts w:ascii="Arial" w:hAnsi="Arial" w:cs="Arial"/>
          <w:sz w:val="24"/>
          <w:szCs w:val="24"/>
        </w:rPr>
        <w:t xml:space="preserve">propia y una metodología particular, ofreciendo respuestas de manera </w:t>
      </w:r>
      <w:r w:rsidRPr="00E00F13">
        <w:rPr>
          <w:rFonts w:ascii="Arial" w:hAnsi="Arial" w:cs="Arial"/>
          <w:sz w:val="24"/>
          <w:szCs w:val="24"/>
        </w:rPr>
        <w:t>aislada</w:t>
      </w:r>
      <w:r w:rsidR="00121A59" w:rsidRPr="00E00F13">
        <w:rPr>
          <w:rFonts w:ascii="Arial" w:hAnsi="Arial" w:cs="Arial"/>
          <w:sz w:val="24"/>
          <w:szCs w:val="24"/>
        </w:rPr>
        <w:t>.</w:t>
      </w:r>
    </w:p>
    <w:p w14:paraId="1EC2199E" w14:textId="77777777" w:rsidR="00BF6D17" w:rsidRPr="00E00F13" w:rsidRDefault="00BF6D17" w:rsidP="00BF6D17">
      <w:pPr>
        <w:spacing w:after="0" w:line="360" w:lineRule="auto"/>
        <w:jc w:val="both"/>
        <w:rPr>
          <w:rFonts w:ascii="Arial" w:hAnsi="Arial" w:cs="Arial"/>
          <w:sz w:val="24"/>
          <w:szCs w:val="24"/>
        </w:rPr>
      </w:pPr>
    </w:p>
    <w:p w14:paraId="175D8E27" w14:textId="39F12431" w:rsidR="00BF6D17" w:rsidRPr="00E00F13" w:rsidRDefault="00BF6D17" w:rsidP="00BF6D17">
      <w:pPr>
        <w:spacing w:after="0" w:line="360" w:lineRule="auto"/>
        <w:jc w:val="both"/>
        <w:rPr>
          <w:rFonts w:ascii="Arial" w:hAnsi="Arial" w:cs="Arial"/>
          <w:sz w:val="24"/>
          <w:szCs w:val="24"/>
        </w:rPr>
      </w:pPr>
      <w:r w:rsidRPr="00E00F13">
        <w:rPr>
          <w:rFonts w:ascii="Arial" w:hAnsi="Arial" w:cs="Arial"/>
          <w:sz w:val="24"/>
          <w:szCs w:val="24"/>
        </w:rPr>
        <w:t>Dado que el Ministerio aún no ha emitido lineamientos consolidados</w:t>
      </w:r>
      <w:r w:rsidR="00121A59" w:rsidRPr="00E00F13">
        <w:rPr>
          <w:rFonts w:ascii="Arial" w:hAnsi="Arial" w:cs="Arial"/>
          <w:sz w:val="24"/>
          <w:szCs w:val="24"/>
        </w:rPr>
        <w:t>,</w:t>
      </w:r>
      <w:r w:rsidRPr="00E00F13">
        <w:rPr>
          <w:rFonts w:ascii="Arial" w:hAnsi="Arial" w:cs="Arial"/>
          <w:sz w:val="24"/>
          <w:szCs w:val="24"/>
        </w:rPr>
        <w:t xml:space="preserve"> se genera lo que podría llamarse un «vacío de rectoría» sobre cómo construir rutas de enfoque diferencial.</w:t>
      </w:r>
      <w:r w:rsidR="00902401" w:rsidRPr="00E00F13">
        <w:rPr>
          <w:rFonts w:ascii="Arial" w:hAnsi="Arial" w:cs="Arial"/>
          <w:sz w:val="24"/>
          <w:szCs w:val="24"/>
        </w:rPr>
        <w:t xml:space="preserve"> </w:t>
      </w:r>
    </w:p>
    <w:p w14:paraId="507CCF57" w14:textId="114829FD" w:rsidR="00902401" w:rsidRPr="00E00F13" w:rsidRDefault="00902401" w:rsidP="00BF6D17">
      <w:pPr>
        <w:spacing w:after="0" w:line="360" w:lineRule="auto"/>
        <w:jc w:val="both"/>
        <w:rPr>
          <w:rFonts w:ascii="Arial" w:hAnsi="Arial" w:cs="Arial"/>
          <w:sz w:val="24"/>
          <w:szCs w:val="24"/>
        </w:rPr>
      </w:pPr>
    </w:p>
    <w:p w14:paraId="6D1074C6" w14:textId="402D6BC3" w:rsidR="00902401" w:rsidRPr="00E00F13" w:rsidRDefault="00902401" w:rsidP="00BF6D17">
      <w:pPr>
        <w:spacing w:after="0" w:line="360" w:lineRule="auto"/>
        <w:jc w:val="both"/>
      </w:pPr>
      <w:r w:rsidRPr="00E00F13">
        <w:rPr>
          <w:rFonts w:ascii="Arial" w:hAnsi="Arial" w:cs="Arial"/>
          <w:sz w:val="24"/>
          <w:szCs w:val="24"/>
        </w:rPr>
        <w:t>Por otro lado, un reto para la implementación de este enfoque es la desagregación de los datos en los programas de la oferta institucional. Por lo que quedan pendientes el avance en instrumentos que permitan contener los datos requeridos para focalizar la política, la georreferenciación territorial y el diseño de un modelo institucional de transversalización del enfoque a todas las áreas del ministerio.</w:t>
      </w:r>
      <w:r w:rsidRPr="00E00F13">
        <w:t xml:space="preserve"> </w:t>
      </w:r>
    </w:p>
    <w:p w14:paraId="7B233A24" w14:textId="77777777" w:rsidR="00BF6D17" w:rsidRPr="00E00F13" w:rsidRDefault="00BF6D17" w:rsidP="00BF6D17">
      <w:pPr>
        <w:spacing w:after="0" w:line="360" w:lineRule="auto"/>
        <w:jc w:val="both"/>
        <w:rPr>
          <w:rFonts w:ascii="Arial" w:hAnsi="Arial" w:cs="Arial"/>
          <w:sz w:val="24"/>
          <w:szCs w:val="24"/>
        </w:rPr>
      </w:pPr>
    </w:p>
    <w:p w14:paraId="117A7E54" w14:textId="77777777" w:rsidR="00BF6D17" w:rsidRPr="00E00F13" w:rsidRDefault="00BF6D17" w:rsidP="00BF6D17">
      <w:pPr>
        <w:spacing w:after="0" w:line="360" w:lineRule="auto"/>
        <w:jc w:val="both"/>
        <w:rPr>
          <w:rFonts w:ascii="Arial" w:hAnsi="Arial" w:cs="Arial"/>
          <w:b/>
          <w:bCs/>
          <w:sz w:val="24"/>
          <w:szCs w:val="24"/>
        </w:rPr>
      </w:pPr>
      <w:r w:rsidRPr="00E00F13">
        <w:rPr>
          <w:rFonts w:ascii="Arial" w:hAnsi="Arial" w:cs="Arial"/>
          <w:b/>
          <w:bCs/>
          <w:sz w:val="24"/>
          <w:szCs w:val="24"/>
        </w:rPr>
        <w:lastRenderedPageBreak/>
        <w:t>Datos no desagregados</w:t>
      </w:r>
    </w:p>
    <w:p w14:paraId="234D0AC0" w14:textId="77777777" w:rsidR="00BF6D17" w:rsidRPr="00E00F13" w:rsidRDefault="00BF6D17" w:rsidP="00BF6D17">
      <w:pPr>
        <w:spacing w:after="0" w:line="360" w:lineRule="auto"/>
        <w:jc w:val="both"/>
      </w:pPr>
      <w:r w:rsidRPr="00E00F13">
        <w:rPr>
          <w:rFonts w:ascii="Arial" w:hAnsi="Arial" w:cs="Arial"/>
          <w:sz w:val="24"/>
          <w:szCs w:val="24"/>
        </w:rPr>
        <w:t>Lo anterior dificulta contar con la desagregación real de beneficiarios. Por ejemplo:</w:t>
      </w:r>
    </w:p>
    <w:p w14:paraId="5DA21DFF" w14:textId="01732351" w:rsidR="00BF6D17" w:rsidRPr="00E00F13" w:rsidRDefault="00BF6D17" w:rsidP="005E33C6">
      <w:pPr>
        <w:numPr>
          <w:ilvl w:val="0"/>
          <w:numId w:val="15"/>
        </w:numPr>
        <w:spacing w:after="0" w:line="360" w:lineRule="auto"/>
        <w:jc w:val="both"/>
        <w:rPr>
          <w:rFonts w:ascii="Arial" w:hAnsi="Arial" w:cs="Arial"/>
          <w:sz w:val="24"/>
          <w:szCs w:val="24"/>
        </w:rPr>
      </w:pPr>
      <w:r w:rsidRPr="00E00F13">
        <w:rPr>
          <w:rFonts w:ascii="Arial" w:hAnsi="Arial" w:cs="Arial"/>
          <w:sz w:val="24"/>
          <w:szCs w:val="24"/>
        </w:rPr>
        <w:t>Hay una georreferenciación insuficiente</w:t>
      </w:r>
      <w:r w:rsidR="00121A59" w:rsidRPr="00E00F13">
        <w:rPr>
          <w:rFonts w:ascii="Arial" w:hAnsi="Arial" w:cs="Arial"/>
          <w:sz w:val="24"/>
          <w:szCs w:val="24"/>
        </w:rPr>
        <w:t>:</w:t>
      </w:r>
      <w:r w:rsidRPr="00E00F13">
        <w:rPr>
          <w:rFonts w:ascii="Arial" w:hAnsi="Arial" w:cs="Arial"/>
          <w:sz w:val="24"/>
          <w:szCs w:val="24"/>
        </w:rPr>
        <w:t xml:space="preserve"> la información </w:t>
      </w:r>
      <w:r w:rsidR="00121A59" w:rsidRPr="00E00F13">
        <w:rPr>
          <w:rFonts w:ascii="Arial" w:hAnsi="Arial" w:cs="Arial"/>
          <w:sz w:val="24"/>
          <w:szCs w:val="24"/>
        </w:rPr>
        <w:t>s</w:t>
      </w:r>
      <w:r w:rsidRPr="00E00F13">
        <w:rPr>
          <w:rFonts w:ascii="Arial" w:hAnsi="Arial" w:cs="Arial"/>
          <w:sz w:val="24"/>
          <w:szCs w:val="24"/>
        </w:rPr>
        <w:t>e queda en cabeceras y no fluye hacia otros espacios territoriales.</w:t>
      </w:r>
    </w:p>
    <w:p w14:paraId="2F65ACF5" w14:textId="5445DDFD" w:rsidR="00BF6D17" w:rsidRPr="00E00F13" w:rsidRDefault="00BF6D17" w:rsidP="005E33C6">
      <w:pPr>
        <w:numPr>
          <w:ilvl w:val="0"/>
          <w:numId w:val="15"/>
        </w:numPr>
        <w:spacing w:after="0" w:line="360" w:lineRule="auto"/>
        <w:jc w:val="both"/>
        <w:rPr>
          <w:rFonts w:ascii="Arial" w:hAnsi="Arial" w:cs="Arial"/>
          <w:sz w:val="24"/>
          <w:szCs w:val="24"/>
        </w:rPr>
      </w:pPr>
      <w:r w:rsidRPr="00E00F13">
        <w:rPr>
          <w:rFonts w:ascii="Arial" w:hAnsi="Arial" w:cs="Arial"/>
          <w:sz w:val="24"/>
          <w:szCs w:val="24"/>
        </w:rPr>
        <w:t xml:space="preserve">No </w:t>
      </w:r>
      <w:r w:rsidR="00121A59" w:rsidRPr="00E00F13">
        <w:rPr>
          <w:rFonts w:ascii="Arial" w:hAnsi="Arial" w:cs="Arial"/>
          <w:sz w:val="24"/>
          <w:szCs w:val="24"/>
        </w:rPr>
        <w:t xml:space="preserve">siempre </w:t>
      </w:r>
      <w:r w:rsidRPr="00E00F13">
        <w:rPr>
          <w:rFonts w:ascii="Arial" w:hAnsi="Arial" w:cs="Arial"/>
          <w:sz w:val="24"/>
          <w:szCs w:val="24"/>
        </w:rPr>
        <w:t>se identifica el nivel comunitario</w:t>
      </w:r>
      <w:r w:rsidR="00121A59" w:rsidRPr="00E00F13">
        <w:rPr>
          <w:rFonts w:ascii="Arial" w:hAnsi="Arial" w:cs="Arial"/>
          <w:sz w:val="24"/>
          <w:szCs w:val="24"/>
        </w:rPr>
        <w:t>: q</w:t>
      </w:r>
      <w:r w:rsidRPr="00E00F13">
        <w:rPr>
          <w:rFonts w:ascii="Arial" w:hAnsi="Arial" w:cs="Arial"/>
          <w:sz w:val="24"/>
          <w:szCs w:val="24"/>
        </w:rPr>
        <w:t>ueda por fuera información sobre los resguardos, las veredas y las comunidades.</w:t>
      </w:r>
    </w:p>
    <w:p w14:paraId="6AA90D5D" w14:textId="77777777" w:rsidR="00BF6D17" w:rsidRPr="00E00F13" w:rsidRDefault="00BF6D17" w:rsidP="005E33C6">
      <w:pPr>
        <w:numPr>
          <w:ilvl w:val="0"/>
          <w:numId w:val="15"/>
        </w:numPr>
        <w:spacing w:after="0" w:line="360" w:lineRule="auto"/>
        <w:jc w:val="both"/>
        <w:rPr>
          <w:rFonts w:ascii="Arial" w:hAnsi="Arial" w:cs="Arial"/>
          <w:sz w:val="24"/>
          <w:szCs w:val="24"/>
        </w:rPr>
      </w:pPr>
      <w:r w:rsidRPr="00E00F13">
        <w:rPr>
          <w:rFonts w:ascii="Arial" w:hAnsi="Arial" w:cs="Arial"/>
          <w:sz w:val="24"/>
          <w:szCs w:val="24"/>
        </w:rPr>
        <w:t>Los formularios de postulación y plataformas tienen vacíos.</w:t>
      </w:r>
    </w:p>
    <w:p w14:paraId="7272AB3C" w14:textId="77777777" w:rsidR="00BF6D17" w:rsidRPr="00E00F13" w:rsidRDefault="00BF6D17" w:rsidP="00BF6D17">
      <w:pPr>
        <w:spacing w:after="0" w:line="360" w:lineRule="auto"/>
        <w:jc w:val="both"/>
        <w:rPr>
          <w:rFonts w:ascii="Arial" w:hAnsi="Arial" w:cs="Arial"/>
          <w:sz w:val="24"/>
          <w:szCs w:val="24"/>
        </w:rPr>
      </w:pPr>
    </w:p>
    <w:p w14:paraId="341FFFB4" w14:textId="77777777" w:rsidR="00BF6D17" w:rsidRPr="00E00F13" w:rsidRDefault="00BF6D17" w:rsidP="00BF6D17">
      <w:pPr>
        <w:spacing w:after="0" w:line="360" w:lineRule="auto"/>
        <w:jc w:val="both"/>
        <w:rPr>
          <w:rFonts w:ascii="Arial" w:hAnsi="Arial" w:cs="Arial"/>
          <w:sz w:val="24"/>
          <w:szCs w:val="24"/>
        </w:rPr>
      </w:pPr>
      <w:r w:rsidRPr="00E00F13">
        <w:rPr>
          <w:rFonts w:ascii="Arial" w:hAnsi="Arial" w:cs="Arial"/>
          <w:sz w:val="24"/>
          <w:szCs w:val="24"/>
        </w:rPr>
        <w:t>La desagregación de la información debe contener, entre otros, edad, etnia, sexo, identidad de género, condición de discapacidad, ubicación territorial, si es víctima, tipo de hogar, etc.</w:t>
      </w:r>
    </w:p>
    <w:p w14:paraId="4AA16D3D" w14:textId="77777777" w:rsidR="00BF6D17" w:rsidRPr="00E00F13" w:rsidRDefault="00BF6D17" w:rsidP="00BF6D17">
      <w:pPr>
        <w:spacing w:after="0" w:line="360" w:lineRule="auto"/>
        <w:jc w:val="both"/>
        <w:rPr>
          <w:rFonts w:ascii="Arial" w:hAnsi="Arial" w:cs="Arial"/>
          <w:sz w:val="24"/>
          <w:szCs w:val="24"/>
        </w:rPr>
      </w:pPr>
    </w:p>
    <w:p w14:paraId="2DE896A0" w14:textId="14F56709" w:rsidR="00BF6D17" w:rsidRPr="00E00F13" w:rsidRDefault="00121A59" w:rsidP="00BF6D17">
      <w:pPr>
        <w:spacing w:after="0" w:line="360" w:lineRule="auto"/>
        <w:jc w:val="both"/>
        <w:rPr>
          <w:rFonts w:ascii="Arial" w:hAnsi="Arial" w:cs="Arial"/>
          <w:sz w:val="24"/>
          <w:szCs w:val="24"/>
        </w:rPr>
      </w:pPr>
      <w:r w:rsidRPr="00E00F13">
        <w:rPr>
          <w:rFonts w:ascii="Arial" w:hAnsi="Arial" w:cs="Arial"/>
          <w:sz w:val="24"/>
          <w:szCs w:val="24"/>
        </w:rPr>
        <w:t xml:space="preserve">En este contento de información no desagregada, se opta por dos posibles rutas para obtenerla. Una </w:t>
      </w:r>
      <w:r w:rsidR="00BF6D17" w:rsidRPr="00E00F13">
        <w:rPr>
          <w:rFonts w:ascii="Arial" w:hAnsi="Arial" w:cs="Arial"/>
          <w:sz w:val="24"/>
          <w:szCs w:val="24"/>
        </w:rPr>
        <w:t>posible</w:t>
      </w:r>
      <w:r w:rsidRPr="00E00F13">
        <w:rPr>
          <w:rFonts w:ascii="Arial" w:hAnsi="Arial" w:cs="Arial"/>
          <w:sz w:val="24"/>
          <w:szCs w:val="24"/>
        </w:rPr>
        <w:t xml:space="preserve"> ruta</w:t>
      </w:r>
      <w:r w:rsidR="00BF6D17" w:rsidRPr="00E00F13">
        <w:rPr>
          <w:rFonts w:ascii="Arial" w:hAnsi="Arial" w:cs="Arial"/>
          <w:sz w:val="24"/>
          <w:szCs w:val="24"/>
        </w:rPr>
        <w:t xml:space="preserve"> para la unificación de criterios es partir de variables técnicas </w:t>
      </w:r>
      <w:r w:rsidRPr="00E00F13">
        <w:rPr>
          <w:rFonts w:ascii="Arial" w:hAnsi="Arial" w:cs="Arial"/>
          <w:sz w:val="24"/>
          <w:szCs w:val="24"/>
        </w:rPr>
        <w:t xml:space="preserve">emitidas por </w:t>
      </w:r>
      <w:r w:rsidR="00BF6D17" w:rsidRPr="00E00F13">
        <w:rPr>
          <w:rFonts w:ascii="Arial" w:hAnsi="Arial" w:cs="Arial"/>
          <w:sz w:val="24"/>
          <w:szCs w:val="24"/>
        </w:rPr>
        <w:t>el Instituto Colombiano de Bienestar Familiar (ICBF), el Departamento Nacional de Planeación (DNP) y el DANE. Otra ruta es la que corresponde a la articulación interna entre las áreas, con la participación de la Oficina Asesora de Planeación del MVCT para dar las orientaciones generales sobre el enfoque.</w:t>
      </w:r>
    </w:p>
    <w:p w14:paraId="1A8E0A6C" w14:textId="77777777" w:rsidR="00BF6D17" w:rsidRPr="00E00F13" w:rsidRDefault="00BF6D17" w:rsidP="00BF6D17">
      <w:pPr>
        <w:spacing w:after="0" w:line="360" w:lineRule="auto"/>
        <w:jc w:val="both"/>
        <w:rPr>
          <w:rFonts w:ascii="Arial" w:hAnsi="Arial" w:cs="Arial"/>
          <w:sz w:val="24"/>
          <w:szCs w:val="24"/>
        </w:rPr>
      </w:pPr>
    </w:p>
    <w:p w14:paraId="56329D96" w14:textId="77777777" w:rsidR="00BF6D17" w:rsidRPr="00E00F13" w:rsidRDefault="00BF6D17" w:rsidP="00BF6D17">
      <w:pPr>
        <w:spacing w:after="0" w:line="360" w:lineRule="auto"/>
        <w:jc w:val="both"/>
        <w:rPr>
          <w:rFonts w:ascii="Arial" w:hAnsi="Arial" w:cs="Arial"/>
          <w:sz w:val="24"/>
          <w:szCs w:val="24"/>
        </w:rPr>
      </w:pPr>
      <w:r w:rsidRPr="00E00F13">
        <w:rPr>
          <w:rFonts w:ascii="Arial" w:hAnsi="Arial" w:cs="Arial"/>
          <w:b/>
          <w:bCs/>
          <w:sz w:val="24"/>
          <w:szCs w:val="24"/>
        </w:rPr>
        <w:t>Necesidad de creación de una ruta de trabajo y manuales operativos que materialicen el enfoque diferencial</w:t>
      </w:r>
    </w:p>
    <w:p w14:paraId="583F8C76" w14:textId="77777777" w:rsidR="00E87A96" w:rsidRPr="00E00F13" w:rsidRDefault="00BF6D17" w:rsidP="00E87A96">
      <w:pPr>
        <w:spacing w:after="0" w:line="360" w:lineRule="auto"/>
        <w:jc w:val="both"/>
        <w:rPr>
          <w:rFonts w:ascii="Arial" w:hAnsi="Arial" w:cs="Arial"/>
          <w:sz w:val="24"/>
          <w:szCs w:val="24"/>
        </w:rPr>
      </w:pPr>
      <w:r w:rsidRPr="00E00F13">
        <w:rPr>
          <w:rFonts w:ascii="Arial" w:hAnsi="Arial" w:cs="Arial"/>
          <w:sz w:val="24"/>
          <w:szCs w:val="24"/>
        </w:rPr>
        <w:t xml:space="preserve">Existen rezagos internos en el Ministerio </w:t>
      </w:r>
      <w:r w:rsidR="00121A59" w:rsidRPr="00E00F13">
        <w:rPr>
          <w:rFonts w:ascii="Arial" w:hAnsi="Arial" w:cs="Arial"/>
          <w:sz w:val="24"/>
          <w:szCs w:val="24"/>
        </w:rPr>
        <w:t>sobre</w:t>
      </w:r>
      <w:r w:rsidRPr="00E00F13">
        <w:rPr>
          <w:rFonts w:ascii="Arial" w:hAnsi="Arial" w:cs="Arial"/>
          <w:sz w:val="24"/>
          <w:szCs w:val="24"/>
        </w:rPr>
        <w:t xml:space="preserve"> la falta de lineamientos claros y de una ruta transversal real</w:t>
      </w:r>
      <w:r w:rsidR="00121A59" w:rsidRPr="00E00F13">
        <w:rPr>
          <w:rFonts w:ascii="Arial" w:hAnsi="Arial" w:cs="Arial"/>
          <w:sz w:val="24"/>
          <w:szCs w:val="24"/>
        </w:rPr>
        <w:t xml:space="preserve"> para implementar el enfoque tanto a lo interno como en todos los programas y convocatorias de la institución</w:t>
      </w:r>
      <w:r w:rsidRPr="00E00F13">
        <w:rPr>
          <w:rFonts w:ascii="Arial" w:hAnsi="Arial" w:cs="Arial"/>
          <w:sz w:val="24"/>
          <w:szCs w:val="24"/>
        </w:rPr>
        <w:t xml:space="preserve">. </w:t>
      </w:r>
      <w:r w:rsidR="00503294" w:rsidRPr="00E00F13">
        <w:rPr>
          <w:rFonts w:ascii="Arial" w:hAnsi="Arial" w:cs="Arial"/>
          <w:sz w:val="24"/>
          <w:szCs w:val="24"/>
        </w:rPr>
        <w:t xml:space="preserve">Por su parte, la ruta transversal para la implementación requiere </w:t>
      </w:r>
      <w:r w:rsidRPr="00E00F13">
        <w:rPr>
          <w:rFonts w:ascii="Arial" w:hAnsi="Arial" w:cs="Arial"/>
          <w:sz w:val="24"/>
          <w:szCs w:val="24"/>
        </w:rPr>
        <w:t xml:space="preserve">fortalecer capacidades internas </w:t>
      </w:r>
      <w:r w:rsidR="00503294" w:rsidRPr="00E00F13">
        <w:rPr>
          <w:rFonts w:ascii="Arial" w:hAnsi="Arial" w:cs="Arial"/>
          <w:sz w:val="24"/>
          <w:szCs w:val="24"/>
        </w:rPr>
        <w:t>para conocerla e implementarla,</w:t>
      </w:r>
      <w:r w:rsidRPr="00E00F13">
        <w:rPr>
          <w:rFonts w:ascii="Arial" w:hAnsi="Arial" w:cs="Arial"/>
          <w:sz w:val="24"/>
          <w:szCs w:val="24"/>
        </w:rPr>
        <w:t xml:space="preserve"> </w:t>
      </w:r>
      <w:r w:rsidR="00503294" w:rsidRPr="00E00F13">
        <w:rPr>
          <w:rFonts w:ascii="Arial" w:hAnsi="Arial" w:cs="Arial"/>
          <w:sz w:val="24"/>
          <w:szCs w:val="24"/>
        </w:rPr>
        <w:t>construir</w:t>
      </w:r>
      <w:r w:rsidRPr="00E00F13">
        <w:rPr>
          <w:rFonts w:ascii="Arial" w:hAnsi="Arial" w:cs="Arial"/>
          <w:sz w:val="24"/>
          <w:szCs w:val="24"/>
        </w:rPr>
        <w:t xml:space="preserve"> documentos normativos</w:t>
      </w:r>
      <w:r w:rsidR="00503294" w:rsidRPr="00E00F13">
        <w:rPr>
          <w:rFonts w:ascii="Arial" w:hAnsi="Arial" w:cs="Arial"/>
          <w:sz w:val="24"/>
          <w:szCs w:val="24"/>
        </w:rPr>
        <w:t>, crear grupos de trabajo</w:t>
      </w:r>
      <w:r w:rsidRPr="00E00F13">
        <w:rPr>
          <w:rFonts w:ascii="Arial" w:hAnsi="Arial" w:cs="Arial"/>
          <w:sz w:val="24"/>
          <w:szCs w:val="24"/>
        </w:rPr>
        <w:t xml:space="preserve"> y </w:t>
      </w:r>
      <w:r w:rsidR="00503294" w:rsidRPr="00E00F13">
        <w:rPr>
          <w:rFonts w:ascii="Arial" w:hAnsi="Arial" w:cs="Arial"/>
          <w:sz w:val="24"/>
          <w:szCs w:val="24"/>
        </w:rPr>
        <w:t xml:space="preserve">articular </w:t>
      </w:r>
      <w:r w:rsidRPr="00E00F13">
        <w:rPr>
          <w:rFonts w:ascii="Arial" w:hAnsi="Arial" w:cs="Arial"/>
          <w:sz w:val="24"/>
          <w:szCs w:val="24"/>
        </w:rPr>
        <w:t>intersectorial</w:t>
      </w:r>
      <w:r w:rsidR="00503294" w:rsidRPr="00E00F13">
        <w:rPr>
          <w:rFonts w:ascii="Arial" w:hAnsi="Arial" w:cs="Arial"/>
          <w:sz w:val="24"/>
          <w:szCs w:val="24"/>
        </w:rPr>
        <w:t>mente</w:t>
      </w:r>
      <w:r w:rsidRPr="00E00F13">
        <w:rPr>
          <w:rFonts w:ascii="Arial" w:hAnsi="Arial" w:cs="Arial"/>
          <w:sz w:val="24"/>
          <w:szCs w:val="24"/>
        </w:rPr>
        <w:t xml:space="preserve"> </w:t>
      </w:r>
      <w:r w:rsidR="00503294" w:rsidRPr="00E00F13">
        <w:rPr>
          <w:rFonts w:ascii="Arial" w:hAnsi="Arial" w:cs="Arial"/>
          <w:sz w:val="24"/>
          <w:szCs w:val="24"/>
        </w:rPr>
        <w:t>al Ministerio</w:t>
      </w:r>
      <w:r w:rsidRPr="00E00F13">
        <w:rPr>
          <w:rFonts w:ascii="Arial" w:hAnsi="Arial" w:cs="Arial"/>
          <w:sz w:val="24"/>
          <w:szCs w:val="24"/>
        </w:rPr>
        <w:t>.</w:t>
      </w:r>
    </w:p>
    <w:p w14:paraId="25E9C2D7" w14:textId="77777777" w:rsidR="00E87A96" w:rsidRPr="00E00F13" w:rsidRDefault="00E87A96" w:rsidP="00E87A96">
      <w:pPr>
        <w:spacing w:after="0" w:line="360" w:lineRule="auto"/>
        <w:jc w:val="both"/>
        <w:rPr>
          <w:rFonts w:ascii="Arial" w:hAnsi="Arial" w:cs="Arial"/>
          <w:sz w:val="24"/>
          <w:szCs w:val="24"/>
        </w:rPr>
      </w:pPr>
    </w:p>
    <w:p w14:paraId="2DD2068D" w14:textId="18FC6635" w:rsidR="00BF6D17" w:rsidRPr="00E00F13" w:rsidRDefault="00BF6D17" w:rsidP="00E87A96">
      <w:pPr>
        <w:spacing w:after="0" w:line="360" w:lineRule="auto"/>
        <w:jc w:val="both"/>
        <w:rPr>
          <w:rFonts w:ascii="Arial" w:hAnsi="Arial" w:cs="Arial"/>
          <w:sz w:val="24"/>
          <w:szCs w:val="24"/>
        </w:rPr>
      </w:pPr>
      <w:r w:rsidRPr="00E00F13">
        <w:rPr>
          <w:rFonts w:ascii="Arial" w:hAnsi="Arial" w:cs="Arial"/>
          <w:b/>
          <w:bCs/>
          <w:sz w:val="24"/>
          <w:szCs w:val="24"/>
        </w:rPr>
        <w:t>Recomendaciones</w:t>
      </w:r>
    </w:p>
    <w:p w14:paraId="6D520FA9" w14:textId="77777777" w:rsidR="00BF6D17" w:rsidRPr="00E00F13" w:rsidRDefault="00BF6D17" w:rsidP="00BF6D17">
      <w:pPr>
        <w:spacing w:after="0" w:line="360" w:lineRule="auto"/>
        <w:jc w:val="both"/>
        <w:rPr>
          <w:rFonts w:ascii="Arial" w:hAnsi="Arial" w:cs="Arial"/>
          <w:sz w:val="24"/>
          <w:szCs w:val="24"/>
        </w:rPr>
      </w:pPr>
      <w:r w:rsidRPr="00E00F13">
        <w:rPr>
          <w:rFonts w:ascii="Arial" w:hAnsi="Arial" w:cs="Arial"/>
          <w:sz w:val="24"/>
          <w:szCs w:val="24"/>
        </w:rPr>
        <w:t>Algunas acciones necesarias son:</w:t>
      </w:r>
    </w:p>
    <w:p w14:paraId="002FA854" w14:textId="4D60A78D" w:rsidR="00BF6D17" w:rsidRPr="00E00F13" w:rsidRDefault="00BF6D17" w:rsidP="005E33C6">
      <w:pPr>
        <w:numPr>
          <w:ilvl w:val="0"/>
          <w:numId w:val="16"/>
        </w:numPr>
        <w:spacing w:after="0" w:line="360" w:lineRule="auto"/>
        <w:jc w:val="both"/>
        <w:rPr>
          <w:rFonts w:ascii="Arial" w:hAnsi="Arial" w:cs="Arial"/>
          <w:sz w:val="24"/>
          <w:szCs w:val="24"/>
        </w:rPr>
      </w:pPr>
      <w:r w:rsidRPr="00E00F13">
        <w:rPr>
          <w:rFonts w:ascii="Arial" w:hAnsi="Arial" w:cs="Arial"/>
          <w:sz w:val="24"/>
          <w:szCs w:val="24"/>
        </w:rPr>
        <w:lastRenderedPageBreak/>
        <w:t>Construir un enfoque diferencial unificado para todo el sector, con definiciones claras y criterios aplicables.</w:t>
      </w:r>
    </w:p>
    <w:p w14:paraId="3F596194" w14:textId="0D5E19DB" w:rsidR="00BF6D17" w:rsidRPr="00E00F13" w:rsidRDefault="00BF6D17" w:rsidP="005E33C6">
      <w:pPr>
        <w:numPr>
          <w:ilvl w:val="0"/>
          <w:numId w:val="16"/>
        </w:numPr>
        <w:spacing w:after="0" w:line="360" w:lineRule="auto"/>
        <w:jc w:val="both"/>
        <w:rPr>
          <w:rFonts w:ascii="Arial" w:hAnsi="Arial" w:cs="Arial"/>
          <w:sz w:val="24"/>
          <w:szCs w:val="24"/>
        </w:rPr>
      </w:pPr>
      <w:r w:rsidRPr="00E00F13">
        <w:rPr>
          <w:rFonts w:ascii="Arial" w:hAnsi="Arial" w:cs="Arial"/>
          <w:sz w:val="24"/>
          <w:szCs w:val="24"/>
        </w:rPr>
        <w:t>Crear un documento de lineamientos de política</w:t>
      </w:r>
      <w:r w:rsidR="00503294" w:rsidRPr="00E00F13">
        <w:rPr>
          <w:rFonts w:ascii="Arial" w:hAnsi="Arial" w:cs="Arial"/>
          <w:sz w:val="24"/>
          <w:szCs w:val="24"/>
        </w:rPr>
        <w:t xml:space="preserve"> sobre el</w:t>
      </w:r>
      <w:r w:rsidRPr="00E00F13">
        <w:rPr>
          <w:rFonts w:ascii="Arial" w:hAnsi="Arial" w:cs="Arial"/>
          <w:sz w:val="24"/>
          <w:szCs w:val="24"/>
        </w:rPr>
        <w:t xml:space="preserve"> </w:t>
      </w:r>
      <w:r w:rsidR="00503294" w:rsidRPr="00E00F13">
        <w:rPr>
          <w:rFonts w:ascii="Arial" w:hAnsi="Arial" w:cs="Arial"/>
          <w:sz w:val="24"/>
          <w:szCs w:val="24"/>
        </w:rPr>
        <w:t xml:space="preserve">enfoque diferencial con la ruta sobre cómo materializarlo. </w:t>
      </w:r>
    </w:p>
    <w:p w14:paraId="6301340C" w14:textId="77777777" w:rsidR="00BF6D17" w:rsidRPr="00E00F13" w:rsidRDefault="00BF6D17" w:rsidP="005E33C6">
      <w:pPr>
        <w:numPr>
          <w:ilvl w:val="0"/>
          <w:numId w:val="16"/>
        </w:numPr>
        <w:spacing w:after="0" w:line="360" w:lineRule="auto"/>
        <w:jc w:val="both"/>
        <w:rPr>
          <w:rFonts w:ascii="Arial" w:hAnsi="Arial" w:cs="Arial"/>
          <w:sz w:val="24"/>
          <w:szCs w:val="24"/>
        </w:rPr>
      </w:pPr>
      <w:r w:rsidRPr="00E00F13">
        <w:rPr>
          <w:rFonts w:ascii="Arial" w:hAnsi="Arial" w:cs="Arial"/>
          <w:sz w:val="24"/>
          <w:szCs w:val="24"/>
        </w:rPr>
        <w:t>Alinear la política sectorial con políticas nacionales sobre enfoque diferencial.</w:t>
      </w:r>
    </w:p>
    <w:p w14:paraId="40368AF3" w14:textId="7A22E205" w:rsidR="00BF6D17" w:rsidRPr="00E00F13" w:rsidRDefault="00503294" w:rsidP="005E33C6">
      <w:pPr>
        <w:numPr>
          <w:ilvl w:val="0"/>
          <w:numId w:val="16"/>
        </w:numPr>
        <w:spacing w:after="0" w:line="360" w:lineRule="auto"/>
        <w:jc w:val="both"/>
        <w:rPr>
          <w:rFonts w:ascii="Arial" w:hAnsi="Arial" w:cs="Arial"/>
          <w:sz w:val="24"/>
          <w:szCs w:val="24"/>
        </w:rPr>
      </w:pPr>
      <w:r w:rsidRPr="00E00F13">
        <w:rPr>
          <w:rFonts w:ascii="Arial" w:hAnsi="Arial" w:cs="Arial"/>
          <w:sz w:val="24"/>
          <w:szCs w:val="24"/>
        </w:rPr>
        <w:t>Desarrollar</w:t>
      </w:r>
      <w:r w:rsidR="00BF6D17" w:rsidRPr="00E00F13">
        <w:rPr>
          <w:rFonts w:ascii="Arial" w:hAnsi="Arial" w:cs="Arial"/>
          <w:sz w:val="24"/>
          <w:szCs w:val="24"/>
        </w:rPr>
        <w:t xml:space="preserve"> talleres internos y</w:t>
      </w:r>
      <w:r w:rsidRPr="00E00F13">
        <w:rPr>
          <w:rFonts w:ascii="Arial" w:hAnsi="Arial" w:cs="Arial"/>
          <w:sz w:val="24"/>
          <w:szCs w:val="24"/>
        </w:rPr>
        <w:t xml:space="preserve"> de</w:t>
      </w:r>
      <w:r w:rsidR="00BF6D17" w:rsidRPr="00E00F13">
        <w:rPr>
          <w:rFonts w:ascii="Arial" w:hAnsi="Arial" w:cs="Arial"/>
          <w:sz w:val="24"/>
          <w:szCs w:val="24"/>
        </w:rPr>
        <w:t xml:space="preserve"> formación en enfoque étnico, diferencial y comunitario.</w:t>
      </w:r>
    </w:p>
    <w:p w14:paraId="077D56E9" w14:textId="77777777" w:rsidR="00BF6D17" w:rsidRPr="00E00F13" w:rsidRDefault="00BF6D17" w:rsidP="005E33C6">
      <w:pPr>
        <w:numPr>
          <w:ilvl w:val="0"/>
          <w:numId w:val="16"/>
        </w:numPr>
        <w:spacing w:after="0" w:line="360" w:lineRule="auto"/>
        <w:jc w:val="both"/>
        <w:rPr>
          <w:rFonts w:ascii="Arial" w:hAnsi="Arial" w:cs="Arial"/>
          <w:sz w:val="24"/>
          <w:szCs w:val="24"/>
        </w:rPr>
      </w:pPr>
      <w:r w:rsidRPr="00E00F13">
        <w:rPr>
          <w:rFonts w:ascii="Arial" w:hAnsi="Arial" w:cs="Arial"/>
          <w:sz w:val="24"/>
          <w:szCs w:val="24"/>
        </w:rPr>
        <w:t>Diseñar instrumentos técnicos: guías, protocolos y matrices de verificación.</w:t>
      </w:r>
    </w:p>
    <w:p w14:paraId="6E7BD8D2" w14:textId="77777777" w:rsidR="00BF6D17" w:rsidRPr="00E00F13" w:rsidRDefault="00BF6D17" w:rsidP="005E33C6">
      <w:pPr>
        <w:numPr>
          <w:ilvl w:val="0"/>
          <w:numId w:val="16"/>
        </w:numPr>
        <w:spacing w:after="0" w:line="360" w:lineRule="auto"/>
        <w:jc w:val="both"/>
        <w:rPr>
          <w:rFonts w:ascii="Arial" w:hAnsi="Arial" w:cs="Arial"/>
          <w:sz w:val="24"/>
          <w:szCs w:val="24"/>
        </w:rPr>
      </w:pPr>
      <w:r w:rsidRPr="00E00F13">
        <w:rPr>
          <w:rFonts w:ascii="Arial" w:hAnsi="Arial" w:cs="Arial"/>
          <w:sz w:val="24"/>
          <w:szCs w:val="24"/>
        </w:rPr>
        <w:t>Fortalecer capacidades territoriales con formación continua.</w:t>
      </w:r>
    </w:p>
    <w:p w14:paraId="2039E8A0" w14:textId="77777777" w:rsidR="00BF6D17" w:rsidRPr="00E00F13" w:rsidRDefault="00BF6D17" w:rsidP="005E33C6">
      <w:pPr>
        <w:numPr>
          <w:ilvl w:val="0"/>
          <w:numId w:val="16"/>
        </w:numPr>
        <w:spacing w:after="0" w:line="360" w:lineRule="auto"/>
        <w:jc w:val="both"/>
        <w:rPr>
          <w:rFonts w:ascii="Arial" w:hAnsi="Arial" w:cs="Arial"/>
          <w:sz w:val="24"/>
          <w:szCs w:val="24"/>
        </w:rPr>
      </w:pPr>
      <w:r w:rsidRPr="00E00F13">
        <w:rPr>
          <w:rFonts w:ascii="Arial" w:hAnsi="Arial" w:cs="Arial"/>
          <w:sz w:val="24"/>
          <w:szCs w:val="24"/>
        </w:rPr>
        <w:t>Documentar continuamente las acciones y experiencias para garantizar persistencia en el tiempo.</w:t>
      </w:r>
    </w:p>
    <w:p w14:paraId="689E112C" w14:textId="77777777" w:rsidR="00BF6D17" w:rsidRPr="00E00F13" w:rsidRDefault="00BF6D17" w:rsidP="005E33C6">
      <w:pPr>
        <w:numPr>
          <w:ilvl w:val="0"/>
          <w:numId w:val="16"/>
        </w:numPr>
        <w:spacing w:after="0" w:line="360" w:lineRule="auto"/>
        <w:jc w:val="both"/>
        <w:rPr>
          <w:rFonts w:ascii="Arial" w:hAnsi="Arial" w:cs="Arial"/>
          <w:sz w:val="24"/>
          <w:szCs w:val="24"/>
        </w:rPr>
      </w:pPr>
      <w:r w:rsidRPr="00E00F13">
        <w:rPr>
          <w:rFonts w:ascii="Arial" w:hAnsi="Arial" w:cs="Arial"/>
          <w:sz w:val="24"/>
          <w:szCs w:val="24"/>
        </w:rPr>
        <w:t>Establecer estándares mínimos para la implementación del enfoque diferencial en proyectos y programas.</w:t>
      </w:r>
    </w:p>
    <w:p w14:paraId="1305B707" w14:textId="77777777" w:rsidR="00BF6D17" w:rsidRPr="00E00F13" w:rsidRDefault="00BF6D17" w:rsidP="005E33C6">
      <w:pPr>
        <w:numPr>
          <w:ilvl w:val="0"/>
          <w:numId w:val="16"/>
        </w:numPr>
        <w:spacing w:after="0" w:line="360" w:lineRule="auto"/>
        <w:jc w:val="both"/>
        <w:rPr>
          <w:rFonts w:ascii="Arial" w:hAnsi="Arial" w:cs="Arial"/>
          <w:sz w:val="24"/>
          <w:szCs w:val="24"/>
        </w:rPr>
      </w:pPr>
      <w:r w:rsidRPr="00E00F13">
        <w:rPr>
          <w:rFonts w:ascii="Arial" w:hAnsi="Arial" w:cs="Arial"/>
          <w:sz w:val="24"/>
          <w:szCs w:val="24"/>
        </w:rPr>
        <w:t>Implementar un mecanismo de seguimiento y evaluación basado en datos desagregados por territorio y etnia.</w:t>
      </w:r>
    </w:p>
    <w:p w14:paraId="2CC4A23A" w14:textId="77777777" w:rsidR="00BF6D17" w:rsidRPr="00E00F13" w:rsidRDefault="00BF6D17" w:rsidP="00BF6D17">
      <w:pPr>
        <w:spacing w:after="0" w:line="360" w:lineRule="auto"/>
        <w:jc w:val="both"/>
        <w:rPr>
          <w:rFonts w:ascii="Arial" w:hAnsi="Arial" w:cs="Arial"/>
          <w:sz w:val="24"/>
          <w:szCs w:val="24"/>
        </w:rPr>
      </w:pPr>
    </w:p>
    <w:p w14:paraId="0E905F38" w14:textId="3E37EB3E" w:rsidR="00BF6D17" w:rsidRPr="00E00F13" w:rsidRDefault="00397A3D" w:rsidP="00397A3D">
      <w:pPr>
        <w:pStyle w:val="Ttulo3"/>
        <w:rPr>
          <w:color w:val="auto"/>
        </w:rPr>
      </w:pPr>
      <w:bookmarkStart w:id="126" w:name="_Toc234242849"/>
      <w:r w:rsidRPr="00E00F13">
        <w:rPr>
          <w:color w:val="auto"/>
        </w:rPr>
        <w:t>2.</w:t>
      </w:r>
      <w:r w:rsidR="003A01CD" w:rsidRPr="00E00F13">
        <w:rPr>
          <w:color w:val="auto"/>
        </w:rPr>
        <w:t>8</w:t>
      </w:r>
      <w:r w:rsidRPr="00E00F13">
        <w:rPr>
          <w:color w:val="auto"/>
        </w:rPr>
        <w:t>.</w:t>
      </w:r>
      <w:r w:rsidR="00902401" w:rsidRPr="00E00F13">
        <w:rPr>
          <w:color w:val="auto"/>
        </w:rPr>
        <w:t>5</w:t>
      </w:r>
      <w:r w:rsidRPr="00E00F13">
        <w:rPr>
          <w:color w:val="auto"/>
        </w:rPr>
        <w:t xml:space="preserve">. </w:t>
      </w:r>
      <w:r w:rsidR="00BF6D17" w:rsidRPr="00E00F13">
        <w:rPr>
          <w:color w:val="auto"/>
        </w:rPr>
        <w:t>Matriz de recomendaciones</w:t>
      </w:r>
      <w:r w:rsidRPr="00E00F13">
        <w:rPr>
          <w:color w:val="auto"/>
        </w:rPr>
        <w:t xml:space="preserve"> para la incorporación de los enfoques diferenciales</w:t>
      </w:r>
      <w:bookmarkEnd w:id="126"/>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88"/>
        <w:gridCol w:w="3253"/>
        <w:gridCol w:w="1363"/>
        <w:gridCol w:w="1524"/>
        <w:gridCol w:w="1000"/>
      </w:tblGrid>
      <w:tr w:rsidR="00BF6D17" w:rsidRPr="00E00F13" w14:paraId="78CE2742" w14:textId="77777777" w:rsidTr="00E12BF3">
        <w:trPr>
          <w:tblCellSpacing w:w="15" w:type="dxa"/>
        </w:trPr>
        <w:tc>
          <w:tcPr>
            <w:tcW w:w="0" w:type="auto"/>
            <w:vAlign w:val="center"/>
            <w:hideMark/>
          </w:tcPr>
          <w:p w14:paraId="53A19A25" w14:textId="77777777" w:rsidR="00BF6D17" w:rsidRPr="00E00F13" w:rsidRDefault="00BF6D17">
            <w:pPr>
              <w:jc w:val="center"/>
              <w:rPr>
                <w:rFonts w:ascii="Arial" w:hAnsi="Arial" w:cs="Arial"/>
                <w:b/>
                <w:bCs/>
              </w:rPr>
            </w:pPr>
            <w:r w:rsidRPr="00E00F13">
              <w:rPr>
                <w:rFonts w:ascii="Arial" w:hAnsi="Arial" w:cs="Arial"/>
                <w:b/>
                <w:bCs/>
              </w:rPr>
              <w:t>Recomendación</w:t>
            </w:r>
          </w:p>
        </w:tc>
        <w:tc>
          <w:tcPr>
            <w:tcW w:w="0" w:type="auto"/>
            <w:vAlign w:val="center"/>
            <w:hideMark/>
          </w:tcPr>
          <w:p w14:paraId="79A35D1F" w14:textId="77777777" w:rsidR="00BF6D17" w:rsidRPr="00E00F13" w:rsidRDefault="00BF6D17">
            <w:pPr>
              <w:jc w:val="center"/>
              <w:rPr>
                <w:rFonts w:ascii="Arial" w:hAnsi="Arial" w:cs="Arial"/>
                <w:b/>
                <w:bCs/>
              </w:rPr>
            </w:pPr>
            <w:r w:rsidRPr="00E00F13">
              <w:rPr>
                <w:rFonts w:ascii="Arial" w:hAnsi="Arial" w:cs="Arial"/>
                <w:b/>
                <w:bCs/>
              </w:rPr>
              <w:t>Tipo (Técnico/Estratégico/Normativo)</w:t>
            </w:r>
          </w:p>
        </w:tc>
        <w:tc>
          <w:tcPr>
            <w:tcW w:w="0" w:type="auto"/>
            <w:vAlign w:val="center"/>
            <w:hideMark/>
          </w:tcPr>
          <w:p w14:paraId="0B386CBF" w14:textId="77777777" w:rsidR="00BF6D17" w:rsidRPr="00E00F13" w:rsidRDefault="00BF6D17">
            <w:pPr>
              <w:jc w:val="center"/>
              <w:rPr>
                <w:rFonts w:ascii="Arial" w:hAnsi="Arial" w:cs="Arial"/>
                <w:b/>
                <w:bCs/>
              </w:rPr>
            </w:pPr>
            <w:r w:rsidRPr="00E00F13">
              <w:rPr>
                <w:rFonts w:ascii="Arial" w:hAnsi="Arial" w:cs="Arial"/>
                <w:b/>
                <w:bCs/>
              </w:rPr>
              <w:t>Responsable</w:t>
            </w:r>
          </w:p>
        </w:tc>
        <w:tc>
          <w:tcPr>
            <w:tcW w:w="0" w:type="auto"/>
            <w:vAlign w:val="center"/>
            <w:hideMark/>
          </w:tcPr>
          <w:p w14:paraId="0EB07FE1" w14:textId="77777777" w:rsidR="00BF6D17" w:rsidRPr="00E00F13" w:rsidRDefault="00BF6D17">
            <w:pPr>
              <w:jc w:val="center"/>
              <w:rPr>
                <w:rFonts w:ascii="Arial" w:hAnsi="Arial" w:cs="Arial"/>
                <w:b/>
                <w:bCs/>
              </w:rPr>
            </w:pPr>
            <w:r w:rsidRPr="00E00F13">
              <w:rPr>
                <w:rFonts w:ascii="Arial" w:hAnsi="Arial" w:cs="Arial"/>
                <w:b/>
                <w:bCs/>
              </w:rPr>
              <w:t>Evidencia</w:t>
            </w:r>
          </w:p>
        </w:tc>
        <w:tc>
          <w:tcPr>
            <w:tcW w:w="0" w:type="auto"/>
            <w:vAlign w:val="center"/>
            <w:hideMark/>
          </w:tcPr>
          <w:p w14:paraId="24269FD3" w14:textId="77777777" w:rsidR="00BF6D17" w:rsidRPr="00E00F13" w:rsidRDefault="00BF6D17">
            <w:pPr>
              <w:jc w:val="center"/>
              <w:rPr>
                <w:rFonts w:ascii="Arial" w:hAnsi="Arial" w:cs="Arial"/>
                <w:b/>
                <w:bCs/>
              </w:rPr>
            </w:pPr>
            <w:r w:rsidRPr="00E00F13">
              <w:rPr>
                <w:rFonts w:ascii="Arial" w:hAnsi="Arial" w:cs="Arial"/>
                <w:b/>
                <w:bCs/>
              </w:rPr>
              <w:t>Prioridad</w:t>
            </w:r>
          </w:p>
        </w:tc>
      </w:tr>
      <w:tr w:rsidR="00BF6D17" w:rsidRPr="00E00F13" w14:paraId="656D61A0" w14:textId="77777777" w:rsidTr="00E12BF3">
        <w:trPr>
          <w:tblCellSpacing w:w="15" w:type="dxa"/>
        </w:trPr>
        <w:tc>
          <w:tcPr>
            <w:tcW w:w="0" w:type="auto"/>
            <w:vAlign w:val="center"/>
            <w:hideMark/>
          </w:tcPr>
          <w:p w14:paraId="17C5055E" w14:textId="77777777" w:rsidR="00BF6D17" w:rsidRPr="00E00F13" w:rsidRDefault="00BF6D17">
            <w:pPr>
              <w:rPr>
                <w:rFonts w:ascii="Arial" w:hAnsi="Arial" w:cs="Arial"/>
              </w:rPr>
            </w:pPr>
            <w:r w:rsidRPr="00E00F13">
              <w:rPr>
                <w:rFonts w:ascii="Arial" w:hAnsi="Arial" w:cs="Arial"/>
              </w:rPr>
              <w:t>Unificar definición del enfoque diferencial sectorial</w:t>
            </w:r>
          </w:p>
        </w:tc>
        <w:tc>
          <w:tcPr>
            <w:tcW w:w="0" w:type="auto"/>
            <w:vAlign w:val="center"/>
            <w:hideMark/>
          </w:tcPr>
          <w:p w14:paraId="7C6B9A52" w14:textId="77777777" w:rsidR="00BF6D17" w:rsidRPr="00E00F13" w:rsidRDefault="00BF6D17">
            <w:pPr>
              <w:rPr>
                <w:rFonts w:ascii="Arial" w:hAnsi="Arial" w:cs="Arial"/>
              </w:rPr>
            </w:pPr>
            <w:r w:rsidRPr="00E00F13">
              <w:rPr>
                <w:rFonts w:ascii="Arial" w:hAnsi="Arial" w:cs="Arial"/>
              </w:rPr>
              <w:t>Estratégico</w:t>
            </w:r>
          </w:p>
        </w:tc>
        <w:tc>
          <w:tcPr>
            <w:tcW w:w="0" w:type="auto"/>
            <w:vAlign w:val="center"/>
            <w:hideMark/>
          </w:tcPr>
          <w:p w14:paraId="470C3E50" w14:textId="77777777" w:rsidR="00BF6D17" w:rsidRPr="00E00F13" w:rsidRDefault="00BF6D17">
            <w:pPr>
              <w:rPr>
                <w:rFonts w:ascii="Arial" w:hAnsi="Arial" w:cs="Arial"/>
              </w:rPr>
            </w:pPr>
            <w:r w:rsidRPr="00E00F13">
              <w:rPr>
                <w:rFonts w:ascii="Arial" w:hAnsi="Arial" w:cs="Arial"/>
              </w:rPr>
              <w:t>Dirección Técnica / Despacho</w:t>
            </w:r>
          </w:p>
        </w:tc>
        <w:tc>
          <w:tcPr>
            <w:tcW w:w="0" w:type="auto"/>
            <w:vAlign w:val="center"/>
            <w:hideMark/>
          </w:tcPr>
          <w:p w14:paraId="3BBF6D16" w14:textId="77777777" w:rsidR="00BF6D17" w:rsidRPr="00E00F13" w:rsidRDefault="00BF6D17">
            <w:pPr>
              <w:rPr>
                <w:rFonts w:ascii="Arial" w:hAnsi="Arial" w:cs="Arial"/>
              </w:rPr>
            </w:pPr>
            <w:r w:rsidRPr="00E00F13">
              <w:rPr>
                <w:rFonts w:ascii="Arial" w:hAnsi="Arial" w:cs="Arial"/>
              </w:rPr>
              <w:t>Diagnóstico institucional</w:t>
            </w:r>
          </w:p>
        </w:tc>
        <w:tc>
          <w:tcPr>
            <w:tcW w:w="0" w:type="auto"/>
            <w:vAlign w:val="center"/>
            <w:hideMark/>
          </w:tcPr>
          <w:p w14:paraId="39C8BFA8" w14:textId="77777777" w:rsidR="00BF6D17" w:rsidRPr="00E00F13" w:rsidRDefault="00BF6D17">
            <w:pPr>
              <w:rPr>
                <w:rFonts w:ascii="Arial" w:hAnsi="Arial" w:cs="Arial"/>
              </w:rPr>
            </w:pPr>
            <w:r w:rsidRPr="00E00F13">
              <w:rPr>
                <w:rFonts w:ascii="Arial" w:hAnsi="Arial" w:cs="Arial"/>
              </w:rPr>
              <w:t>Alta</w:t>
            </w:r>
          </w:p>
        </w:tc>
      </w:tr>
      <w:tr w:rsidR="00BF6D17" w:rsidRPr="00E00F13" w14:paraId="4B77FE08" w14:textId="77777777" w:rsidTr="00E12BF3">
        <w:trPr>
          <w:tblCellSpacing w:w="15" w:type="dxa"/>
        </w:trPr>
        <w:tc>
          <w:tcPr>
            <w:tcW w:w="0" w:type="auto"/>
            <w:vAlign w:val="center"/>
            <w:hideMark/>
          </w:tcPr>
          <w:p w14:paraId="30472FE9" w14:textId="77777777" w:rsidR="00BF6D17" w:rsidRPr="00E00F13" w:rsidRDefault="00BF6D17">
            <w:pPr>
              <w:rPr>
                <w:rFonts w:ascii="Arial" w:hAnsi="Arial" w:cs="Arial"/>
              </w:rPr>
            </w:pPr>
            <w:r w:rsidRPr="00E00F13">
              <w:rPr>
                <w:rFonts w:ascii="Arial" w:hAnsi="Arial" w:cs="Arial"/>
              </w:rPr>
              <w:t>Crear puntos focales de enfoque diferencial por dependencia</w:t>
            </w:r>
          </w:p>
        </w:tc>
        <w:tc>
          <w:tcPr>
            <w:tcW w:w="0" w:type="auto"/>
            <w:vAlign w:val="center"/>
            <w:hideMark/>
          </w:tcPr>
          <w:p w14:paraId="3605CFFE" w14:textId="77777777" w:rsidR="00BF6D17" w:rsidRPr="00E00F13" w:rsidRDefault="00BF6D17">
            <w:pPr>
              <w:rPr>
                <w:rFonts w:ascii="Arial" w:hAnsi="Arial" w:cs="Arial"/>
              </w:rPr>
            </w:pPr>
            <w:r w:rsidRPr="00E00F13">
              <w:rPr>
                <w:rFonts w:ascii="Arial" w:hAnsi="Arial" w:cs="Arial"/>
              </w:rPr>
              <w:t>Técnico</w:t>
            </w:r>
          </w:p>
        </w:tc>
        <w:tc>
          <w:tcPr>
            <w:tcW w:w="0" w:type="auto"/>
            <w:vAlign w:val="center"/>
            <w:hideMark/>
          </w:tcPr>
          <w:p w14:paraId="18090EA7" w14:textId="77777777" w:rsidR="00BF6D17" w:rsidRPr="00E00F13" w:rsidRDefault="00BF6D17">
            <w:pPr>
              <w:rPr>
                <w:rFonts w:ascii="Arial" w:hAnsi="Arial" w:cs="Arial"/>
              </w:rPr>
            </w:pPr>
            <w:r w:rsidRPr="00E00F13">
              <w:rPr>
                <w:rFonts w:ascii="Arial" w:hAnsi="Arial" w:cs="Arial"/>
              </w:rPr>
              <w:t>Direcciones misionales</w:t>
            </w:r>
          </w:p>
        </w:tc>
        <w:tc>
          <w:tcPr>
            <w:tcW w:w="0" w:type="auto"/>
            <w:vAlign w:val="center"/>
            <w:hideMark/>
          </w:tcPr>
          <w:p w14:paraId="2E83EC2B" w14:textId="77777777" w:rsidR="00BF6D17" w:rsidRPr="00E00F13" w:rsidRDefault="00BF6D17">
            <w:pPr>
              <w:rPr>
                <w:rFonts w:ascii="Arial" w:hAnsi="Arial" w:cs="Arial"/>
              </w:rPr>
            </w:pPr>
            <w:r w:rsidRPr="00E00F13">
              <w:rPr>
                <w:rFonts w:ascii="Arial" w:hAnsi="Arial" w:cs="Arial"/>
              </w:rPr>
              <w:t>Buenas prácticas intersectoriales</w:t>
            </w:r>
          </w:p>
        </w:tc>
        <w:tc>
          <w:tcPr>
            <w:tcW w:w="0" w:type="auto"/>
            <w:vAlign w:val="center"/>
            <w:hideMark/>
          </w:tcPr>
          <w:p w14:paraId="1607FCC0" w14:textId="77777777" w:rsidR="00BF6D17" w:rsidRPr="00E00F13" w:rsidRDefault="00BF6D17">
            <w:pPr>
              <w:rPr>
                <w:rFonts w:ascii="Arial" w:hAnsi="Arial" w:cs="Arial"/>
              </w:rPr>
            </w:pPr>
            <w:r w:rsidRPr="00E00F13">
              <w:rPr>
                <w:rFonts w:ascii="Arial" w:hAnsi="Arial" w:cs="Arial"/>
              </w:rPr>
              <w:t>Alta</w:t>
            </w:r>
          </w:p>
        </w:tc>
      </w:tr>
      <w:tr w:rsidR="00BF6D17" w:rsidRPr="00E00F13" w14:paraId="5584A88C" w14:textId="77777777" w:rsidTr="00E12BF3">
        <w:trPr>
          <w:tblCellSpacing w:w="15" w:type="dxa"/>
        </w:trPr>
        <w:tc>
          <w:tcPr>
            <w:tcW w:w="0" w:type="auto"/>
            <w:vAlign w:val="center"/>
            <w:hideMark/>
          </w:tcPr>
          <w:p w14:paraId="55596028" w14:textId="77777777" w:rsidR="00BF6D17" w:rsidRPr="00E00F13" w:rsidRDefault="00BF6D17">
            <w:pPr>
              <w:rPr>
                <w:rFonts w:ascii="Arial" w:hAnsi="Arial" w:cs="Arial"/>
              </w:rPr>
            </w:pPr>
            <w:r w:rsidRPr="00E00F13">
              <w:rPr>
                <w:rFonts w:ascii="Arial" w:hAnsi="Arial" w:cs="Arial"/>
              </w:rPr>
              <w:t xml:space="preserve">Elaborar documentos de lineamientos </w:t>
            </w:r>
          </w:p>
          <w:p w14:paraId="60CAC3E8" w14:textId="77777777" w:rsidR="00BF6D17" w:rsidRPr="00E00F13" w:rsidRDefault="00BF6D17">
            <w:pPr>
              <w:rPr>
                <w:rFonts w:ascii="Arial" w:hAnsi="Arial" w:cs="Arial"/>
              </w:rPr>
            </w:pPr>
            <w:r w:rsidRPr="00E00F13">
              <w:rPr>
                <w:rFonts w:ascii="Arial" w:hAnsi="Arial" w:cs="Arial"/>
              </w:rPr>
              <w:lastRenderedPageBreak/>
              <w:t>Elaborar protocolos de implementación</w:t>
            </w:r>
          </w:p>
        </w:tc>
        <w:tc>
          <w:tcPr>
            <w:tcW w:w="0" w:type="auto"/>
            <w:vAlign w:val="center"/>
            <w:hideMark/>
          </w:tcPr>
          <w:p w14:paraId="5DCA9244" w14:textId="77777777" w:rsidR="00BF6D17" w:rsidRPr="00E00F13" w:rsidRDefault="00BF6D17">
            <w:pPr>
              <w:rPr>
                <w:rFonts w:ascii="Arial" w:hAnsi="Arial" w:cs="Arial"/>
              </w:rPr>
            </w:pPr>
            <w:r w:rsidRPr="00E00F13">
              <w:rPr>
                <w:rFonts w:ascii="Arial" w:hAnsi="Arial" w:cs="Arial"/>
              </w:rPr>
              <w:lastRenderedPageBreak/>
              <w:t>Estratégico</w:t>
            </w:r>
          </w:p>
        </w:tc>
        <w:tc>
          <w:tcPr>
            <w:tcW w:w="0" w:type="auto"/>
            <w:vAlign w:val="center"/>
            <w:hideMark/>
          </w:tcPr>
          <w:p w14:paraId="3F5A25A0" w14:textId="77777777" w:rsidR="00BF6D17" w:rsidRPr="00E00F13" w:rsidRDefault="00BF6D17">
            <w:pPr>
              <w:rPr>
                <w:rFonts w:ascii="Arial" w:hAnsi="Arial" w:cs="Arial"/>
              </w:rPr>
            </w:pPr>
            <w:r w:rsidRPr="00E00F13">
              <w:rPr>
                <w:rFonts w:ascii="Arial" w:hAnsi="Arial" w:cs="Arial"/>
              </w:rPr>
              <w:t>Equipo de Estrategia Social</w:t>
            </w:r>
          </w:p>
        </w:tc>
        <w:tc>
          <w:tcPr>
            <w:tcW w:w="0" w:type="auto"/>
            <w:vAlign w:val="center"/>
            <w:hideMark/>
          </w:tcPr>
          <w:p w14:paraId="00624CB0" w14:textId="77777777" w:rsidR="00BF6D17" w:rsidRPr="00E00F13" w:rsidRDefault="00BF6D17">
            <w:pPr>
              <w:rPr>
                <w:rFonts w:ascii="Arial" w:hAnsi="Arial" w:cs="Arial"/>
              </w:rPr>
            </w:pPr>
            <w:r w:rsidRPr="00E00F13">
              <w:rPr>
                <w:rFonts w:ascii="Arial" w:hAnsi="Arial" w:cs="Arial"/>
              </w:rPr>
              <w:t>Revisión documental</w:t>
            </w:r>
          </w:p>
        </w:tc>
        <w:tc>
          <w:tcPr>
            <w:tcW w:w="0" w:type="auto"/>
            <w:vAlign w:val="center"/>
            <w:hideMark/>
          </w:tcPr>
          <w:p w14:paraId="56249C15" w14:textId="77777777" w:rsidR="00BF6D17" w:rsidRPr="00E00F13" w:rsidRDefault="00BF6D17">
            <w:pPr>
              <w:rPr>
                <w:rFonts w:ascii="Arial" w:hAnsi="Arial" w:cs="Arial"/>
              </w:rPr>
            </w:pPr>
            <w:r w:rsidRPr="00E00F13">
              <w:rPr>
                <w:rFonts w:ascii="Arial" w:hAnsi="Arial" w:cs="Arial"/>
              </w:rPr>
              <w:t>Alta</w:t>
            </w:r>
          </w:p>
        </w:tc>
      </w:tr>
      <w:tr w:rsidR="00BF6D17" w:rsidRPr="00E00F13" w14:paraId="12FA2EFB" w14:textId="77777777" w:rsidTr="00E12BF3">
        <w:trPr>
          <w:tblCellSpacing w:w="15" w:type="dxa"/>
        </w:trPr>
        <w:tc>
          <w:tcPr>
            <w:tcW w:w="0" w:type="auto"/>
            <w:vAlign w:val="center"/>
            <w:hideMark/>
          </w:tcPr>
          <w:p w14:paraId="5D42DFB2" w14:textId="77777777" w:rsidR="00BF6D17" w:rsidRPr="00E00F13" w:rsidRDefault="00BF6D17">
            <w:pPr>
              <w:rPr>
                <w:rFonts w:ascii="Arial" w:hAnsi="Arial" w:cs="Arial"/>
              </w:rPr>
            </w:pPr>
            <w:r w:rsidRPr="00E00F13">
              <w:rPr>
                <w:rFonts w:ascii="Arial" w:hAnsi="Arial" w:cs="Arial"/>
              </w:rPr>
              <w:t>Fortalecer capacidades territoriales mediante formación</w:t>
            </w:r>
          </w:p>
        </w:tc>
        <w:tc>
          <w:tcPr>
            <w:tcW w:w="0" w:type="auto"/>
            <w:vAlign w:val="center"/>
            <w:hideMark/>
          </w:tcPr>
          <w:p w14:paraId="698C8B86" w14:textId="77777777" w:rsidR="00BF6D17" w:rsidRPr="00E00F13" w:rsidRDefault="00BF6D17">
            <w:pPr>
              <w:rPr>
                <w:rFonts w:ascii="Arial" w:hAnsi="Arial" w:cs="Arial"/>
              </w:rPr>
            </w:pPr>
            <w:r w:rsidRPr="00E00F13">
              <w:rPr>
                <w:rFonts w:ascii="Arial" w:hAnsi="Arial" w:cs="Arial"/>
              </w:rPr>
              <w:t>Técnico</w:t>
            </w:r>
          </w:p>
        </w:tc>
        <w:tc>
          <w:tcPr>
            <w:tcW w:w="0" w:type="auto"/>
            <w:vAlign w:val="center"/>
            <w:hideMark/>
          </w:tcPr>
          <w:p w14:paraId="4FD1880B" w14:textId="77777777" w:rsidR="00BF6D17" w:rsidRPr="00E00F13" w:rsidRDefault="00BF6D17">
            <w:pPr>
              <w:rPr>
                <w:rFonts w:ascii="Arial" w:hAnsi="Arial" w:cs="Arial"/>
              </w:rPr>
            </w:pPr>
            <w:r w:rsidRPr="00E00F13">
              <w:rPr>
                <w:rFonts w:ascii="Arial" w:hAnsi="Arial" w:cs="Arial"/>
              </w:rPr>
              <w:t>Dirección de Capacidades Territoriales</w:t>
            </w:r>
          </w:p>
        </w:tc>
        <w:tc>
          <w:tcPr>
            <w:tcW w:w="0" w:type="auto"/>
            <w:vAlign w:val="center"/>
            <w:hideMark/>
          </w:tcPr>
          <w:p w14:paraId="345CEB35" w14:textId="77777777" w:rsidR="00BF6D17" w:rsidRPr="00E00F13" w:rsidRDefault="00BF6D17">
            <w:pPr>
              <w:rPr>
                <w:rFonts w:ascii="Arial" w:hAnsi="Arial" w:cs="Arial"/>
              </w:rPr>
            </w:pPr>
            <w:r w:rsidRPr="00E00F13">
              <w:rPr>
                <w:rFonts w:ascii="Arial" w:hAnsi="Arial" w:cs="Arial"/>
              </w:rPr>
              <w:t>Requerimientos territoriales</w:t>
            </w:r>
          </w:p>
        </w:tc>
        <w:tc>
          <w:tcPr>
            <w:tcW w:w="0" w:type="auto"/>
            <w:vAlign w:val="center"/>
            <w:hideMark/>
          </w:tcPr>
          <w:p w14:paraId="6BB82898" w14:textId="77777777" w:rsidR="00BF6D17" w:rsidRPr="00E00F13" w:rsidRDefault="00BF6D17">
            <w:pPr>
              <w:rPr>
                <w:rFonts w:ascii="Arial" w:hAnsi="Arial" w:cs="Arial"/>
              </w:rPr>
            </w:pPr>
            <w:r w:rsidRPr="00E00F13">
              <w:rPr>
                <w:rFonts w:ascii="Arial" w:hAnsi="Arial" w:cs="Arial"/>
              </w:rPr>
              <w:t>Media</w:t>
            </w:r>
          </w:p>
        </w:tc>
      </w:tr>
      <w:tr w:rsidR="00BF6D17" w:rsidRPr="00E00F13" w14:paraId="1C9C0CBA" w14:textId="77777777" w:rsidTr="00E12BF3">
        <w:trPr>
          <w:tblCellSpacing w:w="15" w:type="dxa"/>
        </w:trPr>
        <w:tc>
          <w:tcPr>
            <w:tcW w:w="0" w:type="auto"/>
            <w:vAlign w:val="center"/>
            <w:hideMark/>
          </w:tcPr>
          <w:p w14:paraId="22E90C0E" w14:textId="77777777" w:rsidR="00BF6D17" w:rsidRPr="00E00F13" w:rsidRDefault="00BF6D17">
            <w:pPr>
              <w:rPr>
                <w:rFonts w:ascii="Arial" w:hAnsi="Arial" w:cs="Arial"/>
              </w:rPr>
            </w:pPr>
            <w:r w:rsidRPr="00E00F13">
              <w:rPr>
                <w:rFonts w:ascii="Arial" w:hAnsi="Arial" w:cs="Arial"/>
              </w:rPr>
              <w:t>Integrar el enfoque en los sistemas de seguimiento</w:t>
            </w:r>
          </w:p>
        </w:tc>
        <w:tc>
          <w:tcPr>
            <w:tcW w:w="0" w:type="auto"/>
            <w:vAlign w:val="center"/>
            <w:hideMark/>
          </w:tcPr>
          <w:p w14:paraId="618049C1" w14:textId="77777777" w:rsidR="00BF6D17" w:rsidRPr="00E00F13" w:rsidRDefault="00BF6D17">
            <w:pPr>
              <w:rPr>
                <w:rFonts w:ascii="Arial" w:hAnsi="Arial" w:cs="Arial"/>
              </w:rPr>
            </w:pPr>
            <w:r w:rsidRPr="00E00F13">
              <w:rPr>
                <w:rFonts w:ascii="Arial" w:hAnsi="Arial" w:cs="Arial"/>
              </w:rPr>
              <w:t>Técnico</w:t>
            </w:r>
          </w:p>
        </w:tc>
        <w:tc>
          <w:tcPr>
            <w:tcW w:w="0" w:type="auto"/>
            <w:vAlign w:val="center"/>
            <w:hideMark/>
          </w:tcPr>
          <w:p w14:paraId="119A54B2" w14:textId="77777777" w:rsidR="00BF6D17" w:rsidRPr="00E00F13" w:rsidRDefault="00BF6D17">
            <w:pPr>
              <w:rPr>
                <w:rFonts w:ascii="Arial" w:hAnsi="Arial" w:cs="Arial"/>
              </w:rPr>
            </w:pPr>
            <w:r w:rsidRPr="00E00F13">
              <w:rPr>
                <w:rFonts w:ascii="Arial" w:hAnsi="Arial" w:cs="Arial"/>
              </w:rPr>
              <w:t>Dirección de Planeación</w:t>
            </w:r>
          </w:p>
        </w:tc>
        <w:tc>
          <w:tcPr>
            <w:tcW w:w="0" w:type="auto"/>
            <w:vAlign w:val="center"/>
            <w:hideMark/>
          </w:tcPr>
          <w:p w14:paraId="68AFF37F" w14:textId="77777777" w:rsidR="00BF6D17" w:rsidRPr="00E00F13" w:rsidRDefault="00BF6D17">
            <w:pPr>
              <w:rPr>
                <w:rFonts w:ascii="Arial" w:hAnsi="Arial" w:cs="Arial"/>
              </w:rPr>
            </w:pPr>
            <w:r w:rsidRPr="00E00F13">
              <w:rPr>
                <w:rFonts w:ascii="Arial" w:hAnsi="Arial" w:cs="Arial"/>
              </w:rPr>
              <w:t>Evaluaciones previas</w:t>
            </w:r>
          </w:p>
        </w:tc>
        <w:tc>
          <w:tcPr>
            <w:tcW w:w="0" w:type="auto"/>
            <w:vAlign w:val="center"/>
            <w:hideMark/>
          </w:tcPr>
          <w:p w14:paraId="411D503D" w14:textId="77777777" w:rsidR="00BF6D17" w:rsidRPr="00E00F13" w:rsidRDefault="00BF6D17">
            <w:pPr>
              <w:rPr>
                <w:rFonts w:ascii="Arial" w:hAnsi="Arial" w:cs="Arial"/>
              </w:rPr>
            </w:pPr>
            <w:r w:rsidRPr="00E00F13">
              <w:rPr>
                <w:rFonts w:ascii="Arial" w:hAnsi="Arial" w:cs="Arial"/>
              </w:rPr>
              <w:t>Media</w:t>
            </w:r>
          </w:p>
        </w:tc>
      </w:tr>
    </w:tbl>
    <w:p w14:paraId="1BB854B1" w14:textId="5531F1DF" w:rsidR="00BF6D17" w:rsidRPr="00E00F13" w:rsidRDefault="00BF6D17" w:rsidP="00F338F1">
      <w:pPr>
        <w:spacing w:after="0" w:line="360" w:lineRule="auto"/>
        <w:jc w:val="both"/>
        <w:rPr>
          <w:rFonts w:ascii="Arial" w:hAnsi="Arial" w:cs="Arial"/>
          <w:sz w:val="24"/>
          <w:szCs w:val="24"/>
        </w:rPr>
      </w:pPr>
    </w:p>
    <w:p w14:paraId="6A3A753F" w14:textId="77777777" w:rsidR="00057B62" w:rsidRPr="00E00F13" w:rsidRDefault="00057B62" w:rsidP="00057B62">
      <w:pPr>
        <w:spacing w:after="0" w:line="360" w:lineRule="auto"/>
        <w:jc w:val="both"/>
      </w:pPr>
    </w:p>
    <w:p w14:paraId="5FB0DCCF" w14:textId="335FF2E6" w:rsidR="00057B62" w:rsidRPr="00E00F13" w:rsidRDefault="00B9301C" w:rsidP="00F5469C">
      <w:pPr>
        <w:pStyle w:val="Ttulo3"/>
        <w:rPr>
          <w:rFonts w:ascii="Arial" w:hAnsi="Arial" w:cs="Arial"/>
          <w:color w:val="auto"/>
        </w:rPr>
      </w:pPr>
      <w:bookmarkStart w:id="127" w:name="_Toc234242850"/>
      <w:r w:rsidRPr="00E00F13">
        <w:rPr>
          <w:color w:val="auto"/>
        </w:rPr>
        <w:t>2.</w:t>
      </w:r>
      <w:r w:rsidR="003A01CD" w:rsidRPr="00E00F13">
        <w:rPr>
          <w:color w:val="auto"/>
        </w:rPr>
        <w:t>8</w:t>
      </w:r>
      <w:r w:rsidRPr="00E00F13">
        <w:rPr>
          <w:color w:val="auto"/>
        </w:rPr>
        <w:t>.</w:t>
      </w:r>
      <w:r w:rsidR="00902401" w:rsidRPr="00E00F13">
        <w:rPr>
          <w:color w:val="auto"/>
        </w:rPr>
        <w:t>6</w:t>
      </w:r>
      <w:r w:rsidRPr="00E00F13">
        <w:rPr>
          <w:color w:val="auto"/>
        </w:rPr>
        <w:t xml:space="preserve">. </w:t>
      </w:r>
      <w:r w:rsidR="00057B62" w:rsidRPr="00E00F13">
        <w:rPr>
          <w:color w:val="auto"/>
        </w:rPr>
        <w:t>E</w:t>
      </w:r>
      <w:r w:rsidRPr="00E00F13">
        <w:rPr>
          <w:color w:val="auto"/>
        </w:rPr>
        <w:t>l e</w:t>
      </w:r>
      <w:r w:rsidR="00057B62" w:rsidRPr="00E00F13">
        <w:rPr>
          <w:color w:val="auto"/>
        </w:rPr>
        <w:t>nfoque territorial</w:t>
      </w:r>
      <w:bookmarkEnd w:id="127"/>
      <w:r w:rsidR="00057B62" w:rsidRPr="00E00F13">
        <w:rPr>
          <w:rFonts w:ascii="Arial" w:hAnsi="Arial" w:cs="Arial"/>
          <w:color w:val="auto"/>
        </w:rPr>
        <w:t xml:space="preserve"> </w:t>
      </w:r>
    </w:p>
    <w:p w14:paraId="1F13D2C2" w14:textId="07864083" w:rsidR="00057B62" w:rsidRPr="00E00F13" w:rsidRDefault="00F5469C" w:rsidP="00B9301C">
      <w:pPr>
        <w:pStyle w:val="Ttulo3"/>
        <w:rPr>
          <w:color w:val="auto"/>
        </w:rPr>
      </w:pPr>
      <w:r w:rsidRPr="00E00F13">
        <w:rPr>
          <w:color w:val="auto"/>
        </w:rPr>
        <w:tab/>
      </w:r>
      <w:bookmarkStart w:id="128" w:name="_Toc234242851"/>
      <w:r w:rsidR="00057B62" w:rsidRPr="00E00F13">
        <w:rPr>
          <w:color w:val="auto"/>
        </w:rPr>
        <w:t>Qué es el enfoque territorial</w:t>
      </w:r>
      <w:bookmarkEnd w:id="128"/>
      <w:r w:rsidR="00057B62" w:rsidRPr="00E00F13">
        <w:rPr>
          <w:color w:val="auto"/>
        </w:rPr>
        <w:t xml:space="preserve"> </w:t>
      </w:r>
    </w:p>
    <w:p w14:paraId="568922FC" w14:textId="77777777" w:rsidR="00057B62" w:rsidRPr="00E00F13" w:rsidRDefault="00057B62" w:rsidP="00057B62">
      <w:pPr>
        <w:spacing w:after="0" w:line="360" w:lineRule="auto"/>
        <w:jc w:val="both"/>
        <w:rPr>
          <w:rFonts w:ascii="Arial" w:hAnsi="Arial" w:cs="Arial"/>
          <w:sz w:val="24"/>
          <w:szCs w:val="24"/>
        </w:rPr>
      </w:pPr>
      <w:r w:rsidRPr="00E00F13">
        <w:rPr>
          <w:rFonts w:ascii="Arial" w:hAnsi="Arial" w:cs="Arial"/>
          <w:sz w:val="24"/>
          <w:szCs w:val="24"/>
        </w:rPr>
        <w:t xml:space="preserve">El enfoque territorial es una forma de orientar la política pública desde la realidad de los territorios, integrando datos con saberes locales, priorizando la participación de las comunidades rurales y adaptando las intervenciones a las dinámicas sociales, históricas y geográficas específicas de cada región tanto en materia de agua como de vivienda (urbana y rural). </w:t>
      </w:r>
    </w:p>
    <w:p w14:paraId="660FF476" w14:textId="77777777" w:rsidR="00057B62" w:rsidRPr="00E00F13" w:rsidRDefault="00057B62" w:rsidP="00057B62">
      <w:pPr>
        <w:spacing w:after="0" w:line="360" w:lineRule="auto"/>
        <w:jc w:val="both"/>
        <w:rPr>
          <w:rFonts w:ascii="Arial" w:hAnsi="Arial" w:cs="Arial"/>
          <w:sz w:val="24"/>
          <w:szCs w:val="24"/>
        </w:rPr>
      </w:pPr>
    </w:p>
    <w:p w14:paraId="1699D903" w14:textId="531FEDEF" w:rsidR="00057B62" w:rsidRPr="00E00F13" w:rsidRDefault="00057B62" w:rsidP="3C9BA45B">
      <w:pPr>
        <w:spacing w:after="0" w:line="360" w:lineRule="auto"/>
        <w:jc w:val="both"/>
        <w:rPr>
          <w:rFonts w:ascii="Arial" w:hAnsi="Arial" w:cs="Arial"/>
          <w:sz w:val="24"/>
          <w:szCs w:val="24"/>
        </w:rPr>
      </w:pPr>
      <w:r w:rsidRPr="00E00F13">
        <w:rPr>
          <w:rFonts w:ascii="Arial" w:hAnsi="Arial" w:cs="Arial"/>
          <w:sz w:val="24"/>
          <w:szCs w:val="24"/>
        </w:rPr>
        <w:t xml:space="preserve">El enfoque territorial </w:t>
      </w:r>
      <w:r w:rsidR="005D16B5" w:rsidRPr="00E00F13">
        <w:rPr>
          <w:rFonts w:ascii="Arial" w:hAnsi="Arial" w:cs="Arial"/>
          <w:sz w:val="24"/>
          <w:szCs w:val="24"/>
        </w:rPr>
        <w:t>va más allá de</w:t>
      </w:r>
      <w:r w:rsidRPr="00E00F13">
        <w:rPr>
          <w:rFonts w:ascii="Arial" w:hAnsi="Arial" w:cs="Arial"/>
          <w:sz w:val="24"/>
          <w:szCs w:val="24"/>
        </w:rPr>
        <w:t xml:space="preserve"> simplemente identificar en qué lugares hay mayor déficit o necesidades por medio de cifras, sino </w:t>
      </w:r>
      <w:r w:rsidR="005D16B5" w:rsidRPr="00E00F13">
        <w:rPr>
          <w:rFonts w:ascii="Arial" w:hAnsi="Arial" w:cs="Arial"/>
          <w:sz w:val="24"/>
          <w:szCs w:val="24"/>
        </w:rPr>
        <w:t xml:space="preserve">que </w:t>
      </w:r>
      <w:r w:rsidRPr="00E00F13">
        <w:rPr>
          <w:rFonts w:ascii="Arial" w:hAnsi="Arial" w:cs="Arial"/>
          <w:sz w:val="24"/>
          <w:szCs w:val="24"/>
        </w:rPr>
        <w:t>comprende, incorpora y act</w:t>
      </w:r>
      <w:r w:rsidR="00E353B7" w:rsidRPr="00E00F13">
        <w:rPr>
          <w:rFonts w:ascii="Arial" w:hAnsi="Arial" w:cs="Arial"/>
          <w:sz w:val="24"/>
          <w:szCs w:val="24"/>
        </w:rPr>
        <w:t>ú</w:t>
      </w:r>
      <w:r w:rsidRPr="00E00F13">
        <w:rPr>
          <w:rFonts w:ascii="Arial" w:hAnsi="Arial" w:cs="Arial"/>
          <w:sz w:val="24"/>
          <w:szCs w:val="24"/>
        </w:rPr>
        <w:t xml:space="preserve">a sobre las realidades sociales, históricas, políticas y geográficas de los territorios. Es una manera de diseñar y ejecutar políticas públicas que parte del reconocimiento de la diversidad, la dinámica y la complejidad de los territorios y que pone en el centro a las comunidades organizadas como actores legítimos de decisión. </w:t>
      </w:r>
    </w:p>
    <w:p w14:paraId="405BF23B" w14:textId="79189312" w:rsidR="00057B62" w:rsidRPr="00E00F13" w:rsidRDefault="00057B62" w:rsidP="3C9BA45B">
      <w:pPr>
        <w:spacing w:after="0" w:line="360" w:lineRule="auto"/>
        <w:jc w:val="both"/>
        <w:rPr>
          <w:rFonts w:ascii="Arial" w:hAnsi="Arial" w:cs="Arial"/>
          <w:sz w:val="24"/>
          <w:szCs w:val="24"/>
        </w:rPr>
      </w:pPr>
    </w:p>
    <w:p w14:paraId="6D7A8196" w14:textId="1FA22886" w:rsidR="00057B62" w:rsidRPr="00E00F13" w:rsidRDefault="0D7AF87D" w:rsidP="3C9BA45B">
      <w:pPr>
        <w:spacing w:after="0" w:line="360" w:lineRule="auto"/>
        <w:jc w:val="both"/>
        <w:rPr>
          <w:rFonts w:ascii="Arial" w:hAnsi="Arial" w:cs="Arial"/>
          <w:sz w:val="24"/>
          <w:szCs w:val="24"/>
        </w:rPr>
      </w:pPr>
      <w:r w:rsidRPr="00E00F13">
        <w:rPr>
          <w:rFonts w:ascii="Arial" w:eastAsia="Arial" w:hAnsi="Arial" w:cs="Arial"/>
          <w:sz w:val="24"/>
          <w:szCs w:val="24"/>
        </w:rPr>
        <w:t xml:space="preserve">Fue necesario construir una aproximación diferenciada a las agendas territoriales de las distintas regiones en materia de vivienda y agua, lo cual definió para el MVCT no solo una nueva ruta de trabajo, sino también una forma sustantivamente distinta de intervención. Este tránsito implicó pasar de un modelo centrado en el </w:t>
      </w:r>
      <w:r w:rsidRPr="00E00F13">
        <w:rPr>
          <w:rFonts w:ascii="Arial" w:eastAsia="Arial" w:hAnsi="Arial" w:cs="Arial"/>
          <w:sz w:val="24"/>
          <w:szCs w:val="24"/>
        </w:rPr>
        <w:lastRenderedPageBreak/>
        <w:t xml:space="preserve">relacionamiento con el sector bancario y las grandes empresas constructoras, hacia un enfoque de trabajo desde, con y para las comunidades organizadas, reconociéndolas como actores centrales en la formulación, ejecución y sostenibilidad de las soluciones habitacionales y de acceso al agua. </w:t>
      </w:r>
    </w:p>
    <w:p w14:paraId="7724BEDE" w14:textId="0A5A5190" w:rsidR="00057B62" w:rsidRPr="00E00F13" w:rsidRDefault="00057B62" w:rsidP="3C9BA45B">
      <w:pPr>
        <w:spacing w:after="0" w:line="360" w:lineRule="auto"/>
        <w:jc w:val="both"/>
        <w:rPr>
          <w:rFonts w:ascii="Arial" w:hAnsi="Arial" w:cs="Arial"/>
          <w:sz w:val="24"/>
          <w:szCs w:val="24"/>
        </w:rPr>
      </w:pPr>
    </w:p>
    <w:p w14:paraId="57BB30A0" w14:textId="77777777" w:rsidR="00057B62" w:rsidRPr="00E00F13" w:rsidRDefault="00057B62" w:rsidP="00057B62">
      <w:pPr>
        <w:spacing w:after="0" w:line="360" w:lineRule="auto"/>
        <w:jc w:val="both"/>
        <w:rPr>
          <w:rFonts w:ascii="Arial" w:hAnsi="Arial" w:cs="Arial"/>
          <w:sz w:val="24"/>
          <w:szCs w:val="24"/>
        </w:rPr>
      </w:pPr>
      <w:r w:rsidRPr="00E00F13">
        <w:rPr>
          <w:rFonts w:ascii="Arial" w:hAnsi="Arial" w:cs="Arial"/>
          <w:sz w:val="24"/>
          <w:szCs w:val="24"/>
        </w:rPr>
        <w:t>Este enfoque reconoce que:</w:t>
      </w:r>
    </w:p>
    <w:p w14:paraId="43454C35" w14:textId="77777777" w:rsidR="00057B62" w:rsidRPr="00E00F13" w:rsidRDefault="00057B62" w:rsidP="005E33C6">
      <w:pPr>
        <w:numPr>
          <w:ilvl w:val="0"/>
          <w:numId w:val="6"/>
        </w:numPr>
        <w:spacing w:after="0" w:line="360" w:lineRule="auto"/>
        <w:jc w:val="both"/>
        <w:rPr>
          <w:rFonts w:ascii="Arial" w:hAnsi="Arial" w:cs="Arial"/>
          <w:sz w:val="24"/>
          <w:szCs w:val="24"/>
        </w:rPr>
      </w:pPr>
      <w:r w:rsidRPr="00E00F13">
        <w:rPr>
          <w:rFonts w:ascii="Arial" w:hAnsi="Arial" w:cs="Arial"/>
          <w:sz w:val="24"/>
          <w:szCs w:val="24"/>
        </w:rPr>
        <w:t>Los territorios son diversos: tienen condiciones geográficas, sociales, culturales y económicas distintas.</w:t>
      </w:r>
    </w:p>
    <w:p w14:paraId="54895E2D" w14:textId="77777777" w:rsidR="00057B62" w:rsidRPr="00E00F13" w:rsidRDefault="00057B62" w:rsidP="005E33C6">
      <w:pPr>
        <w:numPr>
          <w:ilvl w:val="0"/>
          <w:numId w:val="6"/>
        </w:numPr>
        <w:spacing w:after="0" w:line="360" w:lineRule="auto"/>
        <w:jc w:val="both"/>
        <w:rPr>
          <w:rFonts w:ascii="Arial" w:hAnsi="Arial" w:cs="Arial"/>
          <w:sz w:val="24"/>
          <w:szCs w:val="24"/>
        </w:rPr>
      </w:pPr>
      <w:r w:rsidRPr="00E00F13">
        <w:rPr>
          <w:rFonts w:ascii="Arial" w:hAnsi="Arial" w:cs="Arial"/>
          <w:sz w:val="24"/>
          <w:szCs w:val="24"/>
        </w:rPr>
        <w:t>Las necesidades no son estáticas: cambian en función de procesos sociales, movilizaciones, conflictos, retornos poblacionales y demandas históricas de reparación, entre otros.</w:t>
      </w:r>
    </w:p>
    <w:p w14:paraId="34EEC4C8" w14:textId="77777777" w:rsidR="00057B62" w:rsidRPr="00E00F13" w:rsidRDefault="00057B62" w:rsidP="005E33C6">
      <w:pPr>
        <w:numPr>
          <w:ilvl w:val="0"/>
          <w:numId w:val="6"/>
        </w:numPr>
        <w:spacing w:after="0" w:line="360" w:lineRule="auto"/>
        <w:jc w:val="both"/>
        <w:rPr>
          <w:rFonts w:ascii="Arial" w:hAnsi="Arial" w:cs="Arial"/>
          <w:sz w:val="24"/>
          <w:szCs w:val="24"/>
        </w:rPr>
      </w:pPr>
      <w:r w:rsidRPr="00E00F13">
        <w:rPr>
          <w:rFonts w:ascii="Arial" w:hAnsi="Arial" w:cs="Arial"/>
          <w:sz w:val="24"/>
          <w:szCs w:val="24"/>
        </w:rPr>
        <w:t>Las decisiones de política pública deben incorporar la voz y visión de las comunidades rurales y urbanas.</w:t>
      </w:r>
    </w:p>
    <w:p w14:paraId="46FFFDBB" w14:textId="77777777" w:rsidR="00057B62" w:rsidRPr="00E00F13" w:rsidRDefault="00057B62" w:rsidP="005E33C6">
      <w:pPr>
        <w:numPr>
          <w:ilvl w:val="0"/>
          <w:numId w:val="6"/>
        </w:numPr>
        <w:spacing w:after="0" w:line="360" w:lineRule="auto"/>
        <w:jc w:val="both"/>
        <w:rPr>
          <w:rFonts w:ascii="Arial" w:hAnsi="Arial" w:cs="Arial"/>
          <w:sz w:val="24"/>
          <w:szCs w:val="24"/>
        </w:rPr>
      </w:pPr>
      <w:r w:rsidRPr="00E00F13">
        <w:rPr>
          <w:rFonts w:ascii="Arial" w:hAnsi="Arial" w:cs="Arial"/>
          <w:sz w:val="24"/>
          <w:szCs w:val="24"/>
        </w:rPr>
        <w:t>Las cifras por sí solas no explican la complejidad territorial y pueden llevar a errores graves si no se complementan con el conocimiento local.</w:t>
      </w:r>
    </w:p>
    <w:p w14:paraId="70461191" w14:textId="77777777" w:rsidR="00B9301C" w:rsidRPr="00E00F13" w:rsidRDefault="00B9301C" w:rsidP="00B9301C">
      <w:pPr>
        <w:spacing w:after="0" w:line="360" w:lineRule="auto"/>
        <w:jc w:val="both"/>
        <w:rPr>
          <w:rFonts w:ascii="Arial" w:hAnsi="Arial" w:cs="Arial"/>
          <w:b/>
          <w:bCs/>
          <w:i/>
          <w:iCs/>
          <w:sz w:val="24"/>
          <w:szCs w:val="24"/>
        </w:rPr>
      </w:pPr>
    </w:p>
    <w:p w14:paraId="07380463" w14:textId="2C48FFB3" w:rsidR="00057B62" w:rsidRPr="00E00F13" w:rsidRDefault="00F5469C" w:rsidP="00B9301C">
      <w:pPr>
        <w:pStyle w:val="Ttulo3"/>
        <w:rPr>
          <w:color w:val="auto"/>
        </w:rPr>
      </w:pPr>
      <w:r w:rsidRPr="00E00F13">
        <w:rPr>
          <w:color w:val="auto"/>
        </w:rPr>
        <w:tab/>
      </w:r>
      <w:bookmarkStart w:id="129" w:name="_Toc234242852"/>
      <w:r w:rsidR="00057B62" w:rsidRPr="00E00F13">
        <w:rPr>
          <w:color w:val="auto"/>
        </w:rPr>
        <w:t>Cómo se desarrolla el Enfoque Territorial</w:t>
      </w:r>
      <w:bookmarkEnd w:id="129"/>
    </w:p>
    <w:p w14:paraId="0B0CEC5C" w14:textId="77777777" w:rsidR="00057B62" w:rsidRPr="00E00F13" w:rsidRDefault="00057B62" w:rsidP="00057B62">
      <w:pPr>
        <w:spacing w:after="0" w:line="360" w:lineRule="auto"/>
        <w:jc w:val="both"/>
        <w:rPr>
          <w:rFonts w:ascii="Arial" w:hAnsi="Arial" w:cs="Arial"/>
          <w:sz w:val="24"/>
          <w:szCs w:val="24"/>
        </w:rPr>
      </w:pPr>
      <w:r w:rsidRPr="00E00F13">
        <w:rPr>
          <w:rFonts w:ascii="Arial" w:hAnsi="Arial" w:cs="Arial"/>
          <w:sz w:val="24"/>
          <w:szCs w:val="24"/>
        </w:rPr>
        <w:t>Se desarrolla mediante la focalización integral, el diálogo social, la actualización constante de prioridades y modelos flexibles de ejecución y articulación. La confianza es un recurso político que se construye con presencia, diálogo y coherencia, pero, principalmente, con honestidad, para no generar faltas expectativas.</w:t>
      </w:r>
    </w:p>
    <w:p w14:paraId="09D44736" w14:textId="77777777" w:rsidR="00057B62" w:rsidRPr="00E00F13" w:rsidRDefault="00057B62" w:rsidP="00057B62">
      <w:pPr>
        <w:spacing w:after="0" w:line="360" w:lineRule="auto"/>
        <w:jc w:val="both"/>
        <w:rPr>
          <w:rFonts w:ascii="Arial" w:hAnsi="Arial" w:cs="Arial"/>
          <w:sz w:val="24"/>
          <w:szCs w:val="24"/>
        </w:rPr>
      </w:pPr>
    </w:p>
    <w:p w14:paraId="2FBCA887" w14:textId="77777777" w:rsidR="00057B62" w:rsidRPr="00E00F13" w:rsidRDefault="00057B62" w:rsidP="00057B62">
      <w:pPr>
        <w:spacing w:after="0" w:line="360" w:lineRule="auto"/>
        <w:jc w:val="both"/>
        <w:rPr>
          <w:rFonts w:ascii="Arial" w:hAnsi="Arial" w:cs="Arial"/>
          <w:sz w:val="24"/>
          <w:szCs w:val="24"/>
        </w:rPr>
      </w:pPr>
      <w:r w:rsidRPr="00E00F13">
        <w:rPr>
          <w:rFonts w:ascii="Arial" w:hAnsi="Arial" w:cs="Arial"/>
          <w:sz w:val="24"/>
          <w:szCs w:val="24"/>
        </w:rPr>
        <w:t xml:space="preserve">Los criterios de focalización son integrales. Lo que quiere decir que parten de información tanto cuantitativa como cualitativa. Es por ello </w:t>
      </w:r>
      <w:proofErr w:type="gramStart"/>
      <w:r w:rsidRPr="00E00F13">
        <w:rPr>
          <w:rFonts w:ascii="Arial" w:hAnsi="Arial" w:cs="Arial"/>
          <w:sz w:val="24"/>
          <w:szCs w:val="24"/>
        </w:rPr>
        <w:t>que</w:t>
      </w:r>
      <w:proofErr w:type="gramEnd"/>
      <w:r w:rsidRPr="00E00F13">
        <w:rPr>
          <w:rFonts w:ascii="Arial" w:hAnsi="Arial" w:cs="Arial"/>
          <w:sz w:val="24"/>
          <w:szCs w:val="24"/>
        </w:rPr>
        <w:t xml:space="preserve"> no basta con usar indicadores de déficit o pobreza. Se deben incluir variables como:</w:t>
      </w:r>
    </w:p>
    <w:p w14:paraId="739A0893" w14:textId="77777777" w:rsidR="00057B62" w:rsidRPr="00E00F13" w:rsidRDefault="00057B62" w:rsidP="005E33C6">
      <w:pPr>
        <w:numPr>
          <w:ilvl w:val="0"/>
          <w:numId w:val="7"/>
        </w:numPr>
        <w:spacing w:after="0" w:line="360" w:lineRule="auto"/>
        <w:jc w:val="both"/>
        <w:rPr>
          <w:rFonts w:ascii="Arial" w:hAnsi="Arial" w:cs="Arial"/>
          <w:sz w:val="24"/>
          <w:szCs w:val="24"/>
        </w:rPr>
      </w:pPr>
      <w:r w:rsidRPr="00E00F13">
        <w:rPr>
          <w:rFonts w:ascii="Arial" w:hAnsi="Arial" w:cs="Arial"/>
          <w:sz w:val="24"/>
          <w:szCs w:val="24"/>
        </w:rPr>
        <w:t>accesibilidad</w:t>
      </w:r>
    </w:p>
    <w:p w14:paraId="7747DED1" w14:textId="77777777" w:rsidR="00057B62" w:rsidRPr="00E00F13" w:rsidRDefault="00057B62" w:rsidP="005E33C6">
      <w:pPr>
        <w:numPr>
          <w:ilvl w:val="0"/>
          <w:numId w:val="7"/>
        </w:numPr>
        <w:spacing w:after="0" w:line="360" w:lineRule="auto"/>
        <w:jc w:val="both"/>
        <w:rPr>
          <w:rFonts w:ascii="Arial" w:hAnsi="Arial" w:cs="Arial"/>
          <w:sz w:val="24"/>
          <w:szCs w:val="24"/>
        </w:rPr>
      </w:pPr>
      <w:r w:rsidRPr="00E00F13">
        <w:rPr>
          <w:rFonts w:ascii="Arial" w:hAnsi="Arial" w:cs="Arial"/>
          <w:sz w:val="24"/>
          <w:szCs w:val="24"/>
        </w:rPr>
        <w:t>conflictividad</w:t>
      </w:r>
    </w:p>
    <w:p w14:paraId="1B3BFC07" w14:textId="77777777" w:rsidR="00057B62" w:rsidRPr="00E00F13" w:rsidRDefault="00057B62" w:rsidP="005E33C6">
      <w:pPr>
        <w:numPr>
          <w:ilvl w:val="0"/>
          <w:numId w:val="7"/>
        </w:numPr>
        <w:spacing w:after="0" w:line="360" w:lineRule="auto"/>
        <w:jc w:val="both"/>
        <w:rPr>
          <w:rFonts w:ascii="Arial" w:hAnsi="Arial" w:cs="Arial"/>
          <w:sz w:val="24"/>
          <w:szCs w:val="24"/>
        </w:rPr>
      </w:pPr>
      <w:r w:rsidRPr="00E00F13">
        <w:rPr>
          <w:rFonts w:ascii="Arial" w:hAnsi="Arial" w:cs="Arial"/>
          <w:sz w:val="24"/>
          <w:szCs w:val="24"/>
        </w:rPr>
        <w:t>rezagos históricos</w:t>
      </w:r>
    </w:p>
    <w:p w14:paraId="67405502" w14:textId="77777777" w:rsidR="00057B62" w:rsidRPr="00E00F13" w:rsidRDefault="00057B62" w:rsidP="005E33C6">
      <w:pPr>
        <w:numPr>
          <w:ilvl w:val="0"/>
          <w:numId w:val="7"/>
        </w:numPr>
        <w:spacing w:after="0" w:line="360" w:lineRule="auto"/>
        <w:jc w:val="both"/>
        <w:rPr>
          <w:rFonts w:ascii="Arial" w:hAnsi="Arial" w:cs="Arial"/>
          <w:sz w:val="24"/>
          <w:szCs w:val="24"/>
        </w:rPr>
      </w:pPr>
      <w:r w:rsidRPr="00E00F13">
        <w:rPr>
          <w:rFonts w:ascii="Arial" w:hAnsi="Arial" w:cs="Arial"/>
          <w:sz w:val="24"/>
          <w:szCs w:val="24"/>
        </w:rPr>
        <w:t>niveles de afectación por el conflicto armado</w:t>
      </w:r>
    </w:p>
    <w:p w14:paraId="2A0A1DF9" w14:textId="77777777" w:rsidR="00057B62" w:rsidRPr="00E00F13" w:rsidRDefault="00057B62" w:rsidP="005E33C6">
      <w:pPr>
        <w:numPr>
          <w:ilvl w:val="0"/>
          <w:numId w:val="7"/>
        </w:numPr>
        <w:spacing w:after="0" w:line="360" w:lineRule="auto"/>
        <w:jc w:val="both"/>
        <w:rPr>
          <w:rFonts w:ascii="Arial" w:hAnsi="Arial" w:cs="Arial"/>
          <w:sz w:val="24"/>
          <w:szCs w:val="24"/>
        </w:rPr>
      </w:pPr>
      <w:r w:rsidRPr="00E00F13">
        <w:rPr>
          <w:rFonts w:ascii="Arial" w:hAnsi="Arial" w:cs="Arial"/>
          <w:sz w:val="24"/>
          <w:szCs w:val="24"/>
        </w:rPr>
        <w:t>capacidades organizativas</w:t>
      </w:r>
    </w:p>
    <w:p w14:paraId="612C90AD" w14:textId="77777777" w:rsidR="00057B62" w:rsidRPr="00E00F13" w:rsidRDefault="00057B62" w:rsidP="005E33C6">
      <w:pPr>
        <w:numPr>
          <w:ilvl w:val="0"/>
          <w:numId w:val="7"/>
        </w:numPr>
        <w:spacing w:after="0" w:line="360" w:lineRule="auto"/>
        <w:jc w:val="both"/>
        <w:rPr>
          <w:rFonts w:ascii="Arial" w:hAnsi="Arial" w:cs="Arial"/>
          <w:sz w:val="24"/>
          <w:szCs w:val="24"/>
        </w:rPr>
      </w:pPr>
      <w:r w:rsidRPr="00E00F13">
        <w:rPr>
          <w:rFonts w:ascii="Arial" w:hAnsi="Arial" w:cs="Arial"/>
          <w:sz w:val="24"/>
          <w:szCs w:val="24"/>
        </w:rPr>
        <w:lastRenderedPageBreak/>
        <w:t>demandas sociales priorizadas</w:t>
      </w:r>
    </w:p>
    <w:p w14:paraId="05B73809" w14:textId="77777777" w:rsidR="00057B62" w:rsidRPr="00E00F13" w:rsidRDefault="00057B62" w:rsidP="00BE41DB">
      <w:pPr>
        <w:spacing w:line="360" w:lineRule="auto"/>
        <w:jc w:val="both"/>
        <w:rPr>
          <w:rFonts w:ascii="Arial" w:hAnsi="Arial" w:cs="Arial"/>
          <w:sz w:val="24"/>
          <w:szCs w:val="24"/>
        </w:rPr>
      </w:pPr>
      <w:r w:rsidRPr="00E00F13">
        <w:rPr>
          <w:rFonts w:ascii="Arial" w:hAnsi="Arial" w:cs="Arial"/>
          <w:sz w:val="24"/>
          <w:szCs w:val="24"/>
        </w:rPr>
        <w:t>Estas variables permitirían corregir los sesgos de modelos puramente tecnocráticos.</w:t>
      </w:r>
    </w:p>
    <w:p w14:paraId="60ED560F" w14:textId="77777777" w:rsidR="00057B62" w:rsidRPr="00E00F13" w:rsidRDefault="00057B62" w:rsidP="00BE41DB">
      <w:pPr>
        <w:spacing w:after="0" w:line="360" w:lineRule="auto"/>
        <w:jc w:val="both"/>
        <w:rPr>
          <w:rFonts w:ascii="Arial" w:hAnsi="Arial" w:cs="Arial"/>
          <w:sz w:val="24"/>
          <w:szCs w:val="24"/>
        </w:rPr>
      </w:pPr>
      <w:r w:rsidRPr="00E00F13">
        <w:rPr>
          <w:rFonts w:ascii="Arial" w:hAnsi="Arial" w:cs="Arial"/>
          <w:sz w:val="24"/>
          <w:szCs w:val="24"/>
        </w:rPr>
        <w:t xml:space="preserve">Dentro de las características más importantes para el desarrollo del enfoque diferencial se encuentra el diálogo directo con las comunidades y sus procesos organizativos, incorporando lo que a lo largo de la historia ha surgido de los procesos de movilizaciones sociales, espacios de participación de comunidades étnicas, mesas de diálogo con distintas poblaciones, acuerdos y prioridades territoriales que se construyen con las comunidades y no </w:t>
      </w:r>
      <w:r w:rsidRPr="00E00F13">
        <w:rPr>
          <w:rFonts w:ascii="Arial" w:hAnsi="Arial" w:cs="Arial"/>
          <w:i/>
          <w:iCs/>
          <w:sz w:val="24"/>
          <w:szCs w:val="24"/>
        </w:rPr>
        <w:t>para</w:t>
      </w:r>
      <w:r w:rsidRPr="00E00F13">
        <w:rPr>
          <w:rFonts w:ascii="Arial" w:hAnsi="Arial" w:cs="Arial"/>
          <w:sz w:val="24"/>
          <w:szCs w:val="24"/>
        </w:rPr>
        <w:t xml:space="preserve"> ellas.</w:t>
      </w:r>
    </w:p>
    <w:p w14:paraId="0C0B5E69" w14:textId="77777777" w:rsidR="00057B62" w:rsidRPr="00E00F13" w:rsidRDefault="00057B62" w:rsidP="00BE41DB">
      <w:pPr>
        <w:spacing w:after="0" w:line="360" w:lineRule="auto"/>
        <w:jc w:val="both"/>
        <w:rPr>
          <w:rFonts w:ascii="Arial" w:hAnsi="Arial" w:cs="Arial"/>
          <w:sz w:val="24"/>
          <w:szCs w:val="24"/>
        </w:rPr>
      </w:pPr>
    </w:p>
    <w:p w14:paraId="2B319745" w14:textId="77777777" w:rsidR="00057B62" w:rsidRPr="00E00F13" w:rsidRDefault="00057B62" w:rsidP="00BE41DB">
      <w:pPr>
        <w:spacing w:after="0" w:line="360" w:lineRule="auto"/>
        <w:jc w:val="both"/>
        <w:rPr>
          <w:rFonts w:ascii="Arial" w:hAnsi="Arial" w:cs="Arial"/>
          <w:sz w:val="24"/>
          <w:szCs w:val="24"/>
        </w:rPr>
      </w:pPr>
      <w:r w:rsidRPr="00E00F13">
        <w:rPr>
          <w:rFonts w:ascii="Arial" w:hAnsi="Arial" w:cs="Arial"/>
          <w:sz w:val="24"/>
          <w:szCs w:val="24"/>
        </w:rPr>
        <w:t>Por su parte, la actualización constante de prioridades se refiere al reconocimiento de las dinámicas territoriales como procesos vivos. Las prioridades cambian en el tiempo. Existen nuevos desplazamientos, retornos, reivindicaciones históricas, reconfiguraciones territoriales. Por lo que el enfoque territorial exige actualizar la información y no tratar los datos como absolutos.</w:t>
      </w:r>
    </w:p>
    <w:p w14:paraId="28850397" w14:textId="77777777" w:rsidR="00057B62" w:rsidRPr="00E00F13" w:rsidRDefault="00057B62" w:rsidP="00BE41DB">
      <w:pPr>
        <w:spacing w:after="0" w:line="360" w:lineRule="auto"/>
        <w:jc w:val="both"/>
        <w:rPr>
          <w:rFonts w:ascii="Arial" w:hAnsi="Arial" w:cs="Arial"/>
          <w:sz w:val="24"/>
          <w:szCs w:val="24"/>
        </w:rPr>
      </w:pPr>
    </w:p>
    <w:p w14:paraId="11E78350" w14:textId="77777777" w:rsidR="00057B62" w:rsidRPr="00E00F13" w:rsidRDefault="00057B62" w:rsidP="00BE41DB">
      <w:pPr>
        <w:spacing w:after="0" w:line="360" w:lineRule="auto"/>
        <w:jc w:val="both"/>
        <w:rPr>
          <w:rFonts w:ascii="Arial" w:hAnsi="Arial" w:cs="Arial"/>
          <w:sz w:val="24"/>
          <w:szCs w:val="24"/>
        </w:rPr>
      </w:pPr>
      <w:r w:rsidRPr="00E00F13">
        <w:rPr>
          <w:rFonts w:ascii="Arial" w:hAnsi="Arial" w:cs="Arial"/>
          <w:sz w:val="24"/>
          <w:szCs w:val="24"/>
        </w:rPr>
        <w:t>La adaptación de los modelos de ejecución a las realidades territoriales significa que no se puede replicar el mismo modelo (por ejemplo, un solo contratista para un territorio amplio), sino que debe promoverse:</w:t>
      </w:r>
    </w:p>
    <w:p w14:paraId="79A5442A" w14:textId="77777777" w:rsidR="00057B62" w:rsidRPr="00E00F13" w:rsidRDefault="00057B62" w:rsidP="00BE41DB">
      <w:pPr>
        <w:numPr>
          <w:ilvl w:val="0"/>
          <w:numId w:val="8"/>
        </w:numPr>
        <w:spacing w:after="0" w:line="360" w:lineRule="auto"/>
        <w:jc w:val="both"/>
        <w:rPr>
          <w:rFonts w:ascii="Arial" w:hAnsi="Arial" w:cs="Arial"/>
          <w:sz w:val="24"/>
          <w:szCs w:val="24"/>
        </w:rPr>
      </w:pPr>
      <w:r w:rsidRPr="00E00F13">
        <w:rPr>
          <w:rFonts w:ascii="Arial" w:hAnsi="Arial" w:cs="Arial"/>
          <w:sz w:val="24"/>
          <w:szCs w:val="24"/>
        </w:rPr>
        <w:t>multiplicidad de ejecutores</w:t>
      </w:r>
    </w:p>
    <w:p w14:paraId="5434F0A0" w14:textId="77777777" w:rsidR="00057B62" w:rsidRPr="00E00F13" w:rsidRDefault="00057B62" w:rsidP="00BE41DB">
      <w:pPr>
        <w:numPr>
          <w:ilvl w:val="0"/>
          <w:numId w:val="8"/>
        </w:numPr>
        <w:spacing w:after="0" w:line="360" w:lineRule="auto"/>
        <w:jc w:val="both"/>
        <w:rPr>
          <w:rFonts w:ascii="Arial" w:hAnsi="Arial" w:cs="Arial"/>
          <w:sz w:val="24"/>
          <w:szCs w:val="24"/>
        </w:rPr>
      </w:pPr>
      <w:r w:rsidRPr="00E00F13">
        <w:rPr>
          <w:rFonts w:ascii="Arial" w:hAnsi="Arial" w:cs="Arial"/>
          <w:sz w:val="24"/>
          <w:szCs w:val="24"/>
        </w:rPr>
        <w:t>contratación local o territorializada</w:t>
      </w:r>
    </w:p>
    <w:p w14:paraId="0DFFFD39" w14:textId="77777777" w:rsidR="00057B62" w:rsidRPr="00E00F13" w:rsidRDefault="00057B62" w:rsidP="00BE41DB">
      <w:pPr>
        <w:numPr>
          <w:ilvl w:val="0"/>
          <w:numId w:val="8"/>
        </w:numPr>
        <w:spacing w:after="0" w:line="360" w:lineRule="auto"/>
        <w:jc w:val="both"/>
        <w:rPr>
          <w:rFonts w:ascii="Arial" w:hAnsi="Arial" w:cs="Arial"/>
          <w:sz w:val="24"/>
          <w:szCs w:val="24"/>
        </w:rPr>
      </w:pPr>
      <w:r w:rsidRPr="00E00F13">
        <w:rPr>
          <w:rFonts w:ascii="Arial" w:hAnsi="Arial" w:cs="Arial"/>
          <w:sz w:val="24"/>
          <w:szCs w:val="24"/>
        </w:rPr>
        <w:t>acompañamiento técnico situado</w:t>
      </w:r>
    </w:p>
    <w:p w14:paraId="30A2380B" w14:textId="77777777" w:rsidR="00057B62" w:rsidRPr="00E00F13" w:rsidRDefault="00057B62" w:rsidP="00BE41DB">
      <w:pPr>
        <w:numPr>
          <w:ilvl w:val="0"/>
          <w:numId w:val="8"/>
        </w:numPr>
        <w:spacing w:after="0" w:line="360" w:lineRule="auto"/>
        <w:jc w:val="both"/>
        <w:rPr>
          <w:rFonts w:ascii="Arial" w:hAnsi="Arial" w:cs="Arial"/>
          <w:sz w:val="24"/>
          <w:szCs w:val="24"/>
        </w:rPr>
      </w:pPr>
      <w:r w:rsidRPr="00E00F13">
        <w:rPr>
          <w:rFonts w:ascii="Arial" w:hAnsi="Arial" w:cs="Arial"/>
          <w:sz w:val="24"/>
          <w:szCs w:val="24"/>
        </w:rPr>
        <w:t>flexibilidad logística</w:t>
      </w:r>
    </w:p>
    <w:p w14:paraId="5A4CCAA5" w14:textId="77777777" w:rsidR="00057B62" w:rsidRPr="00E00F13" w:rsidRDefault="00057B62" w:rsidP="00BE41DB">
      <w:pPr>
        <w:spacing w:after="0" w:line="360" w:lineRule="auto"/>
        <w:jc w:val="both"/>
        <w:rPr>
          <w:rFonts w:ascii="Arial" w:hAnsi="Arial" w:cs="Arial"/>
          <w:sz w:val="24"/>
          <w:szCs w:val="24"/>
        </w:rPr>
      </w:pPr>
    </w:p>
    <w:p w14:paraId="4F07152D" w14:textId="77777777" w:rsidR="00057B62" w:rsidRPr="00E00F13" w:rsidRDefault="00057B62" w:rsidP="00BE41DB">
      <w:pPr>
        <w:spacing w:after="0" w:line="360" w:lineRule="auto"/>
        <w:jc w:val="both"/>
        <w:rPr>
          <w:rFonts w:ascii="Arial" w:hAnsi="Arial" w:cs="Arial"/>
          <w:sz w:val="24"/>
          <w:szCs w:val="24"/>
        </w:rPr>
      </w:pPr>
      <w:r w:rsidRPr="00E00F13">
        <w:rPr>
          <w:rFonts w:ascii="Arial" w:hAnsi="Arial" w:cs="Arial"/>
          <w:sz w:val="24"/>
          <w:szCs w:val="24"/>
        </w:rPr>
        <w:t>El enfoque territorial está ligado a la justicia territorial y a la reparación de derechos. Las decisiones no se basan solo en déficit técnico, sino también en saldar deudas históricas con regiones y comunidades afectadas, como, por ejemplo, las deudas históricas producto del conflicto armado que en Colombia ha dejado millones de víctimas, en especial, de desplazamiento forzado.</w:t>
      </w:r>
    </w:p>
    <w:p w14:paraId="739344D5" w14:textId="77777777" w:rsidR="00B9301C" w:rsidRPr="00E00F13" w:rsidRDefault="00B9301C" w:rsidP="00B9301C">
      <w:pPr>
        <w:spacing w:after="0" w:line="360" w:lineRule="auto"/>
        <w:jc w:val="both"/>
        <w:rPr>
          <w:rFonts w:ascii="Arial" w:hAnsi="Arial" w:cs="Arial"/>
        </w:rPr>
      </w:pPr>
    </w:p>
    <w:p w14:paraId="4B377F18" w14:textId="55E0CDEE" w:rsidR="00057B62" w:rsidRPr="00E00F13" w:rsidRDefault="00F5469C" w:rsidP="00B9301C">
      <w:pPr>
        <w:pStyle w:val="Ttulo3"/>
        <w:rPr>
          <w:color w:val="auto"/>
        </w:rPr>
      </w:pPr>
      <w:r w:rsidRPr="00E00F13">
        <w:rPr>
          <w:color w:val="auto"/>
        </w:rPr>
        <w:lastRenderedPageBreak/>
        <w:tab/>
      </w:r>
      <w:bookmarkStart w:id="130" w:name="_Toc234242853"/>
      <w:r w:rsidR="00057B62" w:rsidRPr="00E00F13">
        <w:rPr>
          <w:color w:val="auto"/>
        </w:rPr>
        <w:t>Cuál fue el problema y por qué se decidió definir y establecer el Enfoque Territorial</w:t>
      </w:r>
      <w:bookmarkEnd w:id="130"/>
    </w:p>
    <w:p w14:paraId="2B138D78" w14:textId="75C8FD4D" w:rsidR="00057B62" w:rsidRPr="00E00F13" w:rsidRDefault="00057B62" w:rsidP="00057B62">
      <w:pPr>
        <w:spacing w:after="0" w:line="360" w:lineRule="auto"/>
        <w:jc w:val="both"/>
        <w:rPr>
          <w:rFonts w:ascii="Arial" w:hAnsi="Arial" w:cs="Arial"/>
          <w:sz w:val="24"/>
          <w:szCs w:val="24"/>
        </w:rPr>
      </w:pPr>
      <w:r w:rsidRPr="00E00F13">
        <w:rPr>
          <w:rFonts w:ascii="Arial" w:hAnsi="Arial" w:cs="Arial"/>
          <w:sz w:val="24"/>
          <w:szCs w:val="24"/>
        </w:rPr>
        <w:t>Fueron varias las circunstancias que motivaron al MVCT a construir un enfoque</w:t>
      </w:r>
      <w:r w:rsidR="00F5469C" w:rsidRPr="00E00F13">
        <w:rPr>
          <w:rFonts w:ascii="Arial" w:hAnsi="Arial" w:cs="Arial"/>
          <w:sz w:val="24"/>
          <w:szCs w:val="24"/>
        </w:rPr>
        <w:t xml:space="preserve"> </w:t>
      </w:r>
      <w:r w:rsidRPr="00E00F13">
        <w:rPr>
          <w:rFonts w:ascii="Arial" w:hAnsi="Arial" w:cs="Arial"/>
          <w:sz w:val="24"/>
          <w:szCs w:val="24"/>
        </w:rPr>
        <w:t>territorial. Algunas de ellas fueron:</w:t>
      </w:r>
    </w:p>
    <w:p w14:paraId="2826EE97" w14:textId="47894E84" w:rsidR="00057B62" w:rsidRPr="00E00F13" w:rsidRDefault="00057B62" w:rsidP="005E33C6">
      <w:pPr>
        <w:numPr>
          <w:ilvl w:val="0"/>
          <w:numId w:val="41"/>
        </w:numPr>
        <w:spacing w:after="0" w:line="360" w:lineRule="auto"/>
        <w:jc w:val="both"/>
        <w:rPr>
          <w:rFonts w:ascii="Arial" w:hAnsi="Arial" w:cs="Arial"/>
          <w:sz w:val="24"/>
          <w:szCs w:val="24"/>
        </w:rPr>
      </w:pPr>
      <w:r w:rsidRPr="00E00F13">
        <w:rPr>
          <w:rFonts w:ascii="Arial" w:hAnsi="Arial" w:cs="Arial"/>
          <w:sz w:val="24"/>
          <w:szCs w:val="24"/>
        </w:rPr>
        <w:t>La política de vivienda rural se construyó con un criterio de focalización altamente cuantitativo, basado en datos agregados que señalaban dónde había mayor déficit. El diseño del «cómo» en las políticas públicas puede convertirse en un obstáculo si no se adapta a la realidad territorial. Un ejemplo de lo anterior fue la Política de Vivienda Rural de 2011–2012. Ese criterio de focalización no dialogaba con las realidades territoriales, ni con las dificultades logísticas, socioeconómicas y de acceso en las regiones.</w:t>
      </w:r>
    </w:p>
    <w:p w14:paraId="789BE0F5" w14:textId="724E26D7" w:rsidR="00057B62" w:rsidRPr="00E00F13" w:rsidRDefault="00057B62" w:rsidP="005E33C6">
      <w:pPr>
        <w:numPr>
          <w:ilvl w:val="0"/>
          <w:numId w:val="41"/>
        </w:numPr>
        <w:spacing w:after="0" w:line="360" w:lineRule="auto"/>
        <w:jc w:val="both"/>
        <w:rPr>
          <w:rFonts w:ascii="Arial" w:hAnsi="Arial" w:cs="Arial"/>
          <w:sz w:val="24"/>
          <w:szCs w:val="24"/>
        </w:rPr>
      </w:pPr>
      <w:r w:rsidRPr="00E00F13">
        <w:rPr>
          <w:rFonts w:ascii="Arial" w:hAnsi="Arial" w:cs="Arial"/>
          <w:sz w:val="24"/>
          <w:szCs w:val="24"/>
        </w:rPr>
        <w:t>El modelo tradicional de ejecución (licitación a un solo contratista para un territorio amplio) perpetúa una lógica centralizada que no incorpora a los actores</w:t>
      </w:r>
      <w:r w:rsidR="00F5469C" w:rsidRPr="00E00F13">
        <w:rPr>
          <w:rFonts w:ascii="Arial" w:hAnsi="Arial" w:cs="Arial"/>
          <w:sz w:val="24"/>
          <w:szCs w:val="24"/>
        </w:rPr>
        <w:t xml:space="preserve"> </w:t>
      </w:r>
      <w:r w:rsidRPr="00E00F13">
        <w:rPr>
          <w:rFonts w:ascii="Arial" w:hAnsi="Arial" w:cs="Arial"/>
          <w:sz w:val="24"/>
          <w:szCs w:val="24"/>
        </w:rPr>
        <w:t>locales ni las particularidades regionales.</w:t>
      </w:r>
    </w:p>
    <w:p w14:paraId="0F12097F" w14:textId="704AC12A" w:rsidR="00057B62" w:rsidRPr="00E00F13" w:rsidRDefault="00057B62" w:rsidP="005E33C6">
      <w:pPr>
        <w:numPr>
          <w:ilvl w:val="0"/>
          <w:numId w:val="41"/>
        </w:numPr>
        <w:spacing w:after="0" w:line="360" w:lineRule="auto"/>
        <w:jc w:val="both"/>
        <w:rPr>
          <w:rFonts w:ascii="Arial" w:hAnsi="Arial" w:cs="Arial"/>
          <w:sz w:val="24"/>
          <w:szCs w:val="24"/>
        </w:rPr>
      </w:pPr>
      <w:r w:rsidRPr="00E00F13">
        <w:rPr>
          <w:rFonts w:ascii="Arial" w:hAnsi="Arial" w:cs="Arial"/>
          <w:sz w:val="24"/>
          <w:szCs w:val="24"/>
        </w:rPr>
        <w:t>El enfoque territorial real no es solo identificar el déficit, sino incorporar la visión de las comunidades, las dinámicas sociales y políticas y las prioridades surgidas de</w:t>
      </w:r>
      <w:r w:rsidR="00F5469C" w:rsidRPr="00E00F13">
        <w:rPr>
          <w:rFonts w:ascii="Arial" w:hAnsi="Arial" w:cs="Arial"/>
          <w:sz w:val="24"/>
          <w:szCs w:val="24"/>
        </w:rPr>
        <w:t xml:space="preserve"> </w:t>
      </w:r>
      <w:r w:rsidRPr="00E00F13">
        <w:rPr>
          <w:rFonts w:ascii="Arial" w:hAnsi="Arial" w:cs="Arial"/>
          <w:sz w:val="24"/>
          <w:szCs w:val="24"/>
        </w:rPr>
        <w:t>movilizaciones campesinas, diálogos regionales y la Reforma Rural Integral.</w:t>
      </w:r>
    </w:p>
    <w:p w14:paraId="2537211E" w14:textId="7B824430" w:rsidR="00B9301C" w:rsidRPr="00E00F13" w:rsidRDefault="00057B62" w:rsidP="005E33C6">
      <w:pPr>
        <w:numPr>
          <w:ilvl w:val="0"/>
          <w:numId w:val="41"/>
        </w:numPr>
        <w:spacing w:after="0" w:line="360" w:lineRule="auto"/>
        <w:jc w:val="both"/>
        <w:rPr>
          <w:rFonts w:ascii="Arial" w:hAnsi="Arial" w:cs="Arial"/>
          <w:sz w:val="24"/>
          <w:szCs w:val="24"/>
        </w:rPr>
      </w:pPr>
      <w:r w:rsidRPr="00E00F13">
        <w:rPr>
          <w:rFonts w:ascii="Arial" w:hAnsi="Arial" w:cs="Arial"/>
          <w:sz w:val="24"/>
          <w:szCs w:val="24"/>
        </w:rPr>
        <w:t>Las necesidades territoriales son dinámicas, cambian con el tiempo, responden a procesos sociales y a reparaciones colectivas; por tanto, las cifras no pueden ser tratadas como absolutas y permanentes.</w:t>
      </w:r>
    </w:p>
    <w:p w14:paraId="0901C0D3" w14:textId="77777777" w:rsidR="00B9301C" w:rsidRPr="00E00F13" w:rsidRDefault="00B9301C" w:rsidP="00B9301C">
      <w:pPr>
        <w:spacing w:after="0" w:line="360" w:lineRule="auto"/>
        <w:jc w:val="both"/>
        <w:rPr>
          <w:rFonts w:ascii="Arial" w:hAnsi="Arial" w:cs="Arial"/>
          <w:sz w:val="24"/>
          <w:szCs w:val="24"/>
        </w:rPr>
      </w:pPr>
    </w:p>
    <w:p w14:paraId="04CAC288" w14:textId="065934C4" w:rsidR="00057B62" w:rsidRPr="00E00F13" w:rsidRDefault="00F5469C" w:rsidP="00B9301C">
      <w:pPr>
        <w:pStyle w:val="Ttulo3"/>
        <w:rPr>
          <w:color w:val="auto"/>
        </w:rPr>
      </w:pPr>
      <w:r w:rsidRPr="00E00F13">
        <w:rPr>
          <w:color w:val="auto"/>
        </w:rPr>
        <w:tab/>
      </w:r>
      <w:bookmarkStart w:id="131" w:name="_Toc234242854"/>
      <w:r w:rsidRPr="00E00F13">
        <w:rPr>
          <w:color w:val="auto"/>
        </w:rPr>
        <w:t>A</w:t>
      </w:r>
      <w:r w:rsidR="00057B62" w:rsidRPr="00E00F13">
        <w:rPr>
          <w:color w:val="auto"/>
        </w:rPr>
        <w:t>ciertos</w:t>
      </w:r>
      <w:bookmarkEnd w:id="131"/>
    </w:p>
    <w:p w14:paraId="71959F70" w14:textId="77777777" w:rsidR="00057B62" w:rsidRPr="00E00F13" w:rsidRDefault="00057B62" w:rsidP="00057B62">
      <w:pPr>
        <w:spacing w:after="0" w:line="360" w:lineRule="auto"/>
        <w:rPr>
          <w:rFonts w:ascii="Arial" w:eastAsia="Times New Roman" w:hAnsi="Arial" w:cs="Arial"/>
          <w:sz w:val="24"/>
          <w:szCs w:val="24"/>
          <w:lang w:eastAsia="es-MX"/>
        </w:rPr>
      </w:pPr>
      <w:r w:rsidRPr="00E00F13">
        <w:rPr>
          <w:rFonts w:ascii="Arial" w:eastAsia="Times New Roman" w:hAnsi="Arial" w:cs="Arial"/>
          <w:sz w:val="24"/>
          <w:szCs w:val="24"/>
          <w:lang w:eastAsia="es-MX"/>
        </w:rPr>
        <w:t xml:space="preserve">En medio de trabajar en las regiones a partir de proyectos, el ejercicio de control ha sido posible, mientras que, sin las comunidades organizadas, este ejercicio se diluía en muchas manos y en ninguna.  </w:t>
      </w:r>
    </w:p>
    <w:p w14:paraId="14128932" w14:textId="77777777" w:rsidR="00057B62" w:rsidRPr="00E00F13" w:rsidRDefault="00057B62" w:rsidP="00057B62">
      <w:pPr>
        <w:rPr>
          <w:rFonts w:ascii="Arial" w:eastAsia="Times New Roman" w:hAnsi="Arial" w:cs="Arial"/>
          <w:sz w:val="24"/>
          <w:szCs w:val="24"/>
          <w:lang w:eastAsia="es-MX"/>
        </w:rPr>
      </w:pPr>
    </w:p>
    <w:p w14:paraId="2626003C" w14:textId="77777777" w:rsidR="00057B62" w:rsidRPr="00E00F13" w:rsidRDefault="00057B62" w:rsidP="00057B62">
      <w:pPr>
        <w:spacing w:after="0" w:line="360" w:lineRule="auto"/>
        <w:jc w:val="both"/>
        <w:rPr>
          <w:rFonts w:ascii="Arial" w:eastAsia="Times New Roman" w:hAnsi="Arial" w:cs="Arial"/>
          <w:sz w:val="24"/>
          <w:szCs w:val="24"/>
          <w:lang w:eastAsia="es-MX"/>
        </w:rPr>
      </w:pPr>
      <w:r w:rsidRPr="00E00F13">
        <w:rPr>
          <w:rFonts w:ascii="Arial" w:eastAsia="Times New Roman" w:hAnsi="Arial" w:cs="Arial"/>
          <w:sz w:val="24"/>
          <w:szCs w:val="24"/>
          <w:lang w:eastAsia="es-MX"/>
        </w:rPr>
        <w:t xml:space="preserve">El riesgo ocurría en las regiones. Y era muy alto, pues el ejercicio de control social a los recursos era prácticamente nulo. Incluso el seguimiento riguroso para el cumplimiento de la calidad en las soluciones de agua o vivienda estaban por fuera del control de las regiones y comunidades organizadas. Trabajar con entes locales y regionales también era complejo, pues desconocían, en muchos casos, quién era el operador de los proyectos; lo que limitaba el seguimiento. </w:t>
      </w:r>
    </w:p>
    <w:p w14:paraId="1AE3B2B3" w14:textId="77777777" w:rsidR="00057B62" w:rsidRPr="00E00F13" w:rsidRDefault="00057B62" w:rsidP="00057B62">
      <w:pPr>
        <w:rPr>
          <w:rFonts w:ascii="Segoe UI" w:eastAsia="Segoe UI" w:hAnsi="Segoe UI" w:cs="Segoe UI"/>
          <w:sz w:val="24"/>
          <w:szCs w:val="24"/>
        </w:rPr>
      </w:pPr>
    </w:p>
    <w:p w14:paraId="2C4B39A5" w14:textId="77777777" w:rsidR="00057B62" w:rsidRPr="00E00F13" w:rsidRDefault="00057B62" w:rsidP="00057B62">
      <w:pPr>
        <w:spacing w:after="0" w:line="360" w:lineRule="auto"/>
        <w:jc w:val="both"/>
        <w:rPr>
          <w:rFonts w:ascii="Arial" w:eastAsia="Times New Roman" w:hAnsi="Arial" w:cs="Arial"/>
          <w:sz w:val="24"/>
          <w:szCs w:val="24"/>
          <w:lang w:eastAsia="es-MX"/>
        </w:rPr>
      </w:pPr>
      <w:r w:rsidRPr="00E00F13">
        <w:rPr>
          <w:rFonts w:ascii="Arial" w:eastAsia="Times New Roman" w:hAnsi="Arial" w:cs="Arial"/>
          <w:sz w:val="24"/>
          <w:szCs w:val="24"/>
          <w:lang w:eastAsia="es-MX"/>
        </w:rPr>
        <w:t>De la nueva forma de trabajo directamente con comunidades organizadas se resalta la posibilidad de que estas realicen el seguimiento de los tiempos, pero también, y fundamentalmente, de los recursos y de la calidad de las soluciones que se ejecutan. Se están instalando también oportunidades para realizar ejercicios de control social, de veeduría ciudadana y, pronto, de la inversión que se está llevando a regiones.</w:t>
      </w:r>
    </w:p>
    <w:p w14:paraId="5CEF46C2" w14:textId="77777777" w:rsidR="00057B62" w:rsidRPr="00E00F13" w:rsidRDefault="00057B62" w:rsidP="00057B62">
      <w:pPr>
        <w:spacing w:after="0" w:line="360" w:lineRule="auto"/>
        <w:jc w:val="both"/>
        <w:rPr>
          <w:rFonts w:ascii="Arial" w:eastAsia="Times New Roman" w:hAnsi="Arial" w:cs="Arial"/>
          <w:sz w:val="24"/>
          <w:szCs w:val="24"/>
          <w:lang w:eastAsia="es-MX"/>
        </w:rPr>
      </w:pPr>
    </w:p>
    <w:p w14:paraId="627A55D1" w14:textId="77777777" w:rsidR="00057B62" w:rsidRPr="00E00F13" w:rsidRDefault="00057B62" w:rsidP="00057B62">
      <w:pPr>
        <w:spacing w:after="0" w:line="360" w:lineRule="auto"/>
        <w:jc w:val="both"/>
        <w:rPr>
          <w:rFonts w:ascii="Arial" w:eastAsia="Times New Roman" w:hAnsi="Arial" w:cs="Arial"/>
          <w:sz w:val="24"/>
          <w:szCs w:val="24"/>
          <w:lang w:eastAsia="es-MX"/>
        </w:rPr>
      </w:pPr>
      <w:r w:rsidRPr="00E00F13">
        <w:rPr>
          <w:rFonts w:ascii="Arial" w:eastAsia="Times New Roman" w:hAnsi="Arial" w:cs="Arial"/>
          <w:sz w:val="24"/>
          <w:szCs w:val="24"/>
          <w:lang w:eastAsia="es-MX"/>
        </w:rPr>
        <w:t xml:space="preserve">Desde el trabajo del MVCT es un acierto la estrategia de llevar a regiones la oferta institucional mediante el reconocimiento de las diversidades culturales, sociales y organizativas que están en las comunidades. Reconocer estas realidades da cuenta de las varias formas de habitar un territorio y de vivir, en un país cuya característica es ser pluricultural y multiétnico, como lo reconoció la misma Constitución Política de 1991. </w:t>
      </w:r>
    </w:p>
    <w:p w14:paraId="0A3B2EDC" w14:textId="77777777" w:rsidR="00057B62" w:rsidRPr="00E00F13" w:rsidRDefault="00057B62" w:rsidP="00057B62">
      <w:pPr>
        <w:rPr>
          <w:rFonts w:ascii="Segoe UI" w:eastAsia="Segoe UI" w:hAnsi="Segoe UI" w:cs="Segoe UI"/>
          <w:sz w:val="24"/>
          <w:szCs w:val="24"/>
        </w:rPr>
      </w:pPr>
    </w:p>
    <w:p w14:paraId="1B817209" w14:textId="77777777" w:rsidR="00057B62" w:rsidRPr="00E00F13" w:rsidRDefault="00057B62" w:rsidP="00057B62">
      <w:pPr>
        <w:spacing w:after="0" w:line="360" w:lineRule="auto"/>
        <w:jc w:val="both"/>
        <w:rPr>
          <w:rFonts w:ascii="Arial" w:eastAsia="Times New Roman" w:hAnsi="Arial" w:cs="Arial"/>
          <w:sz w:val="24"/>
          <w:szCs w:val="24"/>
          <w:lang w:eastAsia="es-MX"/>
        </w:rPr>
      </w:pPr>
      <w:r w:rsidRPr="00E00F13">
        <w:rPr>
          <w:rFonts w:ascii="Arial" w:eastAsia="Times New Roman" w:hAnsi="Arial" w:cs="Arial"/>
          <w:sz w:val="24"/>
          <w:szCs w:val="24"/>
          <w:lang w:eastAsia="es-MX"/>
        </w:rPr>
        <w:t>Comenzar a entender el trasfondo del recurso y de la inversión pública, que en últimas es lo que soporta las posibilidades de actuación y de llegar hacia estas regiones, también es algo positivo. Las organizaciones comunitarias y los entes locales han ido conociendo parte de la institucionalidad. También las oportunidades que tienen para hacer el ejercicio en control y veeduría ciudadana en territorios donde, por ejemplo, se han estado consolidando grandes conflictividades, muchas asociadas al conflicto armado, como el Urabá, Norte de Santander y parte del Pacífico. Los ejercicios de control ahora factibles han permitido que el MVCT, en su nuevo relacionamiento con experiencias territoriales, logre también generar una oportunidad de mediación en el relacionamiento entre entidades territoriales y comunidades.</w:t>
      </w:r>
    </w:p>
    <w:p w14:paraId="50007B04" w14:textId="77777777" w:rsidR="00057B62" w:rsidRPr="00E00F13" w:rsidRDefault="00057B62" w:rsidP="00057B62">
      <w:pPr>
        <w:spacing w:after="0" w:line="360" w:lineRule="auto"/>
        <w:jc w:val="both"/>
        <w:rPr>
          <w:rFonts w:ascii="Arial" w:eastAsia="Times New Roman" w:hAnsi="Arial" w:cs="Arial"/>
          <w:sz w:val="24"/>
          <w:szCs w:val="24"/>
          <w:lang w:eastAsia="es-MX"/>
        </w:rPr>
      </w:pPr>
    </w:p>
    <w:p w14:paraId="3D7C27B0" w14:textId="3F22F971" w:rsidR="00057B62" w:rsidRPr="00E00F13" w:rsidRDefault="00057B62" w:rsidP="00057B62">
      <w:pPr>
        <w:spacing w:after="0" w:line="360" w:lineRule="auto"/>
        <w:jc w:val="both"/>
        <w:rPr>
          <w:rFonts w:ascii="Arial" w:eastAsia="Times New Roman" w:hAnsi="Arial" w:cs="Arial"/>
          <w:sz w:val="24"/>
          <w:szCs w:val="24"/>
          <w:lang w:eastAsia="es-MX"/>
        </w:rPr>
      </w:pPr>
      <w:r w:rsidRPr="00E00F13">
        <w:rPr>
          <w:rFonts w:ascii="Arial" w:eastAsia="Times New Roman" w:hAnsi="Arial" w:cs="Arial"/>
          <w:sz w:val="24"/>
          <w:szCs w:val="24"/>
          <w:lang w:eastAsia="es-MX"/>
        </w:rPr>
        <w:t>La llegada del Ministerio a espacios de conflictividad histórica –como el Caguán o Teorama, por ejemplo–</w:t>
      </w:r>
      <w:r w:rsidR="00DF69C3" w:rsidRPr="00E00F13">
        <w:rPr>
          <w:rFonts w:ascii="Arial" w:eastAsia="Times New Roman" w:hAnsi="Arial" w:cs="Arial"/>
          <w:sz w:val="24"/>
          <w:szCs w:val="24"/>
          <w:lang w:eastAsia="es-MX"/>
        </w:rPr>
        <w:t>,</w:t>
      </w:r>
      <w:r w:rsidRPr="00E00F13">
        <w:rPr>
          <w:rFonts w:ascii="Arial" w:eastAsia="Times New Roman" w:hAnsi="Arial" w:cs="Arial"/>
          <w:sz w:val="24"/>
          <w:szCs w:val="24"/>
          <w:lang w:eastAsia="es-MX"/>
        </w:rPr>
        <w:t xml:space="preserve"> en el marco de un enfoque que busca integrar el reconocimiento del territorio como elemento común</w:t>
      </w:r>
      <w:r w:rsidR="00DF69C3" w:rsidRPr="00E00F13">
        <w:rPr>
          <w:rFonts w:ascii="Arial" w:eastAsia="Times New Roman" w:hAnsi="Arial" w:cs="Arial"/>
          <w:sz w:val="24"/>
          <w:szCs w:val="24"/>
          <w:lang w:eastAsia="es-MX"/>
        </w:rPr>
        <w:t>,</w:t>
      </w:r>
      <w:r w:rsidRPr="00E00F13">
        <w:rPr>
          <w:rFonts w:ascii="Arial" w:eastAsia="Times New Roman" w:hAnsi="Arial" w:cs="Arial"/>
          <w:sz w:val="24"/>
          <w:szCs w:val="24"/>
          <w:lang w:eastAsia="es-MX"/>
        </w:rPr>
        <w:t xml:space="preserve"> ha permitido contribuir a aliviar la situación y a entender la necesidad de trabajar conjuntamente entre instituciones, </w:t>
      </w:r>
      <w:r w:rsidRPr="00E00F13">
        <w:rPr>
          <w:rFonts w:ascii="Arial" w:eastAsia="Times New Roman" w:hAnsi="Arial" w:cs="Arial"/>
          <w:sz w:val="24"/>
          <w:szCs w:val="24"/>
          <w:lang w:eastAsia="es-MX"/>
        </w:rPr>
        <w:lastRenderedPageBreak/>
        <w:t xml:space="preserve">actores civiles, actores organizados y actores privados, quienes terminan siendo, en algunos casos, aliados de los procesos comunitarios y sociales. El MVCT llega al territorio no solo movido por un determinado proyecto, sino a partir del relacionamiento y experiencias que estamos generando como contribución </w:t>
      </w:r>
      <w:r w:rsidR="00DF69C3" w:rsidRPr="00E00F13">
        <w:rPr>
          <w:rFonts w:ascii="Arial" w:eastAsia="Times New Roman" w:hAnsi="Arial" w:cs="Arial"/>
          <w:sz w:val="24"/>
          <w:szCs w:val="24"/>
          <w:lang w:eastAsia="es-MX"/>
        </w:rPr>
        <w:t>a</w:t>
      </w:r>
      <w:r w:rsidRPr="00E00F13">
        <w:rPr>
          <w:rFonts w:ascii="Arial" w:eastAsia="Times New Roman" w:hAnsi="Arial" w:cs="Arial"/>
          <w:sz w:val="24"/>
          <w:szCs w:val="24"/>
          <w:lang w:eastAsia="es-MX"/>
        </w:rPr>
        <w:t xml:space="preserve"> la construcción de relaciones.</w:t>
      </w:r>
    </w:p>
    <w:p w14:paraId="5F0B5F9B" w14:textId="77777777" w:rsidR="00057B62" w:rsidRPr="00E00F13" w:rsidRDefault="00057B62" w:rsidP="00057B62">
      <w:pPr>
        <w:spacing w:after="0" w:line="360" w:lineRule="auto"/>
        <w:jc w:val="both"/>
        <w:rPr>
          <w:rFonts w:ascii="Arial" w:eastAsia="Times New Roman" w:hAnsi="Arial" w:cs="Arial"/>
          <w:sz w:val="24"/>
          <w:szCs w:val="24"/>
          <w:lang w:eastAsia="es-MX"/>
        </w:rPr>
      </w:pPr>
    </w:p>
    <w:p w14:paraId="525FA0E3" w14:textId="35A854FE" w:rsidR="00057B62" w:rsidRPr="00E00F13" w:rsidRDefault="00057B62" w:rsidP="00057B62">
      <w:pPr>
        <w:spacing w:after="0" w:line="360" w:lineRule="auto"/>
        <w:jc w:val="both"/>
        <w:rPr>
          <w:rFonts w:ascii="Arial" w:eastAsia="Times New Roman" w:hAnsi="Arial" w:cs="Arial"/>
          <w:sz w:val="24"/>
          <w:szCs w:val="24"/>
          <w:lang w:eastAsia="es-MX"/>
        </w:rPr>
      </w:pPr>
      <w:r w:rsidRPr="00E00F13">
        <w:rPr>
          <w:rFonts w:ascii="Arial" w:eastAsia="Times New Roman" w:hAnsi="Arial" w:cs="Arial"/>
          <w:sz w:val="24"/>
          <w:szCs w:val="24"/>
          <w:lang w:eastAsia="es-MX"/>
        </w:rPr>
        <w:t>En resumen, el relacionamiento territorial del MVCT fortalece el control social y la gobernanza. Llegar a los territorios permite:</w:t>
      </w:r>
    </w:p>
    <w:p w14:paraId="39AC0DAA" w14:textId="77777777" w:rsidR="00057B62" w:rsidRPr="00E00F13" w:rsidRDefault="00057B62" w:rsidP="005E33C6">
      <w:pPr>
        <w:numPr>
          <w:ilvl w:val="0"/>
          <w:numId w:val="12"/>
        </w:numPr>
        <w:spacing w:after="0" w:line="360" w:lineRule="auto"/>
        <w:jc w:val="both"/>
        <w:rPr>
          <w:rFonts w:ascii="Arial" w:eastAsia="Times New Roman" w:hAnsi="Arial" w:cs="Arial"/>
          <w:sz w:val="24"/>
          <w:szCs w:val="24"/>
          <w:lang w:eastAsia="es-MX"/>
        </w:rPr>
      </w:pPr>
      <w:r w:rsidRPr="00E00F13">
        <w:rPr>
          <w:rFonts w:ascii="Arial" w:eastAsia="Times New Roman" w:hAnsi="Arial" w:cs="Arial"/>
          <w:sz w:val="24"/>
          <w:szCs w:val="24"/>
          <w:lang w:eastAsia="es-MX"/>
        </w:rPr>
        <w:t>Activar la veeduría comunitaria sobre agua y vivienda.</w:t>
      </w:r>
    </w:p>
    <w:p w14:paraId="18950D80" w14:textId="77777777" w:rsidR="00057B62" w:rsidRPr="00E00F13" w:rsidRDefault="00057B62" w:rsidP="005E33C6">
      <w:pPr>
        <w:numPr>
          <w:ilvl w:val="0"/>
          <w:numId w:val="12"/>
        </w:numPr>
        <w:spacing w:after="0" w:line="360" w:lineRule="auto"/>
        <w:jc w:val="both"/>
        <w:rPr>
          <w:rFonts w:ascii="Arial" w:eastAsia="Times New Roman" w:hAnsi="Arial" w:cs="Arial"/>
          <w:sz w:val="24"/>
          <w:szCs w:val="24"/>
          <w:lang w:eastAsia="es-MX"/>
        </w:rPr>
      </w:pPr>
      <w:r w:rsidRPr="00E00F13">
        <w:rPr>
          <w:rFonts w:ascii="Arial" w:eastAsia="Times New Roman" w:hAnsi="Arial" w:cs="Arial"/>
          <w:sz w:val="24"/>
          <w:szCs w:val="24"/>
          <w:lang w:eastAsia="es-MX"/>
        </w:rPr>
        <w:t>Mejorar el seguimiento a operadores y proyectos.</w:t>
      </w:r>
    </w:p>
    <w:p w14:paraId="293399B4" w14:textId="77777777" w:rsidR="00057B62" w:rsidRPr="00E00F13" w:rsidRDefault="00057B62" w:rsidP="005E33C6">
      <w:pPr>
        <w:numPr>
          <w:ilvl w:val="0"/>
          <w:numId w:val="12"/>
        </w:numPr>
        <w:spacing w:after="0" w:line="360" w:lineRule="auto"/>
        <w:jc w:val="both"/>
        <w:rPr>
          <w:rFonts w:ascii="Arial" w:eastAsia="Times New Roman" w:hAnsi="Arial" w:cs="Arial"/>
          <w:sz w:val="24"/>
          <w:szCs w:val="24"/>
          <w:lang w:eastAsia="es-MX"/>
        </w:rPr>
      </w:pPr>
      <w:r w:rsidRPr="00E00F13">
        <w:rPr>
          <w:rFonts w:ascii="Arial" w:eastAsia="Times New Roman" w:hAnsi="Arial" w:cs="Arial"/>
          <w:sz w:val="24"/>
          <w:szCs w:val="24"/>
          <w:lang w:eastAsia="es-MX"/>
        </w:rPr>
        <w:t>Reducir la opacidad y riesgos en grandes contratos.</w:t>
      </w:r>
    </w:p>
    <w:p w14:paraId="3B9C5CB1" w14:textId="77777777" w:rsidR="00057B62" w:rsidRPr="00E00F13" w:rsidRDefault="00057B62" w:rsidP="005E33C6">
      <w:pPr>
        <w:numPr>
          <w:ilvl w:val="0"/>
          <w:numId w:val="12"/>
        </w:numPr>
        <w:spacing w:after="0" w:line="360" w:lineRule="auto"/>
        <w:jc w:val="both"/>
        <w:rPr>
          <w:rFonts w:ascii="Arial" w:eastAsia="Times New Roman" w:hAnsi="Arial" w:cs="Arial"/>
          <w:sz w:val="24"/>
          <w:szCs w:val="24"/>
          <w:lang w:eastAsia="es-MX"/>
        </w:rPr>
      </w:pPr>
      <w:r w:rsidRPr="00E00F13">
        <w:rPr>
          <w:rFonts w:ascii="Arial" w:eastAsia="Times New Roman" w:hAnsi="Arial" w:cs="Arial"/>
          <w:sz w:val="24"/>
          <w:szCs w:val="24"/>
          <w:lang w:eastAsia="es-MX"/>
        </w:rPr>
        <w:t>Articular actores públicos, comunitarios y privados.</w:t>
      </w:r>
    </w:p>
    <w:p w14:paraId="789CC505" w14:textId="77777777" w:rsidR="00057B62" w:rsidRPr="00E00F13" w:rsidRDefault="00057B62" w:rsidP="005E33C6">
      <w:pPr>
        <w:numPr>
          <w:ilvl w:val="0"/>
          <w:numId w:val="12"/>
        </w:numPr>
        <w:spacing w:after="0" w:line="360" w:lineRule="auto"/>
        <w:jc w:val="both"/>
        <w:rPr>
          <w:rFonts w:ascii="Arial" w:eastAsia="Times New Roman" w:hAnsi="Arial" w:cs="Arial"/>
          <w:sz w:val="24"/>
          <w:szCs w:val="24"/>
          <w:lang w:eastAsia="es-MX"/>
        </w:rPr>
      </w:pPr>
      <w:r w:rsidRPr="00E00F13">
        <w:rPr>
          <w:rFonts w:ascii="Arial" w:eastAsia="Times New Roman" w:hAnsi="Arial" w:cs="Arial"/>
          <w:sz w:val="24"/>
          <w:szCs w:val="24"/>
          <w:lang w:eastAsia="es-MX"/>
        </w:rPr>
        <w:t>Servir como mediador entre comunidades y alcaldías en contextos de conflicto.</w:t>
      </w:r>
    </w:p>
    <w:p w14:paraId="313F3F0A" w14:textId="77777777" w:rsidR="00057B62" w:rsidRPr="00E00F13" w:rsidRDefault="00057B62" w:rsidP="005E33C6">
      <w:pPr>
        <w:numPr>
          <w:ilvl w:val="0"/>
          <w:numId w:val="12"/>
        </w:numPr>
        <w:spacing w:after="0" w:line="360" w:lineRule="auto"/>
        <w:jc w:val="both"/>
        <w:rPr>
          <w:rFonts w:ascii="Arial" w:eastAsia="Times New Roman" w:hAnsi="Arial" w:cs="Arial"/>
          <w:sz w:val="24"/>
          <w:szCs w:val="24"/>
          <w:lang w:eastAsia="es-MX"/>
        </w:rPr>
      </w:pPr>
      <w:r w:rsidRPr="00E00F13">
        <w:rPr>
          <w:rFonts w:ascii="Arial" w:eastAsia="Times New Roman" w:hAnsi="Arial" w:cs="Arial"/>
          <w:sz w:val="24"/>
          <w:szCs w:val="24"/>
          <w:lang w:eastAsia="es-MX"/>
        </w:rPr>
        <w:t>Prevenir conflictos sociales por vivienda y agua. Un rol que tiene, por ejemplo, el equipo de la Estrategia Social del Despacho.</w:t>
      </w:r>
    </w:p>
    <w:p w14:paraId="62621D99" w14:textId="77777777" w:rsidR="00057B62" w:rsidRPr="00E00F13" w:rsidRDefault="00057B62" w:rsidP="005E33C6">
      <w:pPr>
        <w:numPr>
          <w:ilvl w:val="0"/>
          <w:numId w:val="12"/>
        </w:numPr>
        <w:spacing w:after="0" w:line="360" w:lineRule="auto"/>
        <w:jc w:val="both"/>
        <w:rPr>
          <w:rFonts w:ascii="Arial" w:eastAsia="Times New Roman" w:hAnsi="Arial" w:cs="Arial"/>
          <w:sz w:val="24"/>
          <w:szCs w:val="24"/>
          <w:lang w:eastAsia="es-MX"/>
        </w:rPr>
      </w:pPr>
      <w:r w:rsidRPr="00E00F13">
        <w:rPr>
          <w:rFonts w:ascii="Arial" w:eastAsia="Times New Roman" w:hAnsi="Arial" w:cs="Arial"/>
          <w:sz w:val="24"/>
          <w:szCs w:val="24"/>
          <w:lang w:eastAsia="es-MX"/>
        </w:rPr>
        <w:t>El Ministerio empieza a ser visto como un actor que facilita diálogo y contribuye a la paz territorial.</w:t>
      </w:r>
    </w:p>
    <w:p w14:paraId="691674E9" w14:textId="77777777" w:rsidR="00057B62" w:rsidRPr="00E00F13" w:rsidRDefault="00057B62" w:rsidP="005E33C6">
      <w:pPr>
        <w:numPr>
          <w:ilvl w:val="0"/>
          <w:numId w:val="12"/>
        </w:numPr>
        <w:spacing w:after="0" w:line="360" w:lineRule="auto"/>
        <w:jc w:val="both"/>
        <w:rPr>
          <w:rFonts w:ascii="Arial" w:eastAsia="Times New Roman" w:hAnsi="Arial" w:cs="Arial"/>
          <w:sz w:val="24"/>
          <w:szCs w:val="24"/>
          <w:lang w:eastAsia="es-MX"/>
        </w:rPr>
      </w:pPr>
      <w:r w:rsidRPr="00E00F13">
        <w:rPr>
          <w:rFonts w:ascii="Arial" w:eastAsia="Times New Roman" w:hAnsi="Arial" w:cs="Arial"/>
          <w:sz w:val="24"/>
          <w:szCs w:val="24"/>
          <w:lang w:eastAsia="es-MX"/>
        </w:rPr>
        <w:t>Marcar el principio de la honestidad y la claridad cuando se trabaja con las comunidades, en términos de indicar con claridad y honestidad qué oferta institucional es posible y cuál no.</w:t>
      </w:r>
    </w:p>
    <w:p w14:paraId="1D8FF1ED" w14:textId="77777777" w:rsidR="00057B62" w:rsidRPr="00E00F13" w:rsidRDefault="00057B62" w:rsidP="00057B62">
      <w:pPr>
        <w:spacing w:after="0" w:line="360" w:lineRule="auto"/>
        <w:jc w:val="both"/>
        <w:rPr>
          <w:rFonts w:ascii="Arial" w:eastAsia="Times New Roman" w:hAnsi="Arial" w:cs="Arial"/>
          <w:sz w:val="24"/>
          <w:szCs w:val="24"/>
          <w:lang w:eastAsia="es-MX"/>
        </w:rPr>
      </w:pPr>
    </w:p>
    <w:p w14:paraId="3640DE6D" w14:textId="1FE7FCFD" w:rsidR="00057B62" w:rsidRPr="00E00F13" w:rsidRDefault="00F5469C" w:rsidP="00B9301C">
      <w:pPr>
        <w:pStyle w:val="Ttulo3"/>
        <w:rPr>
          <w:color w:val="auto"/>
        </w:rPr>
      </w:pPr>
      <w:r w:rsidRPr="00E00F13">
        <w:rPr>
          <w:color w:val="auto"/>
        </w:rPr>
        <w:tab/>
      </w:r>
      <w:bookmarkStart w:id="132" w:name="_Toc234242855"/>
      <w:r w:rsidRPr="00E00F13">
        <w:rPr>
          <w:color w:val="auto"/>
        </w:rPr>
        <w:t>Retos</w:t>
      </w:r>
      <w:bookmarkEnd w:id="132"/>
    </w:p>
    <w:p w14:paraId="71A1C074" w14:textId="77777777" w:rsidR="00057B62" w:rsidRPr="00E00F13" w:rsidRDefault="00057B62" w:rsidP="00057B62">
      <w:pPr>
        <w:spacing w:after="0" w:line="360" w:lineRule="auto"/>
        <w:jc w:val="both"/>
        <w:rPr>
          <w:rFonts w:ascii="Arial" w:hAnsi="Arial" w:cs="Arial"/>
          <w:sz w:val="24"/>
          <w:szCs w:val="24"/>
        </w:rPr>
      </w:pPr>
      <w:r w:rsidRPr="00E00F13">
        <w:rPr>
          <w:rFonts w:ascii="Arial" w:hAnsi="Arial" w:cs="Arial"/>
          <w:sz w:val="24"/>
          <w:szCs w:val="24"/>
        </w:rPr>
        <w:t>Los retos han sido al menos dos, porque la estructura orgánica del MVCT debía ajustarse en una doble vía. Primero, generar unas condiciones o una arquitectura institucional que diera respuesta y lograra plasmar la apuesta grande del Plan Nacional de Desarrollo 2022-2026. Y en paralelo también atender y dar alternativas a deudas o conflictos históricos que se han generado en las regiones a partir de la acción instaurada desde el propio ministerio en épocas pasadas bajo las cuales se desarrollaron, por ejemplo, proyectos de vivienda gratuita a través de la «bolsa de desplazados», que generó expectativas que aún hoy están desbordadas.</w:t>
      </w:r>
    </w:p>
    <w:p w14:paraId="65611F92" w14:textId="77777777" w:rsidR="00057B62" w:rsidRPr="00E00F13" w:rsidRDefault="00057B62" w:rsidP="00057B62">
      <w:pPr>
        <w:spacing w:after="0" w:line="360" w:lineRule="auto"/>
        <w:jc w:val="both"/>
        <w:rPr>
          <w:rFonts w:ascii="Arial" w:hAnsi="Arial" w:cs="Arial"/>
          <w:sz w:val="24"/>
          <w:szCs w:val="24"/>
        </w:rPr>
      </w:pPr>
    </w:p>
    <w:p w14:paraId="5A050093" w14:textId="77777777" w:rsidR="00057B62" w:rsidRPr="00E00F13" w:rsidRDefault="00057B62" w:rsidP="00057B62">
      <w:pPr>
        <w:spacing w:after="0" w:line="360" w:lineRule="auto"/>
        <w:jc w:val="both"/>
        <w:rPr>
          <w:rFonts w:ascii="Arial" w:hAnsi="Arial" w:cs="Arial"/>
          <w:sz w:val="24"/>
          <w:szCs w:val="24"/>
        </w:rPr>
      </w:pPr>
      <w:r w:rsidRPr="00E00F13">
        <w:rPr>
          <w:rFonts w:ascii="Arial" w:hAnsi="Arial" w:cs="Arial"/>
          <w:sz w:val="24"/>
          <w:szCs w:val="24"/>
        </w:rPr>
        <w:t>Estas deudas condicionan cualquier nuevo relacionamiento:</w:t>
      </w:r>
    </w:p>
    <w:p w14:paraId="0CF3EDC2" w14:textId="77777777" w:rsidR="00057B62" w:rsidRPr="00E00F13" w:rsidRDefault="00057B62" w:rsidP="005E33C6">
      <w:pPr>
        <w:numPr>
          <w:ilvl w:val="0"/>
          <w:numId w:val="13"/>
        </w:numPr>
        <w:spacing w:after="0" w:line="360" w:lineRule="auto"/>
        <w:jc w:val="both"/>
        <w:rPr>
          <w:rFonts w:ascii="Arial" w:hAnsi="Arial" w:cs="Arial"/>
          <w:sz w:val="24"/>
          <w:szCs w:val="24"/>
        </w:rPr>
      </w:pPr>
      <w:r w:rsidRPr="00E00F13">
        <w:rPr>
          <w:rFonts w:ascii="Arial" w:hAnsi="Arial" w:cs="Arial"/>
          <w:sz w:val="24"/>
          <w:szCs w:val="24"/>
        </w:rPr>
        <w:t>Proyectos inconclusos o mal ejecutados.</w:t>
      </w:r>
    </w:p>
    <w:p w14:paraId="04F4E39A" w14:textId="77777777" w:rsidR="00057B62" w:rsidRPr="00E00F13" w:rsidRDefault="00057B62" w:rsidP="005E33C6">
      <w:pPr>
        <w:numPr>
          <w:ilvl w:val="0"/>
          <w:numId w:val="13"/>
        </w:numPr>
        <w:spacing w:after="0" w:line="360" w:lineRule="auto"/>
        <w:jc w:val="both"/>
        <w:rPr>
          <w:rFonts w:ascii="Arial" w:hAnsi="Arial" w:cs="Arial"/>
          <w:sz w:val="24"/>
          <w:szCs w:val="24"/>
        </w:rPr>
      </w:pPr>
      <w:r w:rsidRPr="00E00F13">
        <w:rPr>
          <w:rFonts w:ascii="Arial" w:hAnsi="Arial" w:cs="Arial"/>
          <w:sz w:val="24"/>
          <w:szCs w:val="24"/>
        </w:rPr>
        <w:t>Infraestructuras públicas abandonadas.</w:t>
      </w:r>
    </w:p>
    <w:p w14:paraId="41CC404B" w14:textId="77777777" w:rsidR="00057B62" w:rsidRPr="00E00F13" w:rsidRDefault="00057B62" w:rsidP="005E33C6">
      <w:pPr>
        <w:numPr>
          <w:ilvl w:val="0"/>
          <w:numId w:val="13"/>
        </w:numPr>
        <w:spacing w:after="0" w:line="360" w:lineRule="auto"/>
        <w:jc w:val="both"/>
        <w:rPr>
          <w:rFonts w:ascii="Arial" w:hAnsi="Arial" w:cs="Arial"/>
          <w:sz w:val="24"/>
          <w:szCs w:val="24"/>
        </w:rPr>
      </w:pPr>
      <w:r w:rsidRPr="00E00F13">
        <w:rPr>
          <w:rFonts w:ascii="Arial" w:hAnsi="Arial" w:cs="Arial"/>
          <w:sz w:val="24"/>
          <w:szCs w:val="24"/>
        </w:rPr>
        <w:t>Expectativas frustradas en comunidades, especialmente en víctimas.</w:t>
      </w:r>
    </w:p>
    <w:p w14:paraId="53CB63AC" w14:textId="77777777" w:rsidR="00057B62" w:rsidRPr="00E00F13" w:rsidRDefault="00057B62" w:rsidP="00057B62">
      <w:pPr>
        <w:spacing w:after="0" w:line="360" w:lineRule="auto"/>
        <w:jc w:val="both"/>
        <w:rPr>
          <w:rFonts w:ascii="Arial" w:hAnsi="Arial" w:cs="Arial"/>
          <w:sz w:val="24"/>
          <w:szCs w:val="24"/>
        </w:rPr>
      </w:pPr>
    </w:p>
    <w:p w14:paraId="7818CB41" w14:textId="3BC837D2" w:rsidR="00057B62" w:rsidRPr="00E00F13" w:rsidRDefault="00057B62" w:rsidP="00F338F1">
      <w:pPr>
        <w:spacing w:after="0" w:line="360" w:lineRule="auto"/>
        <w:jc w:val="both"/>
        <w:rPr>
          <w:rFonts w:ascii="Arial" w:hAnsi="Arial" w:cs="Arial"/>
          <w:sz w:val="24"/>
          <w:szCs w:val="24"/>
        </w:rPr>
      </w:pPr>
      <w:r w:rsidRPr="00E00F13">
        <w:rPr>
          <w:rFonts w:ascii="Arial" w:hAnsi="Arial" w:cs="Arial"/>
          <w:sz w:val="24"/>
          <w:szCs w:val="24"/>
        </w:rPr>
        <w:t>Tener claridad de estos condicionamientos permite tomar acciones futuras para contrarrestarlos.</w:t>
      </w:r>
    </w:p>
    <w:p w14:paraId="4531023C" w14:textId="77777777" w:rsidR="00292BD4" w:rsidRPr="00E00F13" w:rsidRDefault="00292BD4" w:rsidP="00292BD4"/>
    <w:p w14:paraId="66DD6200" w14:textId="37B10424" w:rsidR="00224A39" w:rsidRPr="00E00F13" w:rsidRDefault="00B9301C" w:rsidP="00224A39">
      <w:pPr>
        <w:pStyle w:val="Ttulo3"/>
        <w:rPr>
          <w:color w:val="auto"/>
        </w:rPr>
      </w:pPr>
      <w:bookmarkStart w:id="133" w:name="_Toc234242856"/>
      <w:r w:rsidRPr="00E00F13">
        <w:rPr>
          <w:color w:val="auto"/>
        </w:rPr>
        <w:t>2.</w:t>
      </w:r>
      <w:r w:rsidR="003A01CD" w:rsidRPr="00E00F13">
        <w:rPr>
          <w:color w:val="auto"/>
        </w:rPr>
        <w:t>8</w:t>
      </w:r>
      <w:r w:rsidRPr="00E00F13">
        <w:rPr>
          <w:color w:val="auto"/>
        </w:rPr>
        <w:t>.</w:t>
      </w:r>
      <w:r w:rsidR="00902401" w:rsidRPr="00E00F13">
        <w:rPr>
          <w:color w:val="auto"/>
        </w:rPr>
        <w:t>7</w:t>
      </w:r>
      <w:r w:rsidRPr="00E00F13">
        <w:rPr>
          <w:color w:val="auto"/>
        </w:rPr>
        <w:t xml:space="preserve">. </w:t>
      </w:r>
      <w:r w:rsidR="00BF6D17" w:rsidRPr="00E00F13">
        <w:rPr>
          <w:color w:val="auto"/>
        </w:rPr>
        <w:t>Enfoque h</w:t>
      </w:r>
      <w:r w:rsidR="00224A39" w:rsidRPr="00E00F13">
        <w:rPr>
          <w:color w:val="auto"/>
        </w:rPr>
        <w:t>acia la paz</w:t>
      </w:r>
      <w:bookmarkEnd w:id="133"/>
    </w:p>
    <w:p w14:paraId="5434B11A" w14:textId="4ECCBFD4" w:rsidR="00E26189" w:rsidRPr="00E00F13" w:rsidRDefault="00F5469C" w:rsidP="00E26189">
      <w:pPr>
        <w:pStyle w:val="Ttulo3"/>
        <w:rPr>
          <w:color w:val="auto"/>
        </w:rPr>
      </w:pPr>
      <w:r w:rsidRPr="00E00F13">
        <w:rPr>
          <w:color w:val="auto"/>
        </w:rPr>
        <w:tab/>
      </w:r>
      <w:bookmarkStart w:id="134" w:name="_Toc234242857"/>
      <w:r w:rsidR="00E26189" w:rsidRPr="00E00F13">
        <w:rPr>
          <w:color w:val="auto"/>
        </w:rPr>
        <w:t>¿En qué consiste?</w:t>
      </w:r>
      <w:bookmarkEnd w:id="134"/>
    </w:p>
    <w:p w14:paraId="60CC8C3F" w14:textId="77777777" w:rsidR="00AA558F" w:rsidRPr="00E00F13" w:rsidRDefault="00AA558F" w:rsidP="00AA558F">
      <w:pPr>
        <w:spacing w:after="0" w:line="360" w:lineRule="auto"/>
        <w:jc w:val="both"/>
        <w:rPr>
          <w:rFonts w:ascii="Arial" w:hAnsi="Arial" w:cs="Arial"/>
          <w:sz w:val="24"/>
          <w:szCs w:val="24"/>
        </w:rPr>
      </w:pPr>
      <w:r w:rsidRPr="00E00F13">
        <w:rPr>
          <w:rFonts w:ascii="Arial" w:hAnsi="Arial" w:cs="Arial"/>
          <w:sz w:val="24"/>
          <w:szCs w:val="24"/>
        </w:rPr>
        <w:t>La paz se entiende como el espacio que se abre entre los anhelos de las personas por un hábitat digno y las múltiples violencias que persisten en los territorios. Va más allá de las mesas de negociación y de los acuerdos entre el Estado y los actores armados ilegales: se centra en las comunidades, en sus territorialidades y en las diversas formas de habitar un espacio conforme a sus características culturales, sociales, ambientales y económicas.</w:t>
      </w:r>
    </w:p>
    <w:p w14:paraId="222D41B4" w14:textId="77777777" w:rsidR="00AA558F" w:rsidRPr="00E00F13" w:rsidRDefault="00AA558F" w:rsidP="00AA558F">
      <w:pPr>
        <w:spacing w:after="0" w:line="360" w:lineRule="auto"/>
        <w:jc w:val="both"/>
        <w:rPr>
          <w:rFonts w:ascii="Arial" w:hAnsi="Arial" w:cs="Arial"/>
          <w:sz w:val="24"/>
          <w:szCs w:val="24"/>
        </w:rPr>
      </w:pPr>
    </w:p>
    <w:p w14:paraId="3D3E50AF" w14:textId="77777777" w:rsidR="00AA558F" w:rsidRPr="00E00F13" w:rsidRDefault="00AA558F" w:rsidP="00AA558F">
      <w:pPr>
        <w:spacing w:after="0" w:line="360" w:lineRule="auto"/>
        <w:jc w:val="both"/>
        <w:rPr>
          <w:rFonts w:ascii="Arial" w:hAnsi="Arial" w:cs="Arial"/>
          <w:sz w:val="24"/>
          <w:szCs w:val="24"/>
        </w:rPr>
      </w:pPr>
      <w:r w:rsidRPr="00E00F13">
        <w:rPr>
          <w:rFonts w:ascii="Arial" w:hAnsi="Arial" w:cs="Arial"/>
          <w:sz w:val="24"/>
          <w:szCs w:val="24"/>
        </w:rPr>
        <w:t>Desde la visión del hábitat biodiverso, construir paz implica garantizar que las personas puedan permanecer en sus territorios sin verse forzadas a desplazarse por motivos de violencia, carencias básicas o condiciones incompatibles con la vida. El concepto de paz ha evolucionado: deja de ser un acto jurídico —la firma de un documento— para convertirse en un conjunto articulado de decisiones y acciones de política que inciden en lo social, lo económico, la vida cotidiana y las territorialidades, reconociendo y respetando las múltiples formas de habitar.</w:t>
      </w:r>
    </w:p>
    <w:p w14:paraId="1AAA2F8E" w14:textId="77777777" w:rsidR="00AA558F" w:rsidRPr="00E00F13" w:rsidRDefault="00AA558F" w:rsidP="00AA558F">
      <w:pPr>
        <w:spacing w:after="0" w:line="360" w:lineRule="auto"/>
        <w:jc w:val="both"/>
        <w:rPr>
          <w:rFonts w:ascii="Arial" w:hAnsi="Arial" w:cs="Arial"/>
          <w:sz w:val="24"/>
          <w:szCs w:val="24"/>
        </w:rPr>
      </w:pPr>
    </w:p>
    <w:p w14:paraId="0DEF163B" w14:textId="77777777" w:rsidR="00AA558F" w:rsidRPr="00E00F13" w:rsidRDefault="00AA558F" w:rsidP="00AA558F">
      <w:pPr>
        <w:spacing w:after="0" w:line="360" w:lineRule="auto"/>
        <w:jc w:val="both"/>
        <w:rPr>
          <w:rFonts w:ascii="Arial" w:hAnsi="Arial" w:cs="Arial"/>
          <w:sz w:val="24"/>
          <w:szCs w:val="24"/>
        </w:rPr>
      </w:pPr>
      <w:r w:rsidRPr="00E00F13">
        <w:rPr>
          <w:rFonts w:ascii="Arial" w:hAnsi="Arial" w:cs="Arial"/>
          <w:sz w:val="24"/>
          <w:szCs w:val="24"/>
        </w:rPr>
        <w:t xml:space="preserve">El enfoque hacia la paz subraya la necesidad de transformar las condiciones territoriales de las poblaciones más vulnerables, en coherencia con la misión del MVCT. Reconoce que indígenas, campesinado, comunidades negras, afrocolombianas, raizales, palenqueras, mujeres cabeza de hogar, personas con discapacidad y otros grupos históricamente excluidos esperan intervenciones que </w:t>
      </w:r>
      <w:r w:rsidRPr="00E00F13">
        <w:rPr>
          <w:rFonts w:ascii="Arial" w:hAnsi="Arial" w:cs="Arial"/>
          <w:sz w:val="24"/>
          <w:szCs w:val="24"/>
        </w:rPr>
        <w:lastRenderedPageBreak/>
        <w:t>fortalezcan su hábitat, su organización social, sus economías solidarias, su capacidad de agremiación y la ruralidad como espacio de vida.</w:t>
      </w:r>
    </w:p>
    <w:p w14:paraId="28349F64" w14:textId="77777777" w:rsidR="00AA558F" w:rsidRPr="00E00F13" w:rsidRDefault="00AA558F" w:rsidP="00AA558F">
      <w:pPr>
        <w:spacing w:after="0" w:line="360" w:lineRule="auto"/>
        <w:jc w:val="both"/>
        <w:rPr>
          <w:rFonts w:ascii="Arial" w:hAnsi="Arial" w:cs="Arial"/>
          <w:sz w:val="24"/>
          <w:szCs w:val="24"/>
        </w:rPr>
      </w:pPr>
    </w:p>
    <w:p w14:paraId="05D37D86" w14:textId="77777777" w:rsidR="00AA558F" w:rsidRPr="00E00F13" w:rsidRDefault="00AA558F" w:rsidP="00AA558F">
      <w:pPr>
        <w:spacing w:after="0" w:line="360" w:lineRule="auto"/>
        <w:jc w:val="both"/>
        <w:rPr>
          <w:rFonts w:ascii="Arial" w:hAnsi="Arial" w:cs="Arial"/>
          <w:sz w:val="24"/>
          <w:szCs w:val="24"/>
        </w:rPr>
      </w:pPr>
      <w:r w:rsidRPr="00E00F13">
        <w:rPr>
          <w:rFonts w:ascii="Arial" w:hAnsi="Arial" w:cs="Arial"/>
          <w:sz w:val="24"/>
          <w:szCs w:val="24"/>
        </w:rPr>
        <w:t>Este enfoque tiene dos pilares: uno normativo y uno estratégico. En lo normativo, se fundamenta en el Acuerdo Final de 2016 y en la política de Paz Total de la Ley 2272 de 2022, que sitúan la paz como política de Estado y la articulan con el conflicto histórico del país. En lo estratégico, orienta la acción del Ministerio: define cómo, desde el trabajo sobre el espacio habitado, se contribuye a la consolidación de la paz en los territorios más afectados por el racismo estructural, los conflictos, la pobreza, la exclusión y las desigualdades.</w:t>
      </w:r>
    </w:p>
    <w:p w14:paraId="1D832804" w14:textId="77777777" w:rsidR="00AA558F" w:rsidRPr="00E00F13" w:rsidRDefault="00AA558F" w:rsidP="00AA558F">
      <w:pPr>
        <w:spacing w:after="0" w:line="360" w:lineRule="auto"/>
        <w:jc w:val="both"/>
        <w:rPr>
          <w:rFonts w:ascii="Arial" w:hAnsi="Arial" w:cs="Arial"/>
          <w:sz w:val="24"/>
          <w:szCs w:val="24"/>
        </w:rPr>
      </w:pPr>
    </w:p>
    <w:p w14:paraId="4BA2ECFB" w14:textId="77777777" w:rsidR="00AA558F" w:rsidRPr="00E00F13" w:rsidRDefault="00AA558F" w:rsidP="00AA558F">
      <w:pPr>
        <w:spacing w:after="0" w:line="360" w:lineRule="auto"/>
        <w:jc w:val="both"/>
        <w:rPr>
          <w:rFonts w:ascii="Arial" w:hAnsi="Arial" w:cs="Arial"/>
          <w:sz w:val="24"/>
          <w:szCs w:val="24"/>
        </w:rPr>
      </w:pPr>
      <w:r w:rsidRPr="00E00F13">
        <w:rPr>
          <w:rFonts w:ascii="Arial" w:hAnsi="Arial" w:cs="Arial"/>
          <w:sz w:val="24"/>
          <w:szCs w:val="24"/>
        </w:rPr>
        <w:t>Ello exige reconocer a las comunidades no como beneficiarias pasivas, sino como sujetos políticos con quienes dialogar en condiciones de paridad. Este giro —coherente con la apuesta gubernamental por el «diálogo social»— transforma la relación institucional y posiciona a las organizaciones territoriales como actoras activas en la construcción de su propio hábitat.</w:t>
      </w:r>
    </w:p>
    <w:p w14:paraId="446A369F" w14:textId="77777777" w:rsidR="00AA558F" w:rsidRPr="00E00F13" w:rsidRDefault="00AA558F" w:rsidP="00AA558F">
      <w:pPr>
        <w:spacing w:after="0" w:line="360" w:lineRule="auto"/>
        <w:jc w:val="both"/>
        <w:rPr>
          <w:rFonts w:ascii="Arial" w:hAnsi="Arial" w:cs="Arial"/>
          <w:sz w:val="24"/>
          <w:szCs w:val="24"/>
        </w:rPr>
      </w:pPr>
    </w:p>
    <w:p w14:paraId="39BE38A5" w14:textId="77777777" w:rsidR="00AA558F" w:rsidRPr="00E00F13" w:rsidRDefault="00AA558F" w:rsidP="00AA558F">
      <w:pPr>
        <w:spacing w:after="0" w:line="360" w:lineRule="auto"/>
        <w:jc w:val="both"/>
        <w:rPr>
          <w:rFonts w:ascii="Arial" w:hAnsi="Arial" w:cs="Arial"/>
          <w:sz w:val="24"/>
          <w:szCs w:val="24"/>
        </w:rPr>
      </w:pPr>
      <w:r w:rsidRPr="00E00F13">
        <w:rPr>
          <w:rFonts w:ascii="Arial" w:hAnsi="Arial" w:cs="Arial"/>
          <w:sz w:val="24"/>
          <w:szCs w:val="24"/>
        </w:rPr>
        <w:t>El concepto institucional de paz aún está en maduración, dadas la novedad y complejidad de la Paz Total. Un avance clave ha sido el programa Barrios y Veredas de Paz, establecido mediante el Decreto 1470 de 2024, que concibe la transformación del hábitat como mecanismo generador de paz. Aunque el programa está en fase inicial, le da coherencia al enfoque y orienta acciones hacia entornos más seguros, organizados y con mayores oportunidades para sus habitantes.</w:t>
      </w:r>
    </w:p>
    <w:p w14:paraId="518FE556" w14:textId="43BAE253" w:rsidR="00AA558F" w:rsidRPr="00E00F13" w:rsidRDefault="00AA558F" w:rsidP="00AA558F">
      <w:pPr>
        <w:spacing w:after="0" w:line="360" w:lineRule="auto"/>
        <w:jc w:val="both"/>
        <w:rPr>
          <w:rFonts w:ascii="Arial" w:hAnsi="Arial" w:cs="Arial"/>
          <w:sz w:val="24"/>
          <w:szCs w:val="24"/>
        </w:rPr>
      </w:pPr>
    </w:p>
    <w:p w14:paraId="73895501" w14:textId="5A6ABD03" w:rsidR="00683A54" w:rsidRPr="00E00F13" w:rsidRDefault="00F5469C" w:rsidP="00683A54">
      <w:pPr>
        <w:pStyle w:val="Ttulo3"/>
        <w:rPr>
          <w:color w:val="auto"/>
        </w:rPr>
      </w:pPr>
      <w:r w:rsidRPr="00E00F13">
        <w:rPr>
          <w:color w:val="auto"/>
        </w:rPr>
        <w:tab/>
      </w:r>
      <w:bookmarkStart w:id="135" w:name="_Toc234242858"/>
      <w:r w:rsidR="00683A54" w:rsidRPr="00E00F13">
        <w:rPr>
          <w:color w:val="auto"/>
        </w:rPr>
        <w:t>El MVCT en la construcción de la paz</w:t>
      </w:r>
      <w:bookmarkEnd w:id="135"/>
    </w:p>
    <w:p w14:paraId="18777AD7" w14:textId="0D4E356D" w:rsidR="00683A54" w:rsidRPr="00E00F13" w:rsidRDefault="00683A54" w:rsidP="00683A54">
      <w:pPr>
        <w:spacing w:after="0" w:line="360" w:lineRule="auto"/>
        <w:jc w:val="both"/>
        <w:rPr>
          <w:rFonts w:ascii="Arial" w:hAnsi="Arial" w:cs="Arial"/>
          <w:sz w:val="24"/>
          <w:szCs w:val="24"/>
        </w:rPr>
      </w:pPr>
      <w:r w:rsidRPr="00E00F13">
        <w:rPr>
          <w:rFonts w:ascii="Arial" w:hAnsi="Arial" w:cs="Arial"/>
          <w:sz w:val="24"/>
          <w:szCs w:val="24"/>
        </w:rPr>
        <w:t xml:space="preserve">El Ministerio de Vivienda, Ciudad y Territorio es </w:t>
      </w:r>
      <w:r w:rsidR="00470CF1" w:rsidRPr="00E00F13">
        <w:rPr>
          <w:rFonts w:ascii="Arial" w:hAnsi="Arial" w:cs="Arial"/>
          <w:sz w:val="24"/>
          <w:szCs w:val="24"/>
        </w:rPr>
        <w:t xml:space="preserve">un </w:t>
      </w:r>
      <w:r w:rsidRPr="00E00F13">
        <w:rPr>
          <w:rFonts w:ascii="Arial" w:hAnsi="Arial" w:cs="Arial"/>
          <w:sz w:val="24"/>
          <w:szCs w:val="24"/>
        </w:rPr>
        <w:t>actor clave en la política de paz del Estado colombiano. Su contribución consiste en:</w:t>
      </w:r>
    </w:p>
    <w:p w14:paraId="3AB048BF" w14:textId="6C01943F" w:rsidR="00683A54" w:rsidRPr="00E00F13" w:rsidRDefault="00683A54" w:rsidP="005E33C6">
      <w:pPr>
        <w:numPr>
          <w:ilvl w:val="0"/>
          <w:numId w:val="36"/>
        </w:numPr>
        <w:spacing w:after="0" w:line="360" w:lineRule="auto"/>
        <w:jc w:val="both"/>
        <w:rPr>
          <w:rFonts w:ascii="Arial" w:hAnsi="Arial" w:cs="Arial"/>
          <w:sz w:val="24"/>
          <w:szCs w:val="24"/>
        </w:rPr>
      </w:pPr>
      <w:r w:rsidRPr="00E00F13">
        <w:rPr>
          <w:rFonts w:ascii="Arial" w:hAnsi="Arial" w:cs="Arial"/>
          <w:sz w:val="24"/>
          <w:szCs w:val="24"/>
        </w:rPr>
        <w:t>Transformar las condiciones del hábitat urbano y rural como base material de la paz.</w:t>
      </w:r>
    </w:p>
    <w:p w14:paraId="17E39B89" w14:textId="266B13F9" w:rsidR="00683A54" w:rsidRPr="00E00F13" w:rsidRDefault="00683A54" w:rsidP="005E33C6">
      <w:pPr>
        <w:numPr>
          <w:ilvl w:val="0"/>
          <w:numId w:val="36"/>
        </w:numPr>
        <w:spacing w:after="0" w:line="360" w:lineRule="auto"/>
        <w:jc w:val="both"/>
        <w:rPr>
          <w:rFonts w:ascii="Arial" w:hAnsi="Arial" w:cs="Arial"/>
          <w:sz w:val="24"/>
          <w:szCs w:val="24"/>
        </w:rPr>
      </w:pPr>
      <w:r w:rsidRPr="00E00F13">
        <w:rPr>
          <w:rFonts w:ascii="Arial" w:hAnsi="Arial" w:cs="Arial"/>
          <w:sz w:val="24"/>
          <w:szCs w:val="24"/>
        </w:rPr>
        <w:t>Focalizar procesos participativos que fortalezcan el tejido social y la organización comunitaria.</w:t>
      </w:r>
    </w:p>
    <w:p w14:paraId="11D28993" w14:textId="41DE2AAF" w:rsidR="00683A54" w:rsidRPr="00E00F13" w:rsidRDefault="00470CF1" w:rsidP="005E33C6">
      <w:pPr>
        <w:numPr>
          <w:ilvl w:val="0"/>
          <w:numId w:val="36"/>
        </w:numPr>
        <w:spacing w:after="0" w:line="360" w:lineRule="auto"/>
        <w:jc w:val="both"/>
        <w:rPr>
          <w:rFonts w:ascii="Arial" w:hAnsi="Arial" w:cs="Arial"/>
          <w:sz w:val="24"/>
          <w:szCs w:val="24"/>
        </w:rPr>
      </w:pPr>
      <w:r w:rsidRPr="00E00F13">
        <w:rPr>
          <w:rFonts w:ascii="Arial" w:hAnsi="Arial" w:cs="Arial"/>
          <w:sz w:val="24"/>
          <w:szCs w:val="24"/>
        </w:rPr>
        <w:lastRenderedPageBreak/>
        <w:t>Propender por r</w:t>
      </w:r>
      <w:r w:rsidR="00683A54" w:rsidRPr="00E00F13">
        <w:rPr>
          <w:rFonts w:ascii="Arial" w:hAnsi="Arial" w:cs="Arial"/>
          <w:sz w:val="24"/>
          <w:szCs w:val="24"/>
        </w:rPr>
        <w:t>educir inequidades territoriales a través de intervenciones integrales y sostenibles</w:t>
      </w:r>
      <w:r w:rsidRPr="00E00F13">
        <w:rPr>
          <w:rFonts w:ascii="Arial" w:hAnsi="Arial" w:cs="Arial"/>
          <w:sz w:val="24"/>
          <w:szCs w:val="24"/>
        </w:rPr>
        <w:t xml:space="preserve"> en materia de vivienda y agua para el consumo humano y saneamiento respetando las distintas maneras de habitar el territorio</w:t>
      </w:r>
      <w:r w:rsidR="00683A54" w:rsidRPr="00E00F13">
        <w:rPr>
          <w:rFonts w:ascii="Arial" w:hAnsi="Arial" w:cs="Arial"/>
          <w:sz w:val="24"/>
          <w:szCs w:val="24"/>
        </w:rPr>
        <w:t>.</w:t>
      </w:r>
    </w:p>
    <w:p w14:paraId="3CB620C1" w14:textId="77777777" w:rsidR="00470CF1" w:rsidRPr="00E00F13" w:rsidRDefault="00470CF1" w:rsidP="00683A54">
      <w:pPr>
        <w:spacing w:after="0" w:line="360" w:lineRule="auto"/>
        <w:jc w:val="both"/>
        <w:rPr>
          <w:rFonts w:ascii="Arial" w:hAnsi="Arial" w:cs="Arial"/>
          <w:sz w:val="24"/>
          <w:szCs w:val="24"/>
        </w:rPr>
      </w:pPr>
    </w:p>
    <w:p w14:paraId="40F11619" w14:textId="5986E4CF" w:rsidR="00683A54" w:rsidRPr="00E00F13" w:rsidRDefault="00683A54" w:rsidP="00683A54">
      <w:pPr>
        <w:spacing w:after="0" w:line="360" w:lineRule="auto"/>
        <w:jc w:val="both"/>
        <w:rPr>
          <w:rFonts w:ascii="Arial" w:hAnsi="Arial" w:cs="Arial"/>
          <w:sz w:val="24"/>
          <w:szCs w:val="24"/>
        </w:rPr>
      </w:pPr>
      <w:r w:rsidRPr="00E00F13">
        <w:rPr>
          <w:rFonts w:ascii="Arial" w:hAnsi="Arial" w:cs="Arial"/>
          <w:sz w:val="24"/>
          <w:szCs w:val="24"/>
        </w:rPr>
        <w:t xml:space="preserve">En conjunto, el enfoque hacia la paz orienta una acción sectorial que entiende el hábitat como un factor estructurante en la superación del conflicto y en la consolidación de </w:t>
      </w:r>
      <w:r w:rsidR="00470CF1" w:rsidRPr="00E00F13">
        <w:rPr>
          <w:rFonts w:ascii="Arial" w:hAnsi="Arial" w:cs="Arial"/>
          <w:sz w:val="24"/>
          <w:szCs w:val="24"/>
        </w:rPr>
        <w:t>l</w:t>
      </w:r>
      <w:r w:rsidRPr="00E00F13">
        <w:rPr>
          <w:rFonts w:ascii="Arial" w:hAnsi="Arial" w:cs="Arial"/>
          <w:sz w:val="24"/>
          <w:szCs w:val="24"/>
        </w:rPr>
        <w:t>a paz.</w:t>
      </w:r>
    </w:p>
    <w:p w14:paraId="2CFCD19E" w14:textId="77777777" w:rsidR="00B13DDD" w:rsidRPr="00E00F13" w:rsidRDefault="00B13DDD" w:rsidP="00AA558F">
      <w:pPr>
        <w:spacing w:after="0" w:line="360" w:lineRule="auto"/>
        <w:jc w:val="both"/>
        <w:rPr>
          <w:rFonts w:ascii="Arial" w:hAnsi="Arial" w:cs="Arial"/>
          <w:sz w:val="24"/>
          <w:szCs w:val="24"/>
        </w:rPr>
      </w:pPr>
    </w:p>
    <w:p w14:paraId="08C7FD5C" w14:textId="7D573753" w:rsidR="00B13DDD" w:rsidRPr="00E00F13" w:rsidRDefault="00A40C19" w:rsidP="00A40C19">
      <w:pPr>
        <w:pStyle w:val="Ttulo3"/>
        <w:rPr>
          <w:color w:val="auto"/>
        </w:rPr>
      </w:pPr>
      <w:bookmarkStart w:id="136" w:name="_Toc234242859"/>
      <w:r w:rsidRPr="00E00F13">
        <w:rPr>
          <w:color w:val="auto"/>
        </w:rPr>
        <w:t>Lineamientos para la construcción de paz desde el Hábitat Biodiverso</w:t>
      </w:r>
      <w:bookmarkEnd w:id="136"/>
    </w:p>
    <w:p w14:paraId="7B4F7328" w14:textId="0764AF0A" w:rsidR="00B13DDD" w:rsidRPr="00E00F13" w:rsidRDefault="00B13DDD" w:rsidP="00E75675">
      <w:pPr>
        <w:pStyle w:val="Ttulo3"/>
        <w:numPr>
          <w:ilvl w:val="0"/>
          <w:numId w:val="64"/>
        </w:numPr>
        <w:rPr>
          <w:color w:val="auto"/>
        </w:rPr>
      </w:pPr>
      <w:bookmarkStart w:id="137" w:name="_Toc234242860"/>
      <w:r w:rsidRPr="00E00F13">
        <w:rPr>
          <w:color w:val="auto"/>
        </w:rPr>
        <w:t>E</w:t>
      </w:r>
      <w:r w:rsidR="00A40C19" w:rsidRPr="00E00F13">
        <w:rPr>
          <w:color w:val="auto"/>
        </w:rPr>
        <w:t>l enfoque hacia la paz: marco político y rol del MVCT</w:t>
      </w:r>
      <w:bookmarkEnd w:id="137"/>
    </w:p>
    <w:p w14:paraId="3201C356" w14:textId="3CA9F21E" w:rsidR="00B13DDD" w:rsidRPr="00E00F13" w:rsidRDefault="00B13DDD" w:rsidP="00B13DDD">
      <w:pPr>
        <w:spacing w:line="360" w:lineRule="auto"/>
        <w:jc w:val="both"/>
        <w:rPr>
          <w:rFonts w:ascii="Arial" w:hAnsi="Arial" w:cs="Arial"/>
          <w:sz w:val="24"/>
          <w:szCs w:val="24"/>
        </w:rPr>
      </w:pPr>
      <w:r w:rsidRPr="00E00F13">
        <w:rPr>
          <w:rFonts w:ascii="Arial" w:eastAsia="Calibri" w:hAnsi="Arial" w:cs="Arial"/>
          <w:sz w:val="24"/>
          <w:szCs w:val="24"/>
        </w:rPr>
        <w:t xml:space="preserve">La paz </w:t>
      </w:r>
      <w:r w:rsidRPr="00E00F13">
        <w:rPr>
          <w:rFonts w:ascii="Arial" w:hAnsi="Arial" w:cs="Arial"/>
          <w:sz w:val="24"/>
          <w:szCs w:val="24"/>
        </w:rPr>
        <w:t xml:space="preserve">puede entenderse </w:t>
      </w:r>
      <w:r w:rsidRPr="00E00F13">
        <w:rPr>
          <w:rFonts w:ascii="Arial" w:eastAsia="Calibri" w:hAnsi="Arial" w:cs="Arial"/>
          <w:sz w:val="24"/>
          <w:szCs w:val="24"/>
        </w:rPr>
        <w:t xml:space="preserve">como el espacio que </w:t>
      </w:r>
      <w:r w:rsidR="005D6526" w:rsidRPr="00E00F13">
        <w:rPr>
          <w:rFonts w:ascii="Arial" w:eastAsia="Calibri" w:hAnsi="Arial" w:cs="Arial"/>
          <w:sz w:val="24"/>
          <w:szCs w:val="24"/>
        </w:rPr>
        <w:t xml:space="preserve">se </w:t>
      </w:r>
      <w:r w:rsidRPr="00E00F13">
        <w:rPr>
          <w:rFonts w:ascii="Arial" w:hAnsi="Arial" w:cs="Arial"/>
          <w:sz w:val="24"/>
          <w:szCs w:val="24"/>
        </w:rPr>
        <w:t xml:space="preserve">produce en la intersección </w:t>
      </w:r>
      <w:r w:rsidRPr="00E00F13">
        <w:rPr>
          <w:rFonts w:ascii="Arial" w:eastAsia="Calibri" w:hAnsi="Arial" w:cs="Arial"/>
          <w:sz w:val="24"/>
          <w:szCs w:val="24"/>
        </w:rPr>
        <w:t xml:space="preserve">entre los anhelos de las personas por un hábitat digno y las múltiples violencias que persisten en los territorios. </w:t>
      </w:r>
      <w:r w:rsidRPr="00E00F13">
        <w:rPr>
          <w:rFonts w:ascii="Arial" w:hAnsi="Arial" w:cs="Arial"/>
          <w:sz w:val="24"/>
          <w:szCs w:val="24"/>
        </w:rPr>
        <w:t>Por lo que su conceptualización, o compresión, v</w:t>
      </w:r>
      <w:r w:rsidRPr="00E00F13">
        <w:rPr>
          <w:rFonts w:ascii="Arial" w:eastAsia="Calibri" w:hAnsi="Arial" w:cs="Arial"/>
          <w:sz w:val="24"/>
          <w:szCs w:val="24"/>
        </w:rPr>
        <w:t>a más allá de las mesas de negociación</w:t>
      </w:r>
      <w:r w:rsidRPr="00E00F13">
        <w:rPr>
          <w:rFonts w:ascii="Arial" w:hAnsi="Arial" w:cs="Arial"/>
          <w:sz w:val="24"/>
          <w:szCs w:val="24"/>
        </w:rPr>
        <w:t xml:space="preserve"> o de los diversos escenarios de construcción de paz desde la perspectiva institucional</w:t>
      </w:r>
      <w:r w:rsidR="005D6526" w:rsidRPr="00E00F13">
        <w:rPr>
          <w:rFonts w:ascii="Arial" w:hAnsi="Arial" w:cs="Arial"/>
          <w:sz w:val="24"/>
          <w:szCs w:val="24"/>
        </w:rPr>
        <w:t xml:space="preserve">, para centrase </w:t>
      </w:r>
      <w:r w:rsidRPr="00E00F13">
        <w:rPr>
          <w:rFonts w:ascii="Arial" w:eastAsia="Calibri" w:hAnsi="Arial" w:cs="Arial"/>
          <w:sz w:val="24"/>
          <w:szCs w:val="24"/>
        </w:rPr>
        <w:t xml:space="preserve">en las comunidades, en sus territorialidades y en las formas de habitar conforme a sus características culturales, sociales, ambientales y económicas. </w:t>
      </w:r>
    </w:p>
    <w:p w14:paraId="08AF9330" w14:textId="77777777" w:rsidR="00B13DDD" w:rsidRPr="00E00F13" w:rsidRDefault="00B13DDD" w:rsidP="00B13DDD">
      <w:pPr>
        <w:spacing w:line="360" w:lineRule="auto"/>
        <w:jc w:val="both"/>
        <w:rPr>
          <w:rFonts w:ascii="Arial" w:hAnsi="Arial" w:cs="Arial"/>
          <w:sz w:val="24"/>
          <w:szCs w:val="24"/>
        </w:rPr>
      </w:pPr>
      <w:r w:rsidRPr="00E00F13">
        <w:rPr>
          <w:rFonts w:ascii="Arial" w:eastAsia="Calibri" w:hAnsi="Arial" w:cs="Arial"/>
          <w:sz w:val="24"/>
          <w:szCs w:val="24"/>
        </w:rPr>
        <w:t>Desde la visión del hábitat biodiverso, construir</w:t>
      </w:r>
      <w:r w:rsidRPr="00E00F13">
        <w:rPr>
          <w:rFonts w:ascii="Arial" w:hAnsi="Arial" w:cs="Arial"/>
          <w:sz w:val="24"/>
          <w:szCs w:val="24"/>
        </w:rPr>
        <w:t xml:space="preserve"> paz, o aportar a su construcción,</w:t>
      </w:r>
      <w:r w:rsidRPr="00E00F13">
        <w:rPr>
          <w:rFonts w:ascii="Arial" w:eastAsia="Calibri" w:hAnsi="Arial" w:cs="Arial"/>
          <w:sz w:val="24"/>
          <w:szCs w:val="24"/>
        </w:rPr>
        <w:t xml:space="preserve"> implica garantizar que las personas puedan permanecer en sus territorios sin verse forzadas a desplazarse por motivos de violencia, carencias básicas o condiciones incompatibles con </w:t>
      </w:r>
      <w:r w:rsidRPr="00E00F13">
        <w:rPr>
          <w:rFonts w:ascii="Arial" w:hAnsi="Arial" w:cs="Arial"/>
          <w:sz w:val="24"/>
          <w:szCs w:val="24"/>
        </w:rPr>
        <w:t>los modos y las formas de</w:t>
      </w:r>
      <w:r w:rsidRPr="00E00F13">
        <w:rPr>
          <w:rFonts w:ascii="Arial" w:eastAsia="Calibri" w:hAnsi="Arial" w:cs="Arial"/>
          <w:sz w:val="24"/>
          <w:szCs w:val="24"/>
        </w:rPr>
        <w:t xml:space="preserve"> vida</w:t>
      </w:r>
      <w:r w:rsidRPr="00E00F13">
        <w:rPr>
          <w:rFonts w:ascii="Arial" w:hAnsi="Arial" w:cs="Arial"/>
          <w:sz w:val="24"/>
          <w:szCs w:val="24"/>
        </w:rPr>
        <w:t xml:space="preserve"> vinculadas al territorio</w:t>
      </w:r>
      <w:r w:rsidRPr="00E00F13">
        <w:rPr>
          <w:rFonts w:ascii="Arial" w:eastAsia="Calibri" w:hAnsi="Arial" w:cs="Arial"/>
          <w:sz w:val="24"/>
          <w:szCs w:val="24"/>
        </w:rPr>
        <w:t>.</w:t>
      </w:r>
    </w:p>
    <w:p w14:paraId="52AE3CDA" w14:textId="77777777" w:rsidR="00B13DDD" w:rsidRPr="00E00F13" w:rsidRDefault="00B13DDD" w:rsidP="00B13DDD">
      <w:pPr>
        <w:spacing w:line="360" w:lineRule="auto"/>
        <w:jc w:val="both"/>
        <w:rPr>
          <w:rFonts w:ascii="Arial" w:hAnsi="Arial" w:cs="Arial"/>
          <w:sz w:val="24"/>
          <w:szCs w:val="24"/>
        </w:rPr>
      </w:pPr>
      <w:r w:rsidRPr="00E00F13">
        <w:rPr>
          <w:rFonts w:ascii="Arial" w:eastAsia="Calibri" w:hAnsi="Arial" w:cs="Arial"/>
          <w:sz w:val="24"/>
          <w:szCs w:val="24"/>
        </w:rPr>
        <w:t>E</w:t>
      </w:r>
      <w:r w:rsidRPr="00E00F13">
        <w:rPr>
          <w:rFonts w:ascii="Arial" w:hAnsi="Arial" w:cs="Arial"/>
          <w:sz w:val="24"/>
          <w:szCs w:val="24"/>
        </w:rPr>
        <w:t>ste</w:t>
      </w:r>
      <w:r w:rsidRPr="00E00F13">
        <w:rPr>
          <w:rFonts w:ascii="Arial" w:eastAsia="Calibri" w:hAnsi="Arial" w:cs="Arial"/>
          <w:sz w:val="24"/>
          <w:szCs w:val="24"/>
        </w:rPr>
        <w:t xml:space="preserve"> enfoque se sostiene en dos pilares. En lo normativo, se fundamenta en el Acuerdo Final de 2016 y en la política de Paz Total de la Ley 2272 de 2022. En lo estratégico, orienta cómo, desde el trabajo sobre el espacio habitado, el Ministerio contribuye a la consolidación de la paz en los territorios más afectados por el racismo estructural, los conflictos, la pobreza, la exclusión y las desigualdades. Reconoce a las comunidades como sujetos políticos con quienes dialogar en condiciones de paridad. El paso del «mi» al «nuestro» —del Mi Casa Ya al Nuestro Hábitat Biodiverso— es también </w:t>
      </w:r>
      <w:r w:rsidRPr="00E00F13">
        <w:rPr>
          <w:rFonts w:ascii="Arial" w:hAnsi="Arial" w:cs="Arial"/>
          <w:sz w:val="24"/>
          <w:szCs w:val="24"/>
        </w:rPr>
        <w:t>pensar en una</w:t>
      </w:r>
      <w:r w:rsidRPr="00E00F13">
        <w:rPr>
          <w:rFonts w:ascii="Arial" w:eastAsia="Calibri" w:hAnsi="Arial" w:cs="Arial"/>
          <w:sz w:val="24"/>
          <w:szCs w:val="24"/>
        </w:rPr>
        <w:t xml:space="preserve"> operación</w:t>
      </w:r>
      <w:r w:rsidRPr="00E00F13">
        <w:rPr>
          <w:rFonts w:ascii="Arial" w:hAnsi="Arial" w:cs="Arial"/>
          <w:sz w:val="24"/>
          <w:szCs w:val="24"/>
        </w:rPr>
        <w:t xml:space="preserve"> en</w:t>
      </w:r>
      <w:r w:rsidRPr="00E00F13">
        <w:rPr>
          <w:rFonts w:ascii="Arial" w:eastAsia="Calibri" w:hAnsi="Arial" w:cs="Arial"/>
          <w:sz w:val="24"/>
          <w:szCs w:val="24"/>
        </w:rPr>
        <w:t xml:space="preserve"> </w:t>
      </w:r>
      <w:r w:rsidRPr="00E00F13">
        <w:rPr>
          <w:rFonts w:ascii="Arial" w:hAnsi="Arial" w:cs="Arial"/>
          <w:sz w:val="24"/>
          <w:szCs w:val="24"/>
        </w:rPr>
        <w:t xml:space="preserve">lógica </w:t>
      </w:r>
      <w:r w:rsidRPr="00E00F13">
        <w:rPr>
          <w:rFonts w:ascii="Arial" w:eastAsia="Calibri" w:hAnsi="Arial" w:cs="Arial"/>
          <w:sz w:val="24"/>
          <w:szCs w:val="24"/>
        </w:rPr>
        <w:t>de paz</w:t>
      </w:r>
      <w:r w:rsidRPr="00E00F13">
        <w:rPr>
          <w:rFonts w:ascii="Arial" w:hAnsi="Arial" w:cs="Arial"/>
          <w:sz w:val="24"/>
          <w:szCs w:val="24"/>
        </w:rPr>
        <w:t xml:space="preserve"> que </w:t>
      </w:r>
      <w:r w:rsidRPr="00E00F13">
        <w:rPr>
          <w:rFonts w:ascii="Arial" w:hAnsi="Arial" w:cs="Arial"/>
          <w:sz w:val="24"/>
          <w:szCs w:val="24"/>
        </w:rPr>
        <w:lastRenderedPageBreak/>
        <w:t xml:space="preserve">propone </w:t>
      </w:r>
      <w:r w:rsidRPr="00E00F13">
        <w:rPr>
          <w:rFonts w:ascii="Arial" w:eastAsia="Calibri" w:hAnsi="Arial" w:cs="Arial"/>
          <w:sz w:val="24"/>
          <w:szCs w:val="24"/>
        </w:rPr>
        <w:t>pensar el hábitat como espacio compartido en el que se reconstruyen los lazos sociales rotos por el conflicto.</w:t>
      </w:r>
    </w:p>
    <w:p w14:paraId="01615BAE" w14:textId="77777777" w:rsidR="00B13DDD" w:rsidRPr="00E00F13" w:rsidRDefault="00B13DDD" w:rsidP="00B13DDD">
      <w:pPr>
        <w:spacing w:line="360" w:lineRule="auto"/>
        <w:jc w:val="both"/>
        <w:rPr>
          <w:rFonts w:ascii="Arial" w:hAnsi="Arial" w:cs="Arial"/>
          <w:sz w:val="24"/>
          <w:szCs w:val="24"/>
        </w:rPr>
      </w:pPr>
      <w:r w:rsidRPr="00E00F13">
        <w:rPr>
          <w:rFonts w:ascii="Arial" w:eastAsia="Calibri" w:hAnsi="Arial" w:cs="Arial"/>
          <w:sz w:val="24"/>
          <w:szCs w:val="24"/>
        </w:rPr>
        <w:t xml:space="preserve">El rol del MVCT en la construcción de paz se concreta en cinco contribuciones: </w:t>
      </w:r>
    </w:p>
    <w:p w14:paraId="0F06C595" w14:textId="29770BA7" w:rsidR="00B13DDD" w:rsidRPr="00E00F13" w:rsidRDefault="00B13DDD">
      <w:pPr>
        <w:pStyle w:val="Prrafodelista"/>
        <w:numPr>
          <w:ilvl w:val="0"/>
          <w:numId w:val="55"/>
        </w:numPr>
        <w:spacing w:line="360" w:lineRule="auto"/>
        <w:contextualSpacing w:val="0"/>
        <w:jc w:val="both"/>
        <w:rPr>
          <w:rFonts w:ascii="Arial" w:hAnsi="Arial" w:cs="Arial"/>
          <w:sz w:val="24"/>
          <w:szCs w:val="24"/>
        </w:rPr>
      </w:pPr>
      <w:r w:rsidRPr="00E00F13">
        <w:rPr>
          <w:rFonts w:ascii="Arial" w:hAnsi="Arial" w:cs="Arial"/>
          <w:sz w:val="24"/>
          <w:szCs w:val="24"/>
        </w:rPr>
        <w:t>Transformar las condiciones del hábitat urbano y rural como base material de la paz</w:t>
      </w:r>
      <w:r w:rsidR="005D6526" w:rsidRPr="00E00F13">
        <w:rPr>
          <w:rFonts w:ascii="Arial" w:hAnsi="Arial" w:cs="Arial"/>
          <w:sz w:val="24"/>
          <w:szCs w:val="24"/>
        </w:rPr>
        <w:t>.</w:t>
      </w:r>
      <w:r w:rsidRPr="00E00F13">
        <w:rPr>
          <w:rFonts w:ascii="Arial" w:hAnsi="Arial" w:cs="Arial"/>
          <w:sz w:val="24"/>
          <w:szCs w:val="24"/>
        </w:rPr>
        <w:t xml:space="preserve"> </w:t>
      </w:r>
    </w:p>
    <w:p w14:paraId="11D68E6B" w14:textId="3E06EC68" w:rsidR="00B13DDD" w:rsidRPr="00E00F13" w:rsidRDefault="00B13DDD">
      <w:pPr>
        <w:pStyle w:val="Prrafodelista"/>
        <w:numPr>
          <w:ilvl w:val="0"/>
          <w:numId w:val="55"/>
        </w:numPr>
        <w:spacing w:line="360" w:lineRule="auto"/>
        <w:contextualSpacing w:val="0"/>
        <w:jc w:val="both"/>
        <w:rPr>
          <w:rFonts w:ascii="Arial" w:hAnsi="Arial" w:cs="Arial"/>
          <w:sz w:val="24"/>
          <w:szCs w:val="24"/>
        </w:rPr>
      </w:pPr>
      <w:r w:rsidRPr="00E00F13">
        <w:rPr>
          <w:rFonts w:ascii="Arial" w:hAnsi="Arial" w:cs="Arial"/>
          <w:sz w:val="24"/>
          <w:szCs w:val="24"/>
        </w:rPr>
        <w:t>Focalizar procesos participativos que fortalezcan el tejido social y la organización comunitaria</w:t>
      </w:r>
      <w:r w:rsidR="005D6526" w:rsidRPr="00E00F13">
        <w:rPr>
          <w:rFonts w:ascii="Arial" w:hAnsi="Arial" w:cs="Arial"/>
          <w:sz w:val="24"/>
          <w:szCs w:val="24"/>
        </w:rPr>
        <w:t>.</w:t>
      </w:r>
      <w:r w:rsidRPr="00E00F13">
        <w:rPr>
          <w:rFonts w:ascii="Arial" w:hAnsi="Arial" w:cs="Arial"/>
          <w:sz w:val="24"/>
          <w:szCs w:val="24"/>
        </w:rPr>
        <w:t xml:space="preserve"> </w:t>
      </w:r>
    </w:p>
    <w:p w14:paraId="6F226111" w14:textId="111F9E9E" w:rsidR="00B13DDD" w:rsidRPr="00E00F13" w:rsidRDefault="00B13DDD">
      <w:pPr>
        <w:pStyle w:val="Prrafodelista"/>
        <w:numPr>
          <w:ilvl w:val="0"/>
          <w:numId w:val="55"/>
        </w:numPr>
        <w:spacing w:line="360" w:lineRule="auto"/>
        <w:contextualSpacing w:val="0"/>
        <w:jc w:val="both"/>
        <w:rPr>
          <w:rFonts w:ascii="Arial" w:hAnsi="Arial" w:cs="Arial"/>
          <w:sz w:val="24"/>
          <w:szCs w:val="24"/>
        </w:rPr>
      </w:pPr>
      <w:r w:rsidRPr="00E00F13">
        <w:rPr>
          <w:rFonts w:ascii="Arial" w:hAnsi="Arial" w:cs="Arial"/>
          <w:sz w:val="24"/>
          <w:szCs w:val="24"/>
        </w:rPr>
        <w:t>Reducir inequidades territoriales con intervenciones integrales en vivienda, agua y saneamiento básico</w:t>
      </w:r>
      <w:r w:rsidR="005D6526" w:rsidRPr="00E00F13">
        <w:rPr>
          <w:rFonts w:ascii="Arial" w:hAnsi="Arial" w:cs="Arial"/>
          <w:sz w:val="24"/>
          <w:szCs w:val="24"/>
        </w:rPr>
        <w:t>.</w:t>
      </w:r>
    </w:p>
    <w:p w14:paraId="14F2C898" w14:textId="1A20DDFF" w:rsidR="00B13DDD" w:rsidRPr="00E00F13" w:rsidRDefault="00B13DDD">
      <w:pPr>
        <w:pStyle w:val="Prrafodelista"/>
        <w:numPr>
          <w:ilvl w:val="0"/>
          <w:numId w:val="55"/>
        </w:numPr>
        <w:spacing w:line="360" w:lineRule="auto"/>
        <w:contextualSpacing w:val="0"/>
        <w:jc w:val="both"/>
        <w:rPr>
          <w:rFonts w:ascii="Arial" w:hAnsi="Arial" w:cs="Arial"/>
          <w:sz w:val="24"/>
          <w:szCs w:val="24"/>
        </w:rPr>
      </w:pPr>
      <w:r w:rsidRPr="00E00F13">
        <w:rPr>
          <w:rFonts w:ascii="Arial" w:hAnsi="Arial" w:cs="Arial"/>
          <w:sz w:val="24"/>
          <w:szCs w:val="24"/>
        </w:rPr>
        <w:t>Articular acciones con la institucionalidad de la paz (ART, ARN, JEP, U</w:t>
      </w:r>
      <w:r w:rsidR="005D6526" w:rsidRPr="00E00F13">
        <w:rPr>
          <w:rFonts w:ascii="Arial" w:hAnsi="Arial" w:cs="Arial"/>
          <w:sz w:val="24"/>
          <w:szCs w:val="24"/>
        </w:rPr>
        <w:t>ariv</w:t>
      </w:r>
      <w:r w:rsidRPr="00E00F13">
        <w:rPr>
          <w:rFonts w:ascii="Arial" w:hAnsi="Arial" w:cs="Arial"/>
          <w:sz w:val="24"/>
          <w:szCs w:val="24"/>
        </w:rPr>
        <w:t>, URT) para que el hábitat opere como dispositivo de cumplimiento del Acuerdo Final y de las nuevas agendas de paz territorial</w:t>
      </w:r>
      <w:r w:rsidR="005D6526" w:rsidRPr="00E00F13">
        <w:rPr>
          <w:rFonts w:ascii="Arial" w:hAnsi="Arial" w:cs="Arial"/>
          <w:sz w:val="24"/>
          <w:szCs w:val="24"/>
        </w:rPr>
        <w:t>.</w:t>
      </w:r>
      <w:r w:rsidRPr="00E00F13">
        <w:rPr>
          <w:rFonts w:ascii="Arial" w:hAnsi="Arial" w:cs="Arial"/>
          <w:sz w:val="24"/>
          <w:szCs w:val="24"/>
        </w:rPr>
        <w:t xml:space="preserve"> </w:t>
      </w:r>
    </w:p>
    <w:p w14:paraId="4106313B" w14:textId="5D3387E6" w:rsidR="00B13DDD" w:rsidRPr="00E00F13" w:rsidRDefault="005D6526">
      <w:pPr>
        <w:pStyle w:val="Prrafodelista"/>
        <w:numPr>
          <w:ilvl w:val="0"/>
          <w:numId w:val="55"/>
        </w:numPr>
        <w:spacing w:line="360" w:lineRule="auto"/>
        <w:contextualSpacing w:val="0"/>
        <w:jc w:val="both"/>
        <w:rPr>
          <w:rFonts w:ascii="Arial" w:hAnsi="Arial" w:cs="Arial"/>
          <w:sz w:val="24"/>
          <w:szCs w:val="24"/>
        </w:rPr>
      </w:pPr>
      <w:r w:rsidRPr="00E00F13">
        <w:rPr>
          <w:rFonts w:ascii="Arial" w:hAnsi="Arial" w:cs="Arial"/>
          <w:sz w:val="24"/>
          <w:szCs w:val="24"/>
        </w:rPr>
        <w:t>Fortalecer</w:t>
      </w:r>
      <w:r w:rsidR="00B13DDD" w:rsidRPr="00E00F13">
        <w:rPr>
          <w:rFonts w:ascii="Arial" w:hAnsi="Arial" w:cs="Arial"/>
          <w:sz w:val="24"/>
          <w:szCs w:val="24"/>
        </w:rPr>
        <w:t xml:space="preserve"> socialmente el territorio mediante metodologías ágiles de focalización y la materialización de los nuevos desarrollos normativos.</w:t>
      </w:r>
    </w:p>
    <w:p w14:paraId="259B7F40" w14:textId="48F4CBC5" w:rsidR="00B13DDD" w:rsidRPr="00E00F13" w:rsidRDefault="00B13DDD" w:rsidP="00E75675">
      <w:pPr>
        <w:pStyle w:val="Ttulo3"/>
        <w:numPr>
          <w:ilvl w:val="0"/>
          <w:numId w:val="64"/>
        </w:numPr>
        <w:rPr>
          <w:color w:val="auto"/>
        </w:rPr>
      </w:pPr>
      <w:bookmarkStart w:id="138" w:name="_Toc234242861"/>
      <w:r w:rsidRPr="00E00F13">
        <w:rPr>
          <w:color w:val="auto"/>
        </w:rPr>
        <w:t>B</w:t>
      </w:r>
      <w:r w:rsidR="00A40C19" w:rsidRPr="00E00F13">
        <w:rPr>
          <w:color w:val="auto"/>
        </w:rPr>
        <w:t>alance del sector: coyuntura del conflicto e implementación del acuerdo</w:t>
      </w:r>
      <w:bookmarkEnd w:id="138"/>
    </w:p>
    <w:p w14:paraId="596D736B" w14:textId="5F6C7832" w:rsidR="00B13DDD" w:rsidRPr="00E00F13" w:rsidRDefault="00B13DDD" w:rsidP="00B13DDD">
      <w:pPr>
        <w:spacing w:line="360" w:lineRule="auto"/>
        <w:jc w:val="both"/>
        <w:rPr>
          <w:rFonts w:ascii="Arial" w:hAnsi="Arial" w:cs="Arial"/>
          <w:sz w:val="24"/>
          <w:szCs w:val="24"/>
        </w:rPr>
      </w:pPr>
      <w:r w:rsidRPr="00E00F13">
        <w:rPr>
          <w:rFonts w:ascii="Arial" w:eastAsia="Calibri" w:hAnsi="Arial" w:cs="Arial"/>
          <w:sz w:val="24"/>
          <w:szCs w:val="24"/>
        </w:rPr>
        <w:t>El conflicto armado interno ha sido determinante</w:t>
      </w:r>
      <w:r w:rsidR="005D6526" w:rsidRPr="00E00F13">
        <w:rPr>
          <w:rFonts w:ascii="Arial" w:hAnsi="Arial" w:cs="Arial"/>
          <w:sz w:val="24"/>
          <w:szCs w:val="24"/>
        </w:rPr>
        <w:t xml:space="preserve"> y </w:t>
      </w:r>
      <w:r w:rsidRPr="00E00F13">
        <w:rPr>
          <w:rFonts w:ascii="Arial" w:hAnsi="Arial" w:cs="Arial"/>
          <w:sz w:val="24"/>
          <w:szCs w:val="24"/>
        </w:rPr>
        <w:t>condicionante</w:t>
      </w:r>
      <w:r w:rsidRPr="00E00F13">
        <w:rPr>
          <w:rFonts w:ascii="Arial" w:eastAsia="Calibri" w:hAnsi="Arial" w:cs="Arial"/>
          <w:sz w:val="24"/>
          <w:szCs w:val="24"/>
        </w:rPr>
        <w:t xml:space="preserve"> en la configuración de las problemáticas del hábitat. Los actores armados han producido geografías de control, han impuesto formas de ocupación y han generado desplazamientos forzados que reproducen los asentamientos informales en cabeceras municipales. En el panorama actual, la distinción entre actores políticos insurgentes y grupos de crimen organizado se ha desdibujado: las estructuras han mutado a redes federadas y flexibles, con gobernanza criminal que compite con la legitimidad estatal en lo local. Entre 2022 y 2025 la Defensoría del Pueblo emitió 20 informes de alerta temprana —10 de inminencia— que documentan afectaciones en cuatro dimensiones: gobernanza criminal sobre el ordenamiento territorial, desplazamiento y despojo, destrucción de infraestructuras críticas (acueductos comunitarios, vías terciarias) y riesgos para los liderazgos sociales.</w:t>
      </w:r>
    </w:p>
    <w:p w14:paraId="56F1C06A" w14:textId="77777777" w:rsidR="00B13DDD" w:rsidRPr="00E00F13" w:rsidRDefault="00B13DDD" w:rsidP="00B13DDD">
      <w:pPr>
        <w:spacing w:line="360" w:lineRule="auto"/>
        <w:jc w:val="both"/>
        <w:rPr>
          <w:rFonts w:ascii="Arial" w:hAnsi="Arial" w:cs="Arial"/>
          <w:sz w:val="24"/>
          <w:szCs w:val="24"/>
        </w:rPr>
      </w:pPr>
      <w:r w:rsidRPr="00E00F13">
        <w:rPr>
          <w:rFonts w:ascii="Arial" w:eastAsia="Calibri" w:hAnsi="Arial" w:cs="Arial"/>
          <w:sz w:val="24"/>
          <w:szCs w:val="24"/>
        </w:rPr>
        <w:lastRenderedPageBreak/>
        <w:t xml:space="preserve">La política tradicional de vivienda, centrada en la producción urbana y la medición cuantitativa, impuso barreras de cierre financiero y titulación que excluyen a las familias campesinas más vulnerables. En las ciudades capitales generó </w:t>
      </w:r>
      <w:r w:rsidRPr="00E00F13">
        <w:rPr>
          <w:rFonts w:ascii="Arial" w:hAnsi="Arial" w:cs="Arial"/>
          <w:sz w:val="24"/>
          <w:szCs w:val="24"/>
        </w:rPr>
        <w:t>dinámicas de “</w:t>
      </w:r>
      <w:r w:rsidRPr="00E00F13">
        <w:rPr>
          <w:rFonts w:ascii="Arial" w:eastAsia="Calibri" w:hAnsi="Arial" w:cs="Arial"/>
          <w:sz w:val="24"/>
          <w:szCs w:val="24"/>
        </w:rPr>
        <w:t>viviendas sin ciudad</w:t>
      </w:r>
      <w:r w:rsidRPr="00E00F13">
        <w:rPr>
          <w:rFonts w:ascii="Arial" w:hAnsi="Arial" w:cs="Arial"/>
          <w:sz w:val="24"/>
          <w:szCs w:val="24"/>
        </w:rPr>
        <w:t>”</w:t>
      </w:r>
      <w:r w:rsidRPr="00E00F13">
        <w:rPr>
          <w:rFonts w:ascii="Arial" w:eastAsia="Calibri" w:hAnsi="Arial" w:cs="Arial"/>
          <w:sz w:val="24"/>
          <w:szCs w:val="24"/>
        </w:rPr>
        <w:t xml:space="preserve">, segregando a víctimas en entornos de revictimización; en ciudades intermedias como Cúcuta, Caucasia, Yopal y Arauca, concentró a víctimas de varias oleadas de violencia en condiciones de alta conflictividad. </w:t>
      </w:r>
    </w:p>
    <w:p w14:paraId="136F759B" w14:textId="670B71E1" w:rsidR="00B13DDD" w:rsidRPr="00E00F13" w:rsidRDefault="00B13DDD" w:rsidP="00B13DDD">
      <w:pPr>
        <w:spacing w:line="360" w:lineRule="auto"/>
        <w:jc w:val="both"/>
        <w:rPr>
          <w:rFonts w:ascii="Arial" w:hAnsi="Arial" w:cs="Arial"/>
          <w:sz w:val="24"/>
          <w:szCs w:val="24"/>
        </w:rPr>
      </w:pPr>
      <w:r w:rsidRPr="00E00F13">
        <w:rPr>
          <w:rFonts w:ascii="Arial" w:eastAsia="Calibri" w:hAnsi="Arial" w:cs="Arial"/>
          <w:sz w:val="24"/>
          <w:szCs w:val="24"/>
        </w:rPr>
        <w:t xml:space="preserve">El balance transversal de los siete informes de la Procuraduría General de la Nación (2019-2025) muestra que la implementación del Acuerdo entró en una administración de la precariedad. El Séptimo Informe (2025) constata: estancamiento en agua y saneamiento rural (0,0 % de avance en indicadores PMI para 2024); reducción del 78,34 % en el valor de los contratos de vivienda e infraestructura en zonas PDET; y </w:t>
      </w:r>
      <w:proofErr w:type="spellStart"/>
      <w:r w:rsidRPr="00E00F13">
        <w:rPr>
          <w:rFonts w:ascii="Arial" w:eastAsia="Calibri" w:hAnsi="Arial" w:cs="Arial"/>
          <w:sz w:val="24"/>
          <w:szCs w:val="24"/>
        </w:rPr>
        <w:t>microfundización</w:t>
      </w:r>
      <w:proofErr w:type="spellEnd"/>
      <w:r w:rsidRPr="00E00F13">
        <w:rPr>
          <w:rFonts w:ascii="Arial" w:eastAsia="Calibri" w:hAnsi="Arial" w:cs="Arial"/>
          <w:sz w:val="24"/>
          <w:szCs w:val="24"/>
        </w:rPr>
        <w:t xml:space="preserve"> en la formalización (76,7 % de predios menores a 3 ha), lectura que puede entenderse también como avance de la Reforma Rural si se reconoce su correspondencia con la estructura campesina.</w:t>
      </w:r>
      <w:r w:rsidRPr="00E00F13">
        <w:rPr>
          <w:rFonts w:ascii="Arial" w:hAnsi="Arial" w:cs="Arial"/>
          <w:sz w:val="24"/>
          <w:szCs w:val="24"/>
        </w:rPr>
        <w:t xml:space="preserve"> Esto tiene relación con las formas de implementación de la política y con las condicionantes de medición, actualmente los parámetros de cuantificación de las acciones se limitan al componente de ejecución y se deja de lado el principio de concurrencia y las acciones de Asistencia Técnica </w:t>
      </w:r>
      <w:r w:rsidR="005D6526" w:rsidRPr="00E00F13">
        <w:rPr>
          <w:rFonts w:ascii="Arial" w:hAnsi="Arial" w:cs="Arial"/>
          <w:sz w:val="24"/>
          <w:szCs w:val="24"/>
        </w:rPr>
        <w:t xml:space="preserve">Integral </w:t>
      </w:r>
      <w:r w:rsidRPr="00E00F13">
        <w:rPr>
          <w:rFonts w:ascii="Arial" w:hAnsi="Arial" w:cs="Arial"/>
          <w:sz w:val="24"/>
          <w:szCs w:val="24"/>
        </w:rPr>
        <w:t>que realiza el MVCT.</w:t>
      </w:r>
    </w:p>
    <w:p w14:paraId="35FF7FA5" w14:textId="3B9902AC" w:rsidR="00B13DDD" w:rsidRPr="00E00F13" w:rsidRDefault="005D6526" w:rsidP="00B13DDD">
      <w:pPr>
        <w:spacing w:line="360" w:lineRule="auto"/>
        <w:jc w:val="both"/>
        <w:rPr>
          <w:rFonts w:ascii="Arial" w:hAnsi="Arial" w:cs="Arial"/>
          <w:sz w:val="24"/>
          <w:szCs w:val="24"/>
        </w:rPr>
      </w:pPr>
      <w:r w:rsidRPr="00E00F13">
        <w:rPr>
          <w:rFonts w:ascii="Arial" w:hAnsi="Arial" w:cs="Arial"/>
          <w:sz w:val="24"/>
          <w:szCs w:val="24"/>
        </w:rPr>
        <w:t>E</w:t>
      </w:r>
      <w:r w:rsidR="00B13DDD" w:rsidRPr="00E00F13">
        <w:rPr>
          <w:rFonts w:ascii="Arial" w:eastAsia="Calibri" w:hAnsi="Arial" w:cs="Arial"/>
          <w:sz w:val="24"/>
          <w:szCs w:val="24"/>
        </w:rPr>
        <w:t>n el análisis territorializado, 74 % de las iniciativas PATR sin ruta de implementación dependen de las entidades territoriales</w:t>
      </w:r>
      <w:r w:rsidR="00B13DDD" w:rsidRPr="00E00F13">
        <w:rPr>
          <w:rFonts w:ascii="Arial" w:hAnsi="Arial" w:cs="Arial"/>
          <w:sz w:val="24"/>
          <w:szCs w:val="24"/>
        </w:rPr>
        <w:t xml:space="preserve"> directamente, no del MVCT</w:t>
      </w:r>
      <w:r w:rsidR="00B13DDD" w:rsidRPr="00E00F13">
        <w:rPr>
          <w:rFonts w:ascii="Arial" w:eastAsia="Calibri" w:hAnsi="Arial" w:cs="Arial"/>
          <w:sz w:val="24"/>
          <w:szCs w:val="24"/>
        </w:rPr>
        <w:t>. Caguán-Piedemonte Caqueteño, Bajo Cauca y sur de Bolívar presentan déficits superiores al 95 %. El MVCT ha identificado 209 acciones en las Maquetas de Paz —Bajo Calima, Abades, Tumaco-</w:t>
      </w:r>
      <w:proofErr w:type="spellStart"/>
      <w:r w:rsidR="00B13DDD" w:rsidRPr="00E00F13">
        <w:rPr>
          <w:rFonts w:ascii="Arial" w:eastAsia="Calibri" w:hAnsi="Arial" w:cs="Arial"/>
          <w:sz w:val="24"/>
          <w:szCs w:val="24"/>
        </w:rPr>
        <w:t>Telembí</w:t>
      </w:r>
      <w:proofErr w:type="spellEnd"/>
      <w:r w:rsidR="00B13DDD" w:rsidRPr="00E00F13">
        <w:rPr>
          <w:rFonts w:ascii="Arial" w:eastAsia="Calibri" w:hAnsi="Arial" w:cs="Arial"/>
          <w:sz w:val="24"/>
          <w:szCs w:val="24"/>
        </w:rPr>
        <w:t>-</w:t>
      </w:r>
      <w:proofErr w:type="spellStart"/>
      <w:r w:rsidR="00B13DDD" w:rsidRPr="00E00F13">
        <w:rPr>
          <w:rFonts w:ascii="Arial" w:eastAsia="Calibri" w:hAnsi="Arial" w:cs="Arial"/>
          <w:sz w:val="24"/>
          <w:szCs w:val="24"/>
        </w:rPr>
        <w:t>Sanquianga</w:t>
      </w:r>
      <w:proofErr w:type="spellEnd"/>
      <w:r w:rsidR="00B13DDD" w:rsidRPr="00E00F13">
        <w:rPr>
          <w:rFonts w:ascii="Arial" w:eastAsia="Calibri" w:hAnsi="Arial" w:cs="Arial"/>
          <w:sz w:val="24"/>
          <w:szCs w:val="24"/>
        </w:rPr>
        <w:t>, Valle de Aburrá, Quibdó, Catatumbo, (a)</w:t>
      </w:r>
      <w:r w:rsidRPr="00E00F13">
        <w:rPr>
          <w:rFonts w:ascii="Arial" w:eastAsia="Calibri" w:hAnsi="Arial" w:cs="Arial"/>
          <w:sz w:val="24"/>
          <w:szCs w:val="24"/>
        </w:rPr>
        <w:t xml:space="preserve"> </w:t>
      </w:r>
      <w:r w:rsidR="00B13DDD" w:rsidRPr="00E00F13">
        <w:rPr>
          <w:rFonts w:ascii="Arial" w:eastAsia="Calibri" w:hAnsi="Arial" w:cs="Arial"/>
          <w:sz w:val="24"/>
          <w:szCs w:val="24"/>
        </w:rPr>
        <w:t xml:space="preserve">EGC, </w:t>
      </w:r>
      <w:proofErr w:type="spellStart"/>
      <w:r w:rsidR="00B13DDD" w:rsidRPr="00E00F13">
        <w:rPr>
          <w:rFonts w:ascii="Arial" w:eastAsia="Calibri" w:hAnsi="Arial" w:cs="Arial"/>
          <w:sz w:val="24"/>
          <w:szCs w:val="24"/>
        </w:rPr>
        <w:t>Yarí</w:t>
      </w:r>
      <w:proofErr w:type="spellEnd"/>
      <w:r w:rsidR="00B13DDD" w:rsidRPr="00E00F13">
        <w:rPr>
          <w:rFonts w:ascii="Arial" w:eastAsia="Calibri" w:hAnsi="Arial" w:cs="Arial"/>
          <w:sz w:val="24"/>
          <w:szCs w:val="24"/>
        </w:rPr>
        <w:t>-Guaviare—, con énfasis en Ordenamiento Territorial (25,4 %), Mejoramiento de Vivienda (24,4 %) y Titulación (24,4 %).</w:t>
      </w:r>
    </w:p>
    <w:p w14:paraId="25D0A998" w14:textId="2EC5D744" w:rsidR="00B13DDD" w:rsidRPr="00E00F13" w:rsidRDefault="00B13DDD" w:rsidP="00E75675">
      <w:pPr>
        <w:pStyle w:val="Ttulo3"/>
        <w:numPr>
          <w:ilvl w:val="0"/>
          <w:numId w:val="64"/>
        </w:numPr>
        <w:rPr>
          <w:color w:val="auto"/>
        </w:rPr>
      </w:pPr>
      <w:bookmarkStart w:id="139" w:name="_Toc234242862"/>
      <w:r w:rsidRPr="00E00F13">
        <w:rPr>
          <w:color w:val="auto"/>
        </w:rPr>
        <w:t>I</w:t>
      </w:r>
      <w:r w:rsidR="00A40C19" w:rsidRPr="00E00F13">
        <w:rPr>
          <w:color w:val="auto"/>
        </w:rPr>
        <w:t>nfraestructura normativa y programática para la paz</w:t>
      </w:r>
      <w:bookmarkEnd w:id="139"/>
    </w:p>
    <w:p w14:paraId="5106FF17" w14:textId="74A326A1" w:rsidR="00B13DDD" w:rsidRPr="00E00F13" w:rsidRDefault="00B13DDD" w:rsidP="00B13DDD">
      <w:pPr>
        <w:spacing w:line="360" w:lineRule="auto"/>
        <w:jc w:val="both"/>
        <w:rPr>
          <w:rFonts w:ascii="Arial" w:hAnsi="Arial" w:cs="Arial"/>
          <w:sz w:val="24"/>
          <w:szCs w:val="24"/>
        </w:rPr>
      </w:pPr>
      <w:r w:rsidRPr="00E00F13">
        <w:rPr>
          <w:rFonts w:ascii="Arial" w:eastAsia="Calibri" w:hAnsi="Arial" w:cs="Arial"/>
          <w:sz w:val="24"/>
          <w:szCs w:val="24"/>
        </w:rPr>
        <w:t>Seis instrumentos operan como mecanismos habilitadores para la construcción de paz desde el hábitat biodiverso. La siguiente matriz sintetiza su aporte:</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400"/>
        <w:gridCol w:w="6960"/>
      </w:tblGrid>
      <w:tr w:rsidR="00B13DDD" w:rsidRPr="00E00F13" w14:paraId="67AFEF09" w14:textId="77777777" w:rsidTr="00E75675">
        <w:trPr>
          <w:tblHeader/>
        </w:trPr>
        <w:tc>
          <w:tcPr>
            <w:tcW w:w="2400" w:type="dxa"/>
            <w:tcBorders>
              <w:top w:val="single" w:sz="4" w:space="0" w:color="BFBFBF"/>
              <w:left w:val="single" w:sz="4" w:space="0" w:color="BFBFBF"/>
              <w:bottom w:val="single" w:sz="4" w:space="0" w:color="BFBFBF"/>
              <w:right w:val="single" w:sz="4" w:space="0" w:color="BFBFBF"/>
            </w:tcBorders>
            <w:shd w:val="clear" w:color="auto" w:fill="8496B0" w:themeFill="text2" w:themeFillTint="99"/>
            <w:tcMar>
              <w:top w:w="60" w:type="dxa"/>
              <w:left w:w="100" w:type="dxa"/>
              <w:bottom w:w="60" w:type="dxa"/>
              <w:right w:w="100" w:type="dxa"/>
            </w:tcMar>
            <w:vAlign w:val="center"/>
          </w:tcPr>
          <w:p w14:paraId="1474EB27" w14:textId="77777777" w:rsidR="00B13DDD" w:rsidRPr="00E75675" w:rsidRDefault="00B13DDD" w:rsidP="00616F50">
            <w:pPr>
              <w:spacing w:line="360" w:lineRule="auto"/>
              <w:jc w:val="center"/>
              <w:rPr>
                <w:rFonts w:ascii="Arial" w:hAnsi="Arial" w:cs="Arial"/>
                <w:sz w:val="21"/>
                <w:szCs w:val="21"/>
              </w:rPr>
            </w:pPr>
            <w:r w:rsidRPr="00E75675">
              <w:rPr>
                <w:rFonts w:ascii="Arial" w:eastAsia="Calibri" w:hAnsi="Arial" w:cs="Arial"/>
                <w:b/>
                <w:bCs/>
                <w:sz w:val="21"/>
                <w:szCs w:val="21"/>
              </w:rPr>
              <w:lastRenderedPageBreak/>
              <w:t>Instrumento</w:t>
            </w:r>
          </w:p>
        </w:tc>
        <w:tc>
          <w:tcPr>
            <w:tcW w:w="6960" w:type="dxa"/>
            <w:tcBorders>
              <w:top w:val="single" w:sz="4" w:space="0" w:color="BFBFBF"/>
              <w:left w:val="single" w:sz="4" w:space="0" w:color="BFBFBF"/>
              <w:bottom w:val="single" w:sz="4" w:space="0" w:color="BFBFBF"/>
              <w:right w:val="single" w:sz="4" w:space="0" w:color="BFBFBF"/>
            </w:tcBorders>
            <w:shd w:val="clear" w:color="auto" w:fill="8496B0" w:themeFill="text2" w:themeFillTint="99"/>
            <w:tcMar>
              <w:top w:w="60" w:type="dxa"/>
              <w:left w:w="100" w:type="dxa"/>
              <w:bottom w:w="60" w:type="dxa"/>
              <w:right w:w="100" w:type="dxa"/>
            </w:tcMar>
            <w:vAlign w:val="center"/>
          </w:tcPr>
          <w:p w14:paraId="646DE9D1" w14:textId="77777777" w:rsidR="00B13DDD" w:rsidRPr="00E75675" w:rsidRDefault="00B13DDD" w:rsidP="00616F50">
            <w:pPr>
              <w:spacing w:line="360" w:lineRule="auto"/>
              <w:jc w:val="center"/>
              <w:rPr>
                <w:rFonts w:ascii="Arial" w:hAnsi="Arial" w:cs="Arial"/>
                <w:sz w:val="21"/>
                <w:szCs w:val="21"/>
              </w:rPr>
            </w:pPr>
            <w:r w:rsidRPr="00E75675">
              <w:rPr>
                <w:rFonts w:ascii="Arial" w:eastAsia="Calibri" w:hAnsi="Arial" w:cs="Arial"/>
                <w:b/>
                <w:bCs/>
                <w:sz w:val="21"/>
                <w:szCs w:val="21"/>
              </w:rPr>
              <w:t>Aporte a la construcción de paz</w:t>
            </w:r>
          </w:p>
        </w:tc>
      </w:tr>
      <w:tr w:rsidR="00B13DDD" w:rsidRPr="00E00F13" w14:paraId="2DB00159" w14:textId="77777777" w:rsidTr="00616F50">
        <w:tc>
          <w:tcPr>
            <w:tcW w:w="2400" w:type="dxa"/>
            <w:tcBorders>
              <w:top w:val="single" w:sz="4" w:space="0" w:color="BFBFBF"/>
              <w:left w:val="single" w:sz="4" w:space="0" w:color="BFBFBF"/>
              <w:bottom w:val="single" w:sz="4" w:space="0" w:color="BFBFBF"/>
              <w:right w:val="single" w:sz="4" w:space="0" w:color="BFBFBF"/>
            </w:tcBorders>
            <w:tcMar>
              <w:top w:w="60" w:type="dxa"/>
              <w:left w:w="100" w:type="dxa"/>
              <w:bottom w:w="60" w:type="dxa"/>
              <w:right w:w="100" w:type="dxa"/>
            </w:tcMar>
            <w:vAlign w:val="center"/>
          </w:tcPr>
          <w:p w14:paraId="63720CA0" w14:textId="77777777" w:rsidR="00B13DDD" w:rsidRPr="00E00F13" w:rsidRDefault="00B13DDD" w:rsidP="00616F50">
            <w:pPr>
              <w:spacing w:line="360" w:lineRule="auto"/>
              <w:rPr>
                <w:rFonts w:ascii="Arial" w:hAnsi="Arial" w:cs="Arial"/>
                <w:sz w:val="21"/>
                <w:szCs w:val="21"/>
              </w:rPr>
            </w:pPr>
            <w:r w:rsidRPr="00E00F13">
              <w:rPr>
                <w:rFonts w:ascii="Arial" w:eastAsia="Calibri" w:hAnsi="Arial" w:cs="Arial"/>
                <w:sz w:val="21"/>
                <w:szCs w:val="21"/>
              </w:rPr>
              <w:t>Decreto 1470 de 2024 — Barrios y Veredas de Paz</w:t>
            </w:r>
          </w:p>
        </w:tc>
        <w:tc>
          <w:tcPr>
            <w:tcW w:w="6960" w:type="dxa"/>
            <w:tcBorders>
              <w:top w:val="single" w:sz="4" w:space="0" w:color="BFBFBF"/>
              <w:left w:val="single" w:sz="4" w:space="0" w:color="BFBFBF"/>
              <w:bottom w:val="single" w:sz="4" w:space="0" w:color="BFBFBF"/>
              <w:right w:val="single" w:sz="4" w:space="0" w:color="BFBFBF"/>
            </w:tcBorders>
            <w:tcMar>
              <w:top w:w="60" w:type="dxa"/>
              <w:left w:w="100" w:type="dxa"/>
              <w:bottom w:w="60" w:type="dxa"/>
              <w:right w:w="100" w:type="dxa"/>
            </w:tcMar>
          </w:tcPr>
          <w:p w14:paraId="295B4698" w14:textId="77777777" w:rsidR="00B13DDD" w:rsidRPr="00E00F13" w:rsidRDefault="00B13DDD" w:rsidP="00616F50">
            <w:pPr>
              <w:spacing w:line="360" w:lineRule="auto"/>
              <w:jc w:val="both"/>
              <w:rPr>
                <w:rFonts w:ascii="Arial" w:hAnsi="Arial" w:cs="Arial"/>
                <w:sz w:val="21"/>
                <w:szCs w:val="21"/>
              </w:rPr>
            </w:pPr>
            <w:r w:rsidRPr="00E00F13">
              <w:rPr>
                <w:rFonts w:ascii="Arial" w:eastAsia="Calibri" w:hAnsi="Arial" w:cs="Arial"/>
                <w:sz w:val="21"/>
                <w:szCs w:val="21"/>
              </w:rPr>
              <w:t>Reconoce los barrios construidos popularmente por comunidades impactadas por el conflicto. Mediante los Planes de Gestión del Hábitat articula institucionalidad para generar pactos de reconciliación. La gestión comunitaria convierte el mejoramiento barrial en reparación colectiva y posiciona al programa como laboratorio de paz territorial.</w:t>
            </w:r>
          </w:p>
        </w:tc>
      </w:tr>
      <w:tr w:rsidR="00B13DDD" w:rsidRPr="00E00F13" w14:paraId="0830E9CA" w14:textId="77777777" w:rsidTr="00616F50">
        <w:tc>
          <w:tcPr>
            <w:tcW w:w="2400" w:type="dxa"/>
            <w:tcBorders>
              <w:top w:val="single" w:sz="4" w:space="0" w:color="BFBFBF"/>
              <w:left w:val="single" w:sz="4" w:space="0" w:color="BFBFBF"/>
              <w:bottom w:val="single" w:sz="4" w:space="0" w:color="BFBFBF"/>
              <w:right w:val="single" w:sz="4" w:space="0" w:color="BFBFBF"/>
            </w:tcBorders>
            <w:tcMar>
              <w:top w:w="60" w:type="dxa"/>
              <w:left w:w="100" w:type="dxa"/>
              <w:bottom w:w="60" w:type="dxa"/>
              <w:right w:w="100" w:type="dxa"/>
            </w:tcMar>
            <w:vAlign w:val="center"/>
          </w:tcPr>
          <w:p w14:paraId="54307BC9" w14:textId="77777777" w:rsidR="00B13DDD" w:rsidRPr="00E00F13" w:rsidRDefault="00B13DDD" w:rsidP="00616F50">
            <w:pPr>
              <w:spacing w:line="360" w:lineRule="auto"/>
              <w:rPr>
                <w:rFonts w:ascii="Arial" w:hAnsi="Arial" w:cs="Arial"/>
                <w:sz w:val="21"/>
                <w:szCs w:val="21"/>
              </w:rPr>
            </w:pPr>
            <w:r w:rsidRPr="00E00F13">
              <w:rPr>
                <w:rFonts w:ascii="Arial" w:eastAsia="Calibri" w:hAnsi="Arial" w:cs="Arial"/>
                <w:sz w:val="21"/>
                <w:szCs w:val="21"/>
              </w:rPr>
              <w:t>Resolución 0597 de 2024 — Agua es Vida</w:t>
            </w:r>
          </w:p>
        </w:tc>
        <w:tc>
          <w:tcPr>
            <w:tcW w:w="6960" w:type="dxa"/>
            <w:tcBorders>
              <w:top w:val="single" w:sz="4" w:space="0" w:color="BFBFBF"/>
              <w:left w:val="single" w:sz="4" w:space="0" w:color="BFBFBF"/>
              <w:bottom w:val="single" w:sz="4" w:space="0" w:color="BFBFBF"/>
              <w:right w:val="single" w:sz="4" w:space="0" w:color="BFBFBF"/>
            </w:tcBorders>
            <w:tcMar>
              <w:top w:w="60" w:type="dxa"/>
              <w:left w:w="100" w:type="dxa"/>
              <w:bottom w:w="60" w:type="dxa"/>
              <w:right w:w="100" w:type="dxa"/>
            </w:tcMar>
          </w:tcPr>
          <w:p w14:paraId="6309C0A8" w14:textId="77777777" w:rsidR="00B13DDD" w:rsidRPr="00E00F13" w:rsidRDefault="00B13DDD" w:rsidP="00616F50">
            <w:pPr>
              <w:spacing w:line="360" w:lineRule="auto"/>
              <w:jc w:val="both"/>
              <w:rPr>
                <w:rFonts w:ascii="Arial" w:hAnsi="Arial" w:cs="Arial"/>
                <w:sz w:val="21"/>
                <w:szCs w:val="21"/>
              </w:rPr>
            </w:pPr>
            <w:r w:rsidRPr="00E00F13">
              <w:rPr>
                <w:rFonts w:ascii="Arial" w:eastAsia="Calibri" w:hAnsi="Arial" w:cs="Arial"/>
                <w:sz w:val="21"/>
                <w:szCs w:val="21"/>
              </w:rPr>
              <w:t xml:space="preserve">Atiende la deuda histórica del agua en zonas afectadas por el conflicto. </w:t>
            </w:r>
            <w:proofErr w:type="gramStart"/>
            <w:r w:rsidRPr="00E00F13">
              <w:rPr>
                <w:rFonts w:ascii="Arial" w:eastAsia="Calibri" w:hAnsi="Arial" w:cs="Arial"/>
                <w:sz w:val="21"/>
                <w:szCs w:val="21"/>
              </w:rPr>
              <w:t>Habilita soluciones no convencionales</w:t>
            </w:r>
            <w:proofErr w:type="gramEnd"/>
            <w:r w:rsidRPr="00E00F13">
              <w:rPr>
                <w:rFonts w:ascii="Arial" w:eastAsia="Calibri" w:hAnsi="Arial" w:cs="Arial"/>
                <w:sz w:val="21"/>
                <w:szCs w:val="21"/>
              </w:rPr>
              <w:t xml:space="preserve"> (captación de lluvias, desalinización, sistemas de niebla) para la «geografía dispersa». Reduce tiempos de </w:t>
            </w:r>
            <w:proofErr w:type="spellStart"/>
            <w:r w:rsidRPr="00E00F13">
              <w:rPr>
                <w:rFonts w:ascii="Arial" w:eastAsia="Calibri" w:hAnsi="Arial" w:cs="Arial"/>
                <w:sz w:val="21"/>
                <w:szCs w:val="21"/>
              </w:rPr>
              <w:t>viabilización</w:t>
            </w:r>
            <w:proofErr w:type="spellEnd"/>
            <w:r w:rsidRPr="00E00F13">
              <w:rPr>
                <w:rFonts w:ascii="Arial" w:eastAsia="Calibri" w:hAnsi="Arial" w:cs="Arial"/>
                <w:sz w:val="21"/>
                <w:szCs w:val="21"/>
              </w:rPr>
              <w:t xml:space="preserve"> en territorios marginados y mitiga la conflictividad por recursos.</w:t>
            </w:r>
          </w:p>
        </w:tc>
      </w:tr>
      <w:tr w:rsidR="00B13DDD" w:rsidRPr="00E00F13" w14:paraId="79365471" w14:textId="77777777" w:rsidTr="00616F50">
        <w:tc>
          <w:tcPr>
            <w:tcW w:w="2400" w:type="dxa"/>
            <w:tcBorders>
              <w:top w:val="single" w:sz="4" w:space="0" w:color="BFBFBF"/>
              <w:left w:val="single" w:sz="4" w:space="0" w:color="BFBFBF"/>
              <w:bottom w:val="single" w:sz="4" w:space="0" w:color="BFBFBF"/>
              <w:right w:val="single" w:sz="4" w:space="0" w:color="BFBFBF"/>
            </w:tcBorders>
            <w:tcMar>
              <w:top w:w="60" w:type="dxa"/>
              <w:left w:w="100" w:type="dxa"/>
              <w:bottom w:w="60" w:type="dxa"/>
              <w:right w:w="100" w:type="dxa"/>
            </w:tcMar>
            <w:vAlign w:val="center"/>
          </w:tcPr>
          <w:p w14:paraId="5785AE6B" w14:textId="77777777" w:rsidR="00B13DDD" w:rsidRPr="00E00F13" w:rsidRDefault="00B13DDD" w:rsidP="00616F50">
            <w:pPr>
              <w:spacing w:line="360" w:lineRule="auto"/>
              <w:rPr>
                <w:rFonts w:ascii="Arial" w:hAnsi="Arial" w:cs="Arial"/>
                <w:sz w:val="21"/>
                <w:szCs w:val="21"/>
              </w:rPr>
            </w:pPr>
            <w:r w:rsidRPr="00E00F13">
              <w:rPr>
                <w:rFonts w:ascii="Arial" w:eastAsia="Calibri" w:hAnsi="Arial" w:cs="Arial"/>
                <w:sz w:val="21"/>
                <w:szCs w:val="21"/>
              </w:rPr>
              <w:t>Decreto 0585 de 2025 — Autogestión y construcción delegada</w:t>
            </w:r>
          </w:p>
        </w:tc>
        <w:tc>
          <w:tcPr>
            <w:tcW w:w="6960" w:type="dxa"/>
            <w:tcBorders>
              <w:top w:val="single" w:sz="4" w:space="0" w:color="BFBFBF"/>
              <w:left w:val="single" w:sz="4" w:space="0" w:color="BFBFBF"/>
              <w:bottom w:val="single" w:sz="4" w:space="0" w:color="BFBFBF"/>
              <w:right w:val="single" w:sz="4" w:space="0" w:color="BFBFBF"/>
            </w:tcBorders>
            <w:tcMar>
              <w:top w:w="60" w:type="dxa"/>
              <w:left w:w="100" w:type="dxa"/>
              <w:bottom w:w="60" w:type="dxa"/>
              <w:right w:w="100" w:type="dxa"/>
            </w:tcMar>
          </w:tcPr>
          <w:p w14:paraId="3E811603" w14:textId="77777777" w:rsidR="00B13DDD" w:rsidRPr="00E00F13" w:rsidRDefault="00B13DDD" w:rsidP="00616F50">
            <w:pPr>
              <w:spacing w:line="360" w:lineRule="auto"/>
              <w:jc w:val="both"/>
              <w:rPr>
                <w:rFonts w:ascii="Arial" w:hAnsi="Arial" w:cs="Arial"/>
                <w:sz w:val="21"/>
                <w:szCs w:val="21"/>
              </w:rPr>
            </w:pPr>
            <w:r w:rsidRPr="00E00F13">
              <w:rPr>
                <w:rFonts w:ascii="Arial" w:eastAsia="Calibri" w:hAnsi="Arial" w:cs="Arial"/>
                <w:sz w:val="21"/>
                <w:szCs w:val="21"/>
              </w:rPr>
              <w:t>Valida y financia la producción social del hábitat. Habilita a organizaciones populares, JAC y cooperativas como ejecutoras directas, fortaleciendo el tejido social en territorios con desconfianza institucional. Prioriza víctimas, étnicos, discapacidad y género; aplica en suelos rurales dispersos y en asentamientos no legalizados.</w:t>
            </w:r>
          </w:p>
        </w:tc>
      </w:tr>
      <w:tr w:rsidR="00B13DDD" w:rsidRPr="00E00F13" w14:paraId="2BCF4BDF" w14:textId="77777777" w:rsidTr="00616F50">
        <w:tc>
          <w:tcPr>
            <w:tcW w:w="2400" w:type="dxa"/>
            <w:tcBorders>
              <w:top w:val="single" w:sz="4" w:space="0" w:color="BFBFBF"/>
              <w:left w:val="single" w:sz="4" w:space="0" w:color="BFBFBF"/>
              <w:bottom w:val="single" w:sz="4" w:space="0" w:color="BFBFBF"/>
              <w:right w:val="single" w:sz="4" w:space="0" w:color="BFBFBF"/>
            </w:tcBorders>
            <w:tcMar>
              <w:top w:w="60" w:type="dxa"/>
              <w:left w:w="100" w:type="dxa"/>
              <w:bottom w:w="60" w:type="dxa"/>
              <w:right w:w="100" w:type="dxa"/>
            </w:tcMar>
            <w:vAlign w:val="center"/>
          </w:tcPr>
          <w:p w14:paraId="34526DB6" w14:textId="77777777" w:rsidR="00B13DDD" w:rsidRPr="00E00F13" w:rsidRDefault="00B13DDD" w:rsidP="00616F50">
            <w:pPr>
              <w:spacing w:line="360" w:lineRule="auto"/>
              <w:rPr>
                <w:rFonts w:ascii="Arial" w:hAnsi="Arial" w:cs="Arial"/>
                <w:sz w:val="21"/>
                <w:szCs w:val="21"/>
              </w:rPr>
            </w:pPr>
            <w:r w:rsidRPr="00E00F13">
              <w:rPr>
                <w:rFonts w:ascii="Arial" w:eastAsia="Calibri" w:hAnsi="Arial" w:cs="Arial"/>
                <w:sz w:val="21"/>
                <w:szCs w:val="21"/>
              </w:rPr>
              <w:t>Decreto 1381 de 2024 — Recicladores de oficio</w:t>
            </w:r>
          </w:p>
        </w:tc>
        <w:tc>
          <w:tcPr>
            <w:tcW w:w="6960" w:type="dxa"/>
            <w:tcBorders>
              <w:top w:val="single" w:sz="4" w:space="0" w:color="BFBFBF"/>
              <w:left w:val="single" w:sz="4" w:space="0" w:color="BFBFBF"/>
              <w:bottom w:val="single" w:sz="4" w:space="0" w:color="BFBFBF"/>
              <w:right w:val="single" w:sz="4" w:space="0" w:color="BFBFBF"/>
            </w:tcBorders>
            <w:tcMar>
              <w:top w:w="60" w:type="dxa"/>
              <w:left w:w="100" w:type="dxa"/>
              <w:bottom w:w="60" w:type="dxa"/>
              <w:right w:w="100" w:type="dxa"/>
            </w:tcMar>
          </w:tcPr>
          <w:p w14:paraId="59479FEE" w14:textId="77777777" w:rsidR="00B13DDD" w:rsidRPr="00E00F13" w:rsidRDefault="00B13DDD" w:rsidP="00616F50">
            <w:pPr>
              <w:spacing w:line="360" w:lineRule="auto"/>
              <w:jc w:val="both"/>
              <w:rPr>
                <w:rFonts w:ascii="Arial" w:hAnsi="Arial" w:cs="Arial"/>
                <w:sz w:val="21"/>
                <w:szCs w:val="21"/>
              </w:rPr>
            </w:pPr>
            <w:r w:rsidRPr="00E00F13">
              <w:rPr>
                <w:rFonts w:ascii="Arial" w:eastAsia="Calibri" w:hAnsi="Arial" w:cs="Arial"/>
                <w:sz w:val="21"/>
                <w:szCs w:val="21"/>
              </w:rPr>
              <w:t xml:space="preserve">Entrega la exclusividad del aprovechamiento de residuos a las organizaciones de recicladores, muchos de ellos víctimas o en vulnerabilidad extrema. Actúa como medida de reparación económica directa y articula economía circular con justicia social. </w:t>
            </w:r>
            <w:proofErr w:type="gramStart"/>
            <w:r w:rsidRPr="00E00F13">
              <w:rPr>
                <w:rFonts w:ascii="Arial" w:eastAsia="Calibri" w:hAnsi="Arial" w:cs="Arial"/>
                <w:sz w:val="21"/>
                <w:szCs w:val="21"/>
              </w:rPr>
              <w:t>Habilita acceso prioritario</w:t>
            </w:r>
            <w:proofErr w:type="gramEnd"/>
            <w:r w:rsidRPr="00E00F13">
              <w:rPr>
                <w:rFonts w:ascii="Arial" w:eastAsia="Calibri" w:hAnsi="Arial" w:cs="Arial"/>
                <w:sz w:val="21"/>
                <w:szCs w:val="21"/>
              </w:rPr>
              <w:t xml:space="preserve"> a subsidios de vivienda (Decreto 0775 de 2025).</w:t>
            </w:r>
          </w:p>
        </w:tc>
      </w:tr>
      <w:tr w:rsidR="00B13DDD" w:rsidRPr="00E00F13" w14:paraId="4A93E479" w14:textId="77777777" w:rsidTr="00616F50">
        <w:tc>
          <w:tcPr>
            <w:tcW w:w="2400" w:type="dxa"/>
            <w:tcBorders>
              <w:top w:val="single" w:sz="4" w:space="0" w:color="BFBFBF"/>
              <w:left w:val="single" w:sz="4" w:space="0" w:color="BFBFBF"/>
              <w:bottom w:val="single" w:sz="4" w:space="0" w:color="BFBFBF"/>
              <w:right w:val="single" w:sz="4" w:space="0" w:color="BFBFBF"/>
            </w:tcBorders>
            <w:tcMar>
              <w:top w:w="60" w:type="dxa"/>
              <w:left w:w="100" w:type="dxa"/>
              <w:bottom w:w="60" w:type="dxa"/>
              <w:right w:w="100" w:type="dxa"/>
            </w:tcMar>
            <w:vAlign w:val="center"/>
          </w:tcPr>
          <w:p w14:paraId="4A9E7EC1" w14:textId="77777777" w:rsidR="00B13DDD" w:rsidRPr="00E00F13" w:rsidRDefault="00B13DDD" w:rsidP="00616F50">
            <w:pPr>
              <w:spacing w:line="360" w:lineRule="auto"/>
              <w:rPr>
                <w:rFonts w:ascii="Arial" w:hAnsi="Arial" w:cs="Arial"/>
                <w:sz w:val="21"/>
                <w:szCs w:val="21"/>
              </w:rPr>
            </w:pPr>
            <w:r w:rsidRPr="00E00F13">
              <w:rPr>
                <w:rFonts w:ascii="Arial" w:eastAsia="Calibri" w:hAnsi="Arial" w:cs="Arial"/>
                <w:sz w:val="21"/>
                <w:szCs w:val="21"/>
              </w:rPr>
              <w:t>Decreto 0413 de 2025 — Mejoramiento de Vivienda</w:t>
            </w:r>
          </w:p>
        </w:tc>
        <w:tc>
          <w:tcPr>
            <w:tcW w:w="6960" w:type="dxa"/>
            <w:tcBorders>
              <w:top w:val="single" w:sz="4" w:space="0" w:color="BFBFBF"/>
              <w:left w:val="single" w:sz="4" w:space="0" w:color="BFBFBF"/>
              <w:bottom w:val="single" w:sz="4" w:space="0" w:color="BFBFBF"/>
              <w:right w:val="single" w:sz="4" w:space="0" w:color="BFBFBF"/>
            </w:tcBorders>
            <w:tcMar>
              <w:top w:w="60" w:type="dxa"/>
              <w:left w:w="100" w:type="dxa"/>
              <w:bottom w:w="60" w:type="dxa"/>
              <w:right w:w="100" w:type="dxa"/>
            </w:tcMar>
          </w:tcPr>
          <w:p w14:paraId="3D719CA9" w14:textId="77777777" w:rsidR="00B13DDD" w:rsidRPr="00E00F13" w:rsidRDefault="00B13DDD" w:rsidP="00616F50">
            <w:pPr>
              <w:spacing w:line="360" w:lineRule="auto"/>
              <w:jc w:val="both"/>
              <w:rPr>
                <w:rFonts w:ascii="Arial" w:hAnsi="Arial" w:cs="Arial"/>
                <w:sz w:val="21"/>
                <w:szCs w:val="21"/>
              </w:rPr>
            </w:pPr>
            <w:r w:rsidRPr="00E00F13">
              <w:rPr>
                <w:rFonts w:ascii="Arial" w:eastAsia="Calibri" w:hAnsi="Arial" w:cs="Arial"/>
                <w:sz w:val="21"/>
                <w:szCs w:val="21"/>
              </w:rPr>
              <w:t>Reduce la pobreza multidimensional atacando el déficit cualitativo (pisos, saneamiento, hacinamiento). Eleva topes a 30-36 SMMLV y reconoce costos diferenciales de transporte hasta 8 SMMLV para zonas de difícil acceso. Cuatro modalidades de gestión, incluida la social comunitaria. Beneficia a firmantes del Acuerdo con bienes de ANT o SAE.</w:t>
            </w:r>
          </w:p>
        </w:tc>
      </w:tr>
      <w:tr w:rsidR="00B13DDD" w:rsidRPr="00E00F13" w14:paraId="17F25831" w14:textId="77777777" w:rsidTr="00616F50">
        <w:tc>
          <w:tcPr>
            <w:tcW w:w="2400" w:type="dxa"/>
            <w:tcBorders>
              <w:top w:val="single" w:sz="4" w:space="0" w:color="BFBFBF"/>
              <w:left w:val="single" w:sz="4" w:space="0" w:color="BFBFBF"/>
              <w:bottom w:val="single" w:sz="4" w:space="0" w:color="BFBFBF"/>
              <w:right w:val="single" w:sz="4" w:space="0" w:color="BFBFBF"/>
            </w:tcBorders>
            <w:tcMar>
              <w:top w:w="60" w:type="dxa"/>
              <w:left w:w="100" w:type="dxa"/>
              <w:bottom w:w="60" w:type="dxa"/>
              <w:right w:w="100" w:type="dxa"/>
            </w:tcMar>
            <w:vAlign w:val="center"/>
          </w:tcPr>
          <w:p w14:paraId="26B0D112" w14:textId="77777777" w:rsidR="00B13DDD" w:rsidRPr="00E00F13" w:rsidRDefault="00B13DDD" w:rsidP="00616F50">
            <w:pPr>
              <w:spacing w:line="360" w:lineRule="auto"/>
              <w:rPr>
                <w:rFonts w:ascii="Arial" w:hAnsi="Arial" w:cs="Arial"/>
                <w:sz w:val="21"/>
                <w:szCs w:val="21"/>
              </w:rPr>
            </w:pPr>
            <w:r w:rsidRPr="00E00F13">
              <w:rPr>
                <w:rFonts w:ascii="Arial" w:eastAsia="Calibri" w:hAnsi="Arial" w:cs="Arial"/>
                <w:sz w:val="21"/>
                <w:szCs w:val="21"/>
              </w:rPr>
              <w:t>Decreto 1166 de 2025 — Licencias de construcción</w:t>
            </w:r>
          </w:p>
        </w:tc>
        <w:tc>
          <w:tcPr>
            <w:tcW w:w="6960" w:type="dxa"/>
            <w:tcBorders>
              <w:top w:val="single" w:sz="4" w:space="0" w:color="BFBFBF"/>
              <w:left w:val="single" w:sz="4" w:space="0" w:color="BFBFBF"/>
              <w:bottom w:val="single" w:sz="4" w:space="0" w:color="BFBFBF"/>
              <w:right w:val="single" w:sz="4" w:space="0" w:color="BFBFBF"/>
            </w:tcBorders>
            <w:tcMar>
              <w:top w:w="60" w:type="dxa"/>
              <w:left w:w="100" w:type="dxa"/>
              <w:bottom w:w="60" w:type="dxa"/>
              <w:right w:w="100" w:type="dxa"/>
            </w:tcMar>
          </w:tcPr>
          <w:p w14:paraId="68517495" w14:textId="77777777" w:rsidR="00B13DDD" w:rsidRPr="00E00F13" w:rsidRDefault="00B13DDD" w:rsidP="00616F50">
            <w:pPr>
              <w:spacing w:line="360" w:lineRule="auto"/>
              <w:jc w:val="both"/>
              <w:rPr>
                <w:rFonts w:ascii="Arial" w:hAnsi="Arial" w:cs="Arial"/>
                <w:sz w:val="21"/>
                <w:szCs w:val="21"/>
              </w:rPr>
            </w:pPr>
            <w:r w:rsidRPr="00E00F13">
              <w:rPr>
                <w:rFonts w:ascii="Arial" w:eastAsia="Calibri" w:hAnsi="Arial" w:cs="Arial"/>
                <w:sz w:val="21"/>
                <w:szCs w:val="21"/>
              </w:rPr>
              <w:t xml:space="preserve">Sustituye la licencia por carta de responsabilidad técnica para mejoramiento, vivienda progresiva y construcción en sitio propio. Acelera la presencia institucional en municipios PDET y zonas de conflicto, donde </w:t>
            </w:r>
            <w:r w:rsidRPr="00E00F13">
              <w:rPr>
                <w:rFonts w:ascii="Arial" w:eastAsia="Calibri" w:hAnsi="Arial" w:cs="Arial"/>
                <w:sz w:val="21"/>
                <w:szCs w:val="21"/>
              </w:rPr>
              <w:lastRenderedPageBreak/>
              <w:t>la legitimidad del Estado depende de entregar dividendos de paz con celeridad.</w:t>
            </w:r>
          </w:p>
        </w:tc>
      </w:tr>
    </w:tbl>
    <w:p w14:paraId="472DFE08" w14:textId="77777777" w:rsidR="00B13DDD" w:rsidRDefault="00B13DDD" w:rsidP="00B13DDD">
      <w:pPr>
        <w:spacing w:line="360" w:lineRule="auto"/>
        <w:jc w:val="both"/>
        <w:rPr>
          <w:rFonts w:ascii="Arial" w:hAnsi="Arial" w:cs="Arial"/>
          <w:sz w:val="24"/>
          <w:szCs w:val="24"/>
        </w:rPr>
      </w:pPr>
    </w:p>
    <w:p w14:paraId="1742907F" w14:textId="6C0EC0A6" w:rsidR="003039FD" w:rsidRPr="00E00F13" w:rsidRDefault="003039FD" w:rsidP="00B13DDD">
      <w:pPr>
        <w:spacing w:line="360" w:lineRule="auto"/>
        <w:jc w:val="both"/>
        <w:rPr>
          <w:rFonts w:ascii="Arial" w:hAnsi="Arial" w:cs="Arial"/>
          <w:sz w:val="24"/>
          <w:szCs w:val="24"/>
        </w:rPr>
      </w:pPr>
      <w:r w:rsidRPr="003039FD">
        <w:rPr>
          <w:rFonts w:ascii="Arial" w:hAnsi="Arial" w:cs="Arial"/>
          <w:noProof/>
          <w:sz w:val="24"/>
          <w:szCs w:val="24"/>
        </w:rPr>
        <w:drawing>
          <wp:inline distT="0" distB="0" distL="0" distR="0" wp14:anchorId="0D0180D1" wp14:editId="1F423080">
            <wp:extent cx="5102465" cy="2869920"/>
            <wp:effectExtent l="0" t="0" r="3175" b="635"/>
            <wp:docPr id="1800157221" name="Imagen 2">
              <a:extLst xmlns:a="http://schemas.openxmlformats.org/drawingml/2006/main">
                <a:ext uri="{FF2B5EF4-FFF2-40B4-BE49-F238E27FC236}">
                  <a16:creationId xmlns:a16="http://schemas.microsoft.com/office/drawing/2014/main" id="{845E6C84-76F1-37F4-8E37-820F32D70F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845E6C84-76F1-37F4-8E37-820F32D70F5B}"/>
                        </a:ext>
                      </a:extLst>
                    </pic:cNvPr>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116292" cy="2877697"/>
                    </a:xfrm>
                    <a:prstGeom prst="rect">
                      <a:avLst/>
                    </a:prstGeom>
                  </pic:spPr>
                </pic:pic>
              </a:graphicData>
            </a:graphic>
          </wp:inline>
        </w:drawing>
      </w:r>
    </w:p>
    <w:p w14:paraId="4A775584" w14:textId="626D1F07" w:rsidR="00B13DDD" w:rsidRDefault="00B13DDD" w:rsidP="00B13DDD">
      <w:pPr>
        <w:spacing w:line="360" w:lineRule="auto"/>
        <w:jc w:val="both"/>
        <w:rPr>
          <w:rFonts w:ascii="Arial" w:eastAsia="Calibri" w:hAnsi="Arial" w:cs="Arial"/>
          <w:sz w:val="24"/>
          <w:szCs w:val="24"/>
        </w:rPr>
      </w:pPr>
      <w:r w:rsidRPr="00E00F13">
        <w:rPr>
          <w:rFonts w:ascii="Arial" w:eastAsia="Calibri" w:hAnsi="Arial" w:cs="Arial"/>
          <w:sz w:val="24"/>
          <w:szCs w:val="24"/>
        </w:rPr>
        <w:t xml:space="preserve">Estos instrumentos se articulan institucionalmente con el </w:t>
      </w:r>
      <w:proofErr w:type="spellStart"/>
      <w:r w:rsidRPr="00E00F13">
        <w:rPr>
          <w:rFonts w:ascii="Arial" w:eastAsia="Calibri" w:hAnsi="Arial" w:cs="Arial"/>
          <w:sz w:val="24"/>
          <w:szCs w:val="24"/>
        </w:rPr>
        <w:t>S</w:t>
      </w:r>
      <w:r w:rsidR="00C23931" w:rsidRPr="00E00F13">
        <w:rPr>
          <w:rFonts w:ascii="Arial" w:eastAsia="Calibri" w:hAnsi="Arial" w:cs="Arial"/>
          <w:sz w:val="24"/>
          <w:szCs w:val="24"/>
        </w:rPr>
        <w:t>nariv</w:t>
      </w:r>
      <w:proofErr w:type="spellEnd"/>
      <w:r w:rsidRPr="00E00F13">
        <w:rPr>
          <w:rFonts w:ascii="Arial" w:eastAsia="Calibri" w:hAnsi="Arial" w:cs="Arial"/>
          <w:sz w:val="24"/>
          <w:szCs w:val="24"/>
        </w:rPr>
        <w:t xml:space="preserve"> (Ley 1448 de 2011</w:t>
      </w:r>
      <w:r w:rsidRPr="00E00F13">
        <w:rPr>
          <w:rFonts w:ascii="Arial" w:hAnsi="Arial" w:cs="Arial"/>
          <w:sz w:val="24"/>
          <w:szCs w:val="24"/>
        </w:rPr>
        <w:t>/2421 de 2024</w:t>
      </w:r>
      <w:r w:rsidRPr="00E00F13">
        <w:rPr>
          <w:rFonts w:ascii="Arial" w:eastAsia="Calibri" w:hAnsi="Arial" w:cs="Arial"/>
          <w:sz w:val="24"/>
          <w:szCs w:val="24"/>
        </w:rPr>
        <w:t>), la JEP, la ARN, la ART, la URT, la Mesa Nacional de Participación de Víctimas y la futura Mesa Nacional para el desarrollo del Programa Barrios de Paz</w:t>
      </w:r>
      <w:r w:rsidRPr="00E00F13">
        <w:rPr>
          <w:rFonts w:ascii="Arial" w:hAnsi="Arial" w:cs="Arial"/>
          <w:sz w:val="24"/>
          <w:szCs w:val="24"/>
        </w:rPr>
        <w:t>, espacios de articulación para la acción institucional de paz</w:t>
      </w:r>
      <w:r w:rsidRPr="00E00F13">
        <w:rPr>
          <w:rFonts w:ascii="Arial" w:eastAsia="Calibri" w:hAnsi="Arial" w:cs="Arial"/>
          <w:sz w:val="24"/>
          <w:szCs w:val="24"/>
        </w:rPr>
        <w:t>.</w:t>
      </w:r>
    </w:p>
    <w:p w14:paraId="5F189646" w14:textId="028B4D3B" w:rsidR="00B13DDD" w:rsidRPr="00E00F13" w:rsidRDefault="00E75675" w:rsidP="00A40C19">
      <w:pPr>
        <w:pStyle w:val="Ttulo3"/>
        <w:rPr>
          <w:color w:val="auto"/>
        </w:rPr>
      </w:pPr>
      <w:bookmarkStart w:id="140" w:name="_Toc234242863"/>
      <w:r>
        <w:rPr>
          <w:color w:val="auto"/>
        </w:rPr>
        <w:t xml:space="preserve">d) </w:t>
      </w:r>
      <w:r w:rsidR="00B13DDD" w:rsidRPr="00E00F13">
        <w:rPr>
          <w:color w:val="auto"/>
        </w:rPr>
        <w:t>L</w:t>
      </w:r>
      <w:r w:rsidR="00A40C19" w:rsidRPr="00E00F13">
        <w:rPr>
          <w:color w:val="auto"/>
        </w:rPr>
        <w:t>ineamientos estratégicos y operativos</w:t>
      </w:r>
      <w:bookmarkEnd w:id="140"/>
    </w:p>
    <w:p w14:paraId="4D49D5CB" w14:textId="17EA3501" w:rsidR="00B13DDD" w:rsidRPr="00E00F13" w:rsidRDefault="00B13DDD" w:rsidP="00A40C19">
      <w:pPr>
        <w:pStyle w:val="Ttulo3"/>
        <w:rPr>
          <w:color w:val="auto"/>
        </w:rPr>
      </w:pPr>
      <w:bookmarkStart w:id="141" w:name="_Toc234242864"/>
      <w:r w:rsidRPr="00E00F13">
        <w:rPr>
          <w:color w:val="auto"/>
        </w:rPr>
        <w:t>S</w:t>
      </w:r>
      <w:r w:rsidR="00A40C19" w:rsidRPr="00E00F13">
        <w:rPr>
          <w:color w:val="auto"/>
        </w:rPr>
        <w:t>uperar la asimetría de la inversión con intervenciones de respuesta rápida</w:t>
      </w:r>
      <w:bookmarkEnd w:id="141"/>
    </w:p>
    <w:p w14:paraId="249BA8D6" w14:textId="4119CB1A" w:rsidR="00B13DDD" w:rsidRPr="00E00F13" w:rsidRDefault="00B13DDD" w:rsidP="00B13DDD">
      <w:pPr>
        <w:spacing w:line="360" w:lineRule="auto"/>
        <w:jc w:val="both"/>
        <w:rPr>
          <w:rFonts w:ascii="Arial" w:hAnsi="Arial" w:cs="Arial"/>
          <w:sz w:val="24"/>
          <w:szCs w:val="24"/>
        </w:rPr>
      </w:pPr>
      <w:r w:rsidRPr="00E00F13">
        <w:rPr>
          <w:rFonts w:ascii="Arial" w:eastAsia="Calibri" w:hAnsi="Arial" w:cs="Arial"/>
          <w:sz w:val="24"/>
          <w:szCs w:val="24"/>
        </w:rPr>
        <w:t xml:space="preserve">Implementar un mecanismo de </w:t>
      </w:r>
      <w:r w:rsidRPr="00E00F13">
        <w:rPr>
          <w:rFonts w:ascii="Arial" w:eastAsia="Calibri" w:hAnsi="Arial" w:cs="Arial"/>
          <w:i/>
          <w:iCs/>
          <w:sz w:val="24"/>
          <w:szCs w:val="24"/>
        </w:rPr>
        <w:t>Focalización de Respuesta Rápida (FRR)</w:t>
      </w:r>
      <w:r w:rsidRPr="00E00F13">
        <w:rPr>
          <w:rFonts w:ascii="Arial" w:eastAsia="Calibri" w:hAnsi="Arial" w:cs="Arial"/>
          <w:sz w:val="24"/>
          <w:szCs w:val="24"/>
        </w:rPr>
        <w:t xml:space="preserve"> que cruce en tiempo real las Alertas de Inminencia de la Defensoría</w:t>
      </w:r>
      <w:r w:rsidR="00C23931" w:rsidRPr="00E00F13">
        <w:rPr>
          <w:rFonts w:ascii="Arial" w:eastAsia="Calibri" w:hAnsi="Arial" w:cs="Arial"/>
          <w:sz w:val="24"/>
          <w:szCs w:val="24"/>
        </w:rPr>
        <w:t xml:space="preserve"> del Pueblo</w:t>
      </w:r>
      <w:r w:rsidRPr="00E00F13">
        <w:rPr>
          <w:rFonts w:ascii="Arial" w:eastAsia="Calibri" w:hAnsi="Arial" w:cs="Arial"/>
          <w:sz w:val="24"/>
          <w:szCs w:val="24"/>
        </w:rPr>
        <w:t xml:space="preserve"> con la asignación prioritaria de recursos</w:t>
      </w:r>
      <w:r w:rsidRPr="00E00F13">
        <w:rPr>
          <w:rFonts w:ascii="Arial" w:hAnsi="Arial" w:cs="Arial"/>
          <w:sz w:val="24"/>
          <w:szCs w:val="24"/>
        </w:rPr>
        <w:t xml:space="preserve">, esto en clave del Índice de Cobertura Potencial y la Focalización Territorial para Víctimas que se encuentra en elaboración por parte del </w:t>
      </w:r>
      <w:r w:rsidR="00C23931" w:rsidRPr="00E00F13">
        <w:rPr>
          <w:rFonts w:ascii="Arial" w:hAnsi="Arial" w:cs="Arial"/>
          <w:sz w:val="24"/>
          <w:szCs w:val="24"/>
        </w:rPr>
        <w:t>D</w:t>
      </w:r>
      <w:r w:rsidRPr="00E00F13">
        <w:rPr>
          <w:rFonts w:ascii="Arial" w:hAnsi="Arial" w:cs="Arial"/>
          <w:sz w:val="24"/>
          <w:szCs w:val="24"/>
        </w:rPr>
        <w:t>espacho</w:t>
      </w:r>
      <w:r w:rsidRPr="00E00F13">
        <w:rPr>
          <w:rFonts w:ascii="Arial" w:eastAsia="Calibri" w:hAnsi="Arial" w:cs="Arial"/>
          <w:sz w:val="24"/>
          <w:szCs w:val="24"/>
        </w:rPr>
        <w:t xml:space="preserve">. </w:t>
      </w:r>
      <w:r w:rsidRPr="00E00F13">
        <w:rPr>
          <w:rFonts w:ascii="Arial" w:eastAsia="Calibri" w:hAnsi="Arial" w:cs="Arial"/>
          <w:i/>
          <w:iCs/>
          <w:sz w:val="24"/>
          <w:szCs w:val="24"/>
        </w:rPr>
        <w:t xml:space="preserve">Aplicación normativa: </w:t>
      </w:r>
      <w:r w:rsidRPr="00E00F13">
        <w:rPr>
          <w:rFonts w:ascii="Arial" w:eastAsia="Calibri" w:hAnsi="Arial" w:cs="Arial"/>
          <w:sz w:val="24"/>
          <w:szCs w:val="24"/>
        </w:rPr>
        <w:t xml:space="preserve">desplegar el programa Agua es Vida (Resolución 0597 de 2024) como medida humanitaria en Chocó, Amazonía, Arauca y Catatumbo, usando la flexibilización técnica para </w:t>
      </w:r>
      <w:r w:rsidRPr="00E00F13">
        <w:rPr>
          <w:rFonts w:ascii="Arial" w:hAnsi="Arial" w:cs="Arial"/>
          <w:sz w:val="24"/>
          <w:szCs w:val="24"/>
        </w:rPr>
        <w:t>superar</w:t>
      </w:r>
      <w:r w:rsidRPr="00E00F13">
        <w:rPr>
          <w:rFonts w:ascii="Arial" w:eastAsia="Calibri" w:hAnsi="Arial" w:cs="Arial"/>
          <w:sz w:val="24"/>
          <w:szCs w:val="24"/>
        </w:rPr>
        <w:t xml:space="preserve"> bloqueos logísticos y garantizar el mínimo vital a poblaciones confinadas.</w:t>
      </w:r>
    </w:p>
    <w:p w14:paraId="02A8D64A" w14:textId="7C3BBD75" w:rsidR="00B13DDD" w:rsidRPr="00E00F13" w:rsidRDefault="00B13DDD" w:rsidP="00A40C19">
      <w:pPr>
        <w:pStyle w:val="Ttulo3"/>
        <w:rPr>
          <w:color w:val="auto"/>
        </w:rPr>
      </w:pPr>
      <w:bookmarkStart w:id="142" w:name="_Toc234242865"/>
      <w:r w:rsidRPr="00E00F13">
        <w:rPr>
          <w:color w:val="auto"/>
        </w:rPr>
        <w:lastRenderedPageBreak/>
        <w:t>A</w:t>
      </w:r>
      <w:r w:rsidR="00A40C19" w:rsidRPr="00E00F13">
        <w:rPr>
          <w:color w:val="auto"/>
        </w:rPr>
        <w:t>portar a la gobernanza territorial y la justicia ambiental</w:t>
      </w:r>
      <w:bookmarkEnd w:id="142"/>
    </w:p>
    <w:p w14:paraId="22317F5F" w14:textId="77777777" w:rsidR="00B13DDD" w:rsidRPr="00E00F13" w:rsidRDefault="00B13DDD" w:rsidP="00B13DDD">
      <w:pPr>
        <w:spacing w:line="360" w:lineRule="auto"/>
        <w:jc w:val="both"/>
        <w:rPr>
          <w:rFonts w:ascii="Arial" w:hAnsi="Arial" w:cs="Arial"/>
          <w:sz w:val="24"/>
          <w:szCs w:val="24"/>
        </w:rPr>
      </w:pPr>
      <w:r w:rsidRPr="00E00F13">
        <w:rPr>
          <w:rFonts w:ascii="Arial" w:eastAsia="Calibri" w:hAnsi="Arial" w:cs="Arial"/>
          <w:sz w:val="24"/>
          <w:szCs w:val="24"/>
        </w:rPr>
        <w:t xml:space="preserve">Transitar hacia un modelo de </w:t>
      </w:r>
      <w:r w:rsidRPr="00E00F13">
        <w:rPr>
          <w:rFonts w:ascii="Arial" w:eastAsia="Calibri" w:hAnsi="Arial" w:cs="Arial"/>
          <w:i/>
          <w:iCs/>
          <w:sz w:val="24"/>
          <w:szCs w:val="24"/>
        </w:rPr>
        <w:t>Alianzas Público-Comunitarias</w:t>
      </w:r>
      <w:r w:rsidRPr="00E00F13">
        <w:rPr>
          <w:rFonts w:ascii="Arial" w:eastAsia="Calibri" w:hAnsi="Arial" w:cs="Arial"/>
          <w:sz w:val="24"/>
          <w:szCs w:val="24"/>
        </w:rPr>
        <w:t xml:space="preserve"> que reconozca a las organizaciones de base como socias del Estado en la provisión de agua y saneamiento.</w:t>
      </w:r>
      <w:r w:rsidRPr="00E00F13">
        <w:rPr>
          <w:rFonts w:ascii="Arial" w:eastAsia="Calibri" w:hAnsi="Arial" w:cs="Arial"/>
          <w:b/>
          <w:bCs/>
          <w:sz w:val="24"/>
          <w:szCs w:val="24"/>
        </w:rPr>
        <w:t xml:space="preserve"> </w:t>
      </w:r>
      <w:r w:rsidRPr="00E00F13">
        <w:rPr>
          <w:rFonts w:ascii="Arial" w:eastAsia="Calibri" w:hAnsi="Arial" w:cs="Arial"/>
          <w:i/>
          <w:iCs/>
          <w:sz w:val="24"/>
          <w:szCs w:val="24"/>
        </w:rPr>
        <w:t xml:space="preserve">Aplicación normativa: </w:t>
      </w:r>
      <w:r w:rsidRPr="00E00F13">
        <w:rPr>
          <w:rFonts w:ascii="Arial" w:eastAsia="Calibri" w:hAnsi="Arial" w:cs="Arial"/>
          <w:sz w:val="24"/>
          <w:szCs w:val="24"/>
        </w:rPr>
        <w:t xml:space="preserve">articular el Decreto 1381 de 2024 con el Decreto 0960 de 2025, la Ruta </w:t>
      </w:r>
      <w:proofErr w:type="spellStart"/>
      <w:r w:rsidRPr="00E00F13">
        <w:rPr>
          <w:rFonts w:ascii="Arial" w:eastAsia="Calibri" w:hAnsi="Arial" w:cs="Arial"/>
          <w:sz w:val="24"/>
          <w:szCs w:val="24"/>
        </w:rPr>
        <w:t>ComuniAgua</w:t>
      </w:r>
      <w:proofErr w:type="spellEnd"/>
      <w:r w:rsidRPr="00E00F13">
        <w:rPr>
          <w:rFonts w:ascii="Arial" w:eastAsia="Calibri" w:hAnsi="Arial" w:cs="Arial"/>
          <w:sz w:val="24"/>
          <w:szCs w:val="24"/>
        </w:rPr>
        <w:t xml:space="preserve"> y el Plan </w:t>
      </w:r>
      <w:proofErr w:type="spellStart"/>
      <w:r w:rsidRPr="00E00F13">
        <w:rPr>
          <w:rFonts w:ascii="Arial" w:eastAsia="Calibri" w:hAnsi="Arial" w:cs="Arial"/>
          <w:sz w:val="24"/>
          <w:szCs w:val="24"/>
        </w:rPr>
        <w:t>Wüin</w:t>
      </w:r>
      <w:proofErr w:type="spellEnd"/>
      <w:r w:rsidRPr="00E00F13">
        <w:rPr>
          <w:rFonts w:ascii="Arial" w:eastAsia="Calibri" w:hAnsi="Arial" w:cs="Arial"/>
          <w:sz w:val="24"/>
          <w:szCs w:val="24"/>
        </w:rPr>
        <w:t xml:space="preserve"> </w:t>
      </w:r>
      <w:proofErr w:type="spellStart"/>
      <w:r w:rsidRPr="00E00F13">
        <w:rPr>
          <w:rFonts w:ascii="Arial" w:eastAsia="Calibri" w:hAnsi="Arial" w:cs="Arial"/>
          <w:sz w:val="24"/>
          <w:szCs w:val="24"/>
        </w:rPr>
        <w:t>Ülees</w:t>
      </w:r>
      <w:proofErr w:type="spellEnd"/>
      <w:r w:rsidRPr="00E00F13">
        <w:rPr>
          <w:rFonts w:ascii="Arial" w:eastAsia="Calibri" w:hAnsi="Arial" w:cs="Arial"/>
          <w:sz w:val="24"/>
          <w:szCs w:val="24"/>
        </w:rPr>
        <w:t>; vincular a víctimas y población vulnerable como recicladores formalizados en cascos urbanos receptores de desplazamiento (Cúcuta, Yopal, Arauca) como estrategia de reparación económica y paz urbana.</w:t>
      </w:r>
    </w:p>
    <w:p w14:paraId="5FF0129D" w14:textId="6C4C6425" w:rsidR="00B13DDD" w:rsidRPr="00E00F13" w:rsidRDefault="00B13DDD" w:rsidP="00A40C19">
      <w:pPr>
        <w:pStyle w:val="Ttulo3"/>
        <w:rPr>
          <w:color w:val="auto"/>
        </w:rPr>
      </w:pPr>
      <w:bookmarkStart w:id="143" w:name="_Toc234242866"/>
      <w:r w:rsidRPr="00E00F13">
        <w:rPr>
          <w:color w:val="auto"/>
        </w:rPr>
        <w:t>B</w:t>
      </w:r>
      <w:r w:rsidR="00A40C19" w:rsidRPr="00E00F13">
        <w:rPr>
          <w:color w:val="auto"/>
        </w:rPr>
        <w:t>arrios y veredas de paz como laboratorios de producción social del hábitat</w:t>
      </w:r>
      <w:bookmarkEnd w:id="143"/>
    </w:p>
    <w:p w14:paraId="1806FD3C" w14:textId="77777777" w:rsidR="00B13DDD" w:rsidRPr="00E00F13" w:rsidRDefault="00B13DDD" w:rsidP="00B13DDD">
      <w:pPr>
        <w:spacing w:line="360" w:lineRule="auto"/>
        <w:jc w:val="both"/>
        <w:rPr>
          <w:rFonts w:ascii="Arial" w:hAnsi="Arial" w:cs="Arial"/>
          <w:sz w:val="24"/>
          <w:szCs w:val="24"/>
        </w:rPr>
      </w:pPr>
      <w:r w:rsidRPr="00E00F13">
        <w:rPr>
          <w:rFonts w:ascii="Arial" w:eastAsia="Calibri" w:hAnsi="Arial" w:cs="Arial"/>
          <w:sz w:val="24"/>
          <w:szCs w:val="24"/>
        </w:rPr>
        <w:t xml:space="preserve">Intervenir estructuralmente las fronteras y los asentamientos de origen informal en ciudades capitales e intermedias, reactivando simultáneamente la economía local en territorios PDET y ETCR. </w:t>
      </w:r>
      <w:r w:rsidRPr="00E00F13">
        <w:rPr>
          <w:rFonts w:ascii="Arial" w:eastAsia="Calibri" w:hAnsi="Arial" w:cs="Arial"/>
          <w:i/>
          <w:iCs/>
          <w:sz w:val="24"/>
          <w:szCs w:val="24"/>
        </w:rPr>
        <w:t xml:space="preserve">Aplicación normativa: </w:t>
      </w:r>
      <w:r w:rsidRPr="00E00F13">
        <w:rPr>
          <w:rFonts w:ascii="Arial" w:eastAsia="Calibri" w:hAnsi="Arial" w:cs="Arial"/>
          <w:sz w:val="24"/>
          <w:szCs w:val="24"/>
        </w:rPr>
        <w:t xml:space="preserve">masificar el Decreto 1470 de 2024 como laboratorio de </w:t>
      </w:r>
      <w:r w:rsidRPr="00E00F13">
        <w:rPr>
          <w:rFonts w:ascii="Arial" w:hAnsi="Arial" w:cs="Arial"/>
          <w:sz w:val="24"/>
          <w:szCs w:val="24"/>
        </w:rPr>
        <w:t>encuentro y gobernanza</w:t>
      </w:r>
      <w:r w:rsidRPr="00E00F13">
        <w:rPr>
          <w:rFonts w:ascii="Arial" w:eastAsia="Calibri" w:hAnsi="Arial" w:cs="Arial"/>
          <w:sz w:val="24"/>
          <w:szCs w:val="24"/>
        </w:rPr>
        <w:t xml:space="preserve"> barrial —tomando como base metodológica la conceptualización del Eco Barrio de Paz para Buenaventura— y operativizar agresivamente el Decreto 0585 de 2025 en la ruralidad, permitiendo que cooperativas de excombatientes (Ciudadelas de Paz), JAC y organizaciones campesinas ejecuten directamente los recursos.</w:t>
      </w:r>
    </w:p>
    <w:p w14:paraId="5F2DA55C" w14:textId="4DB979F5" w:rsidR="00B13DDD" w:rsidRPr="00E00F13" w:rsidRDefault="00B13DDD" w:rsidP="00A40C19">
      <w:pPr>
        <w:pStyle w:val="Ttulo3"/>
        <w:rPr>
          <w:color w:val="auto"/>
        </w:rPr>
      </w:pPr>
      <w:bookmarkStart w:id="144" w:name="_Toc234242867"/>
      <w:r w:rsidRPr="00E00F13">
        <w:rPr>
          <w:color w:val="auto"/>
        </w:rPr>
        <w:t>F</w:t>
      </w:r>
      <w:r w:rsidR="00A40C19" w:rsidRPr="00E00F13">
        <w:rPr>
          <w:color w:val="auto"/>
        </w:rPr>
        <w:t>lexibilización normativa y aceleración de la implementación</w:t>
      </w:r>
      <w:bookmarkEnd w:id="144"/>
    </w:p>
    <w:p w14:paraId="752DADF5" w14:textId="77777777" w:rsidR="00B13DDD" w:rsidRPr="00E00F13" w:rsidRDefault="00B13DDD" w:rsidP="00B13DDD">
      <w:pPr>
        <w:spacing w:line="360" w:lineRule="auto"/>
        <w:jc w:val="both"/>
        <w:rPr>
          <w:rFonts w:ascii="Arial" w:hAnsi="Arial" w:cs="Arial"/>
          <w:sz w:val="24"/>
          <w:szCs w:val="24"/>
        </w:rPr>
      </w:pPr>
      <w:r w:rsidRPr="00E00F13">
        <w:rPr>
          <w:rFonts w:ascii="Arial" w:eastAsia="Calibri" w:hAnsi="Arial" w:cs="Arial"/>
          <w:sz w:val="24"/>
          <w:szCs w:val="24"/>
        </w:rPr>
        <w:t xml:space="preserve">Sustituir barreras procedimentales por esquemas de confianza pública y acompañamiento institucional directo. </w:t>
      </w:r>
      <w:r w:rsidRPr="00E00F13">
        <w:rPr>
          <w:rFonts w:ascii="Arial" w:eastAsia="Calibri" w:hAnsi="Arial" w:cs="Arial"/>
          <w:i/>
          <w:iCs/>
          <w:sz w:val="24"/>
          <w:szCs w:val="24"/>
        </w:rPr>
        <w:t xml:space="preserve">Aplicación normativa: </w:t>
      </w:r>
      <w:r w:rsidRPr="00E00F13">
        <w:rPr>
          <w:rFonts w:ascii="Arial" w:eastAsia="Calibri" w:hAnsi="Arial" w:cs="Arial"/>
          <w:sz w:val="24"/>
          <w:szCs w:val="24"/>
        </w:rPr>
        <w:t xml:space="preserve">defender y socializar masivamente la carta de responsabilidad técnica del Decreto 1166 de 2025; articularla con el Mejoramiento de Vivienda (Decreto 0413 de 2025) aplicando el reconocimiento de costos diferenciales de transporte hasta 8 SMMLV; acompañar la flexibilización con Asistencia Técnica </w:t>
      </w:r>
      <w:r w:rsidRPr="00E00F13">
        <w:rPr>
          <w:rFonts w:ascii="Arial" w:hAnsi="Arial" w:cs="Arial"/>
          <w:sz w:val="24"/>
          <w:szCs w:val="24"/>
        </w:rPr>
        <w:t>Integral</w:t>
      </w:r>
      <w:r w:rsidRPr="00E00F13">
        <w:rPr>
          <w:rFonts w:ascii="Arial" w:eastAsia="Calibri" w:hAnsi="Arial" w:cs="Arial"/>
          <w:sz w:val="24"/>
          <w:szCs w:val="24"/>
        </w:rPr>
        <w:t xml:space="preserve"> para garantizar el arraigo campesino</w:t>
      </w:r>
      <w:r w:rsidRPr="00E00F13">
        <w:rPr>
          <w:rFonts w:ascii="Arial" w:hAnsi="Arial" w:cs="Arial"/>
          <w:sz w:val="24"/>
          <w:szCs w:val="24"/>
        </w:rPr>
        <w:t xml:space="preserve"> y la perspectiva de enfoque interseccional y territorial</w:t>
      </w:r>
      <w:r w:rsidRPr="00E00F13">
        <w:rPr>
          <w:rFonts w:ascii="Arial" w:eastAsia="Calibri" w:hAnsi="Arial" w:cs="Arial"/>
          <w:sz w:val="24"/>
          <w:szCs w:val="24"/>
        </w:rPr>
        <w:t>.</w:t>
      </w:r>
    </w:p>
    <w:p w14:paraId="747793A6" w14:textId="2419639E" w:rsidR="00B13DDD" w:rsidRPr="00E00F13" w:rsidRDefault="00B13DDD" w:rsidP="00A40C19">
      <w:pPr>
        <w:pStyle w:val="Ttulo3"/>
        <w:rPr>
          <w:color w:val="auto"/>
        </w:rPr>
      </w:pPr>
      <w:bookmarkStart w:id="145" w:name="_Toc234242868"/>
      <w:r w:rsidRPr="00E00F13">
        <w:rPr>
          <w:color w:val="auto"/>
        </w:rPr>
        <w:t>L</w:t>
      </w:r>
      <w:r w:rsidR="00A40C19" w:rsidRPr="00E00F13">
        <w:rPr>
          <w:color w:val="auto"/>
        </w:rPr>
        <w:t>a paz como condición material del hábitat biodiverso</w:t>
      </w:r>
      <w:bookmarkEnd w:id="145"/>
    </w:p>
    <w:p w14:paraId="2A684D0E" w14:textId="77777777" w:rsidR="00B13DDD" w:rsidRPr="00E00F13" w:rsidRDefault="00B13DDD" w:rsidP="00B13DDD">
      <w:pPr>
        <w:spacing w:line="360" w:lineRule="auto"/>
        <w:jc w:val="both"/>
        <w:rPr>
          <w:rFonts w:ascii="Arial" w:hAnsi="Arial" w:cs="Arial"/>
          <w:sz w:val="24"/>
          <w:szCs w:val="24"/>
        </w:rPr>
      </w:pPr>
      <w:r w:rsidRPr="00E00F13">
        <w:rPr>
          <w:rFonts w:ascii="Arial" w:eastAsia="Calibri" w:hAnsi="Arial" w:cs="Arial"/>
          <w:sz w:val="24"/>
          <w:szCs w:val="24"/>
        </w:rPr>
        <w:t>En conjunto, este componente articula el enfoque hacia la paz como condición material de la política Nuestro Hábitat Biodiverso. La transformación está en terminar de construir la arquitectura institucional que permita ejecutarla a escala</w:t>
      </w:r>
      <w:r w:rsidRPr="00E00F13">
        <w:rPr>
          <w:rFonts w:ascii="Arial" w:hAnsi="Arial" w:cs="Arial"/>
          <w:sz w:val="24"/>
          <w:szCs w:val="24"/>
        </w:rPr>
        <w:t xml:space="preserve"> territorial</w:t>
      </w:r>
      <w:r w:rsidRPr="00E00F13">
        <w:rPr>
          <w:rFonts w:ascii="Arial" w:eastAsia="Calibri" w:hAnsi="Arial" w:cs="Arial"/>
          <w:sz w:val="24"/>
          <w:szCs w:val="24"/>
        </w:rPr>
        <w:t xml:space="preserve">, con seguridad, calidad y legitimidad </w:t>
      </w:r>
      <w:r w:rsidRPr="00E00F13">
        <w:rPr>
          <w:rFonts w:ascii="Arial" w:hAnsi="Arial" w:cs="Arial"/>
          <w:sz w:val="24"/>
          <w:szCs w:val="24"/>
        </w:rPr>
        <w:t>social y comunitaria</w:t>
      </w:r>
      <w:r w:rsidRPr="00E00F13">
        <w:rPr>
          <w:rFonts w:ascii="Arial" w:eastAsia="Calibri" w:hAnsi="Arial" w:cs="Arial"/>
          <w:sz w:val="24"/>
          <w:szCs w:val="24"/>
        </w:rPr>
        <w:t xml:space="preserve">. En esa arquitectura, el hábitat </w:t>
      </w:r>
      <w:r w:rsidRPr="00E00F13">
        <w:rPr>
          <w:rFonts w:ascii="Arial" w:hAnsi="Arial" w:cs="Arial"/>
          <w:sz w:val="24"/>
          <w:szCs w:val="24"/>
        </w:rPr>
        <w:t xml:space="preserve">es la base </w:t>
      </w:r>
      <w:r w:rsidRPr="00E00F13">
        <w:rPr>
          <w:rFonts w:ascii="Arial" w:eastAsia="Calibri" w:hAnsi="Arial" w:cs="Arial"/>
          <w:sz w:val="24"/>
          <w:szCs w:val="24"/>
        </w:rPr>
        <w:t xml:space="preserve">material y simbólica de una paz que se construye </w:t>
      </w:r>
      <w:r w:rsidRPr="00E00F13">
        <w:rPr>
          <w:rFonts w:ascii="Arial" w:eastAsia="Calibri" w:hAnsi="Arial" w:cs="Arial"/>
          <w:sz w:val="24"/>
          <w:szCs w:val="24"/>
        </w:rPr>
        <w:lastRenderedPageBreak/>
        <w:t>desde las territorialidades concretas, en clave de</w:t>
      </w:r>
      <w:r w:rsidRPr="00E00F13">
        <w:rPr>
          <w:rFonts w:ascii="Arial" w:hAnsi="Arial" w:cs="Arial"/>
          <w:sz w:val="24"/>
          <w:szCs w:val="24"/>
        </w:rPr>
        <w:t xml:space="preserve"> lo colectivo, “nuestro hábitat biodiverso”</w:t>
      </w:r>
      <w:r w:rsidRPr="00E00F13">
        <w:rPr>
          <w:rFonts w:ascii="Arial" w:eastAsia="Calibri" w:hAnsi="Arial" w:cs="Arial"/>
          <w:sz w:val="24"/>
          <w:szCs w:val="24"/>
        </w:rPr>
        <w:t>.</w:t>
      </w:r>
    </w:p>
    <w:p w14:paraId="7E60CE66" w14:textId="77777777" w:rsidR="00B13DDD" w:rsidRPr="00E00F13" w:rsidRDefault="00B13DDD" w:rsidP="00B13DDD">
      <w:pPr>
        <w:spacing w:line="360" w:lineRule="auto"/>
        <w:jc w:val="both"/>
        <w:rPr>
          <w:rFonts w:ascii="Arial" w:hAnsi="Arial" w:cs="Arial"/>
          <w:sz w:val="24"/>
          <w:szCs w:val="24"/>
        </w:rPr>
      </w:pPr>
      <w:r w:rsidRPr="00E00F13">
        <w:rPr>
          <w:rFonts w:ascii="Arial" w:eastAsia="Calibri" w:hAnsi="Arial" w:cs="Arial"/>
          <w:sz w:val="24"/>
          <w:szCs w:val="24"/>
        </w:rPr>
        <w:t xml:space="preserve">La ruta de continuidad se sintetiza en tres énfasis: </w:t>
      </w:r>
    </w:p>
    <w:p w14:paraId="62DB27B9" w14:textId="77777777" w:rsidR="00B13DDD" w:rsidRPr="00E00F13" w:rsidRDefault="00B13DDD">
      <w:pPr>
        <w:pStyle w:val="Prrafodelista"/>
        <w:numPr>
          <w:ilvl w:val="0"/>
          <w:numId w:val="56"/>
        </w:numPr>
        <w:spacing w:line="360" w:lineRule="auto"/>
        <w:contextualSpacing w:val="0"/>
        <w:jc w:val="both"/>
        <w:rPr>
          <w:rFonts w:ascii="Arial" w:hAnsi="Arial" w:cs="Arial"/>
          <w:sz w:val="24"/>
          <w:szCs w:val="24"/>
        </w:rPr>
      </w:pPr>
      <w:r w:rsidRPr="00E00F13">
        <w:rPr>
          <w:rFonts w:ascii="Arial" w:hAnsi="Arial" w:cs="Arial"/>
          <w:sz w:val="24"/>
          <w:szCs w:val="24"/>
        </w:rPr>
        <w:t xml:space="preserve">Consolidar los manuales operativos pendientes de los decretos de Autogestión, Basura Cero, Gestión Comunitaria del Agua, Convenios Solidarios, Subsidio Comunitario y Mecanismos de Fomento para gestores comunitarios; </w:t>
      </w:r>
    </w:p>
    <w:p w14:paraId="0C8FCA0A" w14:textId="77777777" w:rsidR="00B13DDD" w:rsidRPr="00E00F13" w:rsidRDefault="00B13DDD">
      <w:pPr>
        <w:pStyle w:val="Prrafodelista"/>
        <w:numPr>
          <w:ilvl w:val="0"/>
          <w:numId w:val="56"/>
        </w:numPr>
        <w:spacing w:line="360" w:lineRule="auto"/>
        <w:contextualSpacing w:val="0"/>
        <w:jc w:val="both"/>
        <w:rPr>
          <w:rFonts w:ascii="Arial" w:hAnsi="Arial" w:cs="Arial"/>
          <w:sz w:val="24"/>
          <w:szCs w:val="24"/>
        </w:rPr>
      </w:pPr>
      <w:r w:rsidRPr="00E00F13">
        <w:rPr>
          <w:rFonts w:ascii="Arial" w:hAnsi="Arial" w:cs="Arial"/>
          <w:sz w:val="24"/>
          <w:szCs w:val="24"/>
        </w:rPr>
        <w:t xml:space="preserve">Blindar financieramente el componente de paz frente a las contingencias presupuestales que han derivado en la reducción del 78 % de los contratos en zonas PDET; y </w:t>
      </w:r>
    </w:p>
    <w:p w14:paraId="44F5CECD" w14:textId="59E15D95" w:rsidR="00B13DDD" w:rsidRPr="00E00F13" w:rsidRDefault="00B13DDD">
      <w:pPr>
        <w:pStyle w:val="Prrafodelista"/>
        <w:numPr>
          <w:ilvl w:val="0"/>
          <w:numId w:val="56"/>
        </w:numPr>
        <w:spacing w:line="360" w:lineRule="auto"/>
        <w:contextualSpacing w:val="0"/>
        <w:jc w:val="both"/>
        <w:rPr>
          <w:rFonts w:ascii="Arial" w:hAnsi="Arial" w:cs="Arial"/>
          <w:sz w:val="24"/>
          <w:szCs w:val="24"/>
        </w:rPr>
      </w:pPr>
      <w:r w:rsidRPr="00E00F13">
        <w:rPr>
          <w:rFonts w:ascii="Arial" w:hAnsi="Arial" w:cs="Arial"/>
          <w:sz w:val="24"/>
          <w:szCs w:val="24"/>
        </w:rPr>
        <w:t xml:space="preserve">Institucionalizar la lectura territorial diferenciada del conflicto en los procesos de focalización, estructuración y supervisión de proyectos, para que el Ministerio se consolide como un actor clave de la Paz Total y del cumplimiento </w:t>
      </w:r>
      <w:r w:rsidR="00A40C19" w:rsidRPr="00E00F13">
        <w:rPr>
          <w:rFonts w:ascii="Arial" w:hAnsi="Arial" w:cs="Arial"/>
          <w:sz w:val="24"/>
          <w:szCs w:val="24"/>
        </w:rPr>
        <w:t>priorizado</w:t>
      </w:r>
      <w:r w:rsidRPr="00E00F13">
        <w:rPr>
          <w:rFonts w:ascii="Arial" w:hAnsi="Arial" w:cs="Arial"/>
          <w:sz w:val="24"/>
          <w:szCs w:val="24"/>
        </w:rPr>
        <w:t xml:space="preserve"> del Acuerdo Final de 2016.</w:t>
      </w:r>
    </w:p>
    <w:p w14:paraId="67B0FCC5" w14:textId="77777777" w:rsidR="00A40C19" w:rsidRPr="00E00F13" w:rsidRDefault="00A40C19" w:rsidP="00A40C19">
      <w:pPr>
        <w:pStyle w:val="Ttulo3"/>
        <w:rPr>
          <w:color w:val="auto"/>
        </w:rPr>
      </w:pPr>
      <w:r w:rsidRPr="00E00F13">
        <w:rPr>
          <w:color w:val="auto"/>
        </w:rPr>
        <w:tab/>
      </w:r>
      <w:bookmarkStart w:id="146" w:name="_Toc234242869"/>
      <w:r w:rsidRPr="00E00F13">
        <w:rPr>
          <w:color w:val="auto"/>
        </w:rPr>
        <w:t>Retos</w:t>
      </w:r>
      <w:bookmarkEnd w:id="146"/>
    </w:p>
    <w:p w14:paraId="0BDE082E" w14:textId="35D00C2C" w:rsidR="00A40C19" w:rsidRPr="00E00F13" w:rsidRDefault="00A40C19" w:rsidP="00A40C19">
      <w:pPr>
        <w:spacing w:after="0" w:line="360" w:lineRule="auto"/>
        <w:jc w:val="both"/>
        <w:rPr>
          <w:rFonts w:ascii="Arial" w:hAnsi="Arial" w:cs="Arial"/>
          <w:sz w:val="24"/>
          <w:szCs w:val="24"/>
        </w:rPr>
      </w:pPr>
      <w:r w:rsidRPr="00E00F13">
        <w:rPr>
          <w:rFonts w:ascii="Arial" w:hAnsi="Arial" w:cs="Arial"/>
          <w:sz w:val="24"/>
          <w:szCs w:val="24"/>
        </w:rPr>
        <w:t>Como los demás enfoques, el de la paz tiene el reto de su implementación real e indispensable en los programas, proyectos y convocatorias del Ministerio. Uno de los principales retos ha sido la apropiación del enfoque de paz por funcionarios y contratistas, incluso entre quienes lideran procesos en territorio. La lectura territorial es indispensable para comprender la complejidad de construir paz en un país atravesado por décadas de conflicto armado. En este sentido, la paz implica desplegar intervenciones que permitan materializar procesos territoriales de vivienda, agua y saneamiento básico que mejoren el hábitat.</w:t>
      </w:r>
    </w:p>
    <w:p w14:paraId="5FEC94CA" w14:textId="77777777" w:rsidR="00A40C19" w:rsidRPr="00E00F13" w:rsidRDefault="00A40C19" w:rsidP="00A40C19">
      <w:pPr>
        <w:spacing w:after="0" w:line="360" w:lineRule="auto"/>
        <w:jc w:val="both"/>
        <w:rPr>
          <w:rFonts w:ascii="Arial" w:hAnsi="Arial" w:cs="Arial"/>
          <w:sz w:val="24"/>
          <w:szCs w:val="24"/>
        </w:rPr>
      </w:pPr>
    </w:p>
    <w:p w14:paraId="1214FF8C" w14:textId="77777777" w:rsidR="00A40C19" w:rsidRPr="00E00F13" w:rsidRDefault="00A40C19" w:rsidP="00A40C19">
      <w:pPr>
        <w:spacing w:after="0" w:line="360" w:lineRule="auto"/>
        <w:jc w:val="both"/>
        <w:rPr>
          <w:rFonts w:ascii="Arial" w:hAnsi="Arial" w:cs="Arial"/>
          <w:sz w:val="24"/>
          <w:szCs w:val="24"/>
        </w:rPr>
      </w:pPr>
      <w:r w:rsidRPr="00E00F13">
        <w:rPr>
          <w:rFonts w:ascii="Arial" w:hAnsi="Arial" w:cs="Arial"/>
          <w:sz w:val="24"/>
          <w:szCs w:val="24"/>
        </w:rPr>
        <w:t>La ruralidad representa un desafío mayor. Allí, donde el conflicto y la ausencia estatal son más profundos, avanzar hacia un hábitat seguro requiere esfuerzos diferenciados. La vivienda rural contemplada en el Acuerdo Final es un ejemplo claro del potencial de este enfoque para transformar condiciones de vida. Por ello, el gran desafío es lograr la transversalización real del enfoque, no como un requisito formal, sino como una estrategia estructural.</w:t>
      </w:r>
    </w:p>
    <w:p w14:paraId="4A9C627E" w14:textId="77777777" w:rsidR="00A40C19" w:rsidRPr="00E00F13" w:rsidRDefault="00A40C19" w:rsidP="00A40C19">
      <w:pPr>
        <w:spacing w:after="0" w:line="360" w:lineRule="auto"/>
        <w:jc w:val="both"/>
        <w:rPr>
          <w:rFonts w:ascii="Arial" w:hAnsi="Arial" w:cs="Arial"/>
          <w:sz w:val="24"/>
          <w:szCs w:val="24"/>
        </w:rPr>
      </w:pPr>
    </w:p>
    <w:p w14:paraId="6C7B644C" w14:textId="4033FE3A" w:rsidR="00A40C19" w:rsidRDefault="00A40C19" w:rsidP="00A40C19">
      <w:pPr>
        <w:spacing w:after="0" w:line="360" w:lineRule="auto"/>
        <w:jc w:val="both"/>
        <w:rPr>
          <w:rFonts w:ascii="Arial" w:hAnsi="Arial" w:cs="Arial"/>
          <w:sz w:val="24"/>
          <w:szCs w:val="24"/>
        </w:rPr>
      </w:pPr>
      <w:r w:rsidRPr="00E00F13">
        <w:rPr>
          <w:rFonts w:ascii="Arial" w:hAnsi="Arial" w:cs="Arial"/>
          <w:sz w:val="24"/>
          <w:szCs w:val="24"/>
        </w:rPr>
        <w:t>La disponibilidad de recursos es otro desafío significativo. Implementar los enfoques —ambiental, del cuidado, de víctimas, territorial y hacia la paz— requiere inversiones robustas. No basta con diseñar criterios para orientar las decisiones hacia el territorio: es necesario incorporarlos efectivamente en los programas, proyectos y convocatorias del sector vivienda, agua y saneamiento.</w:t>
      </w:r>
      <w:r w:rsidR="008D3DDD">
        <w:rPr>
          <w:rFonts w:ascii="Arial" w:hAnsi="Arial" w:cs="Arial"/>
          <w:sz w:val="24"/>
          <w:szCs w:val="24"/>
        </w:rPr>
        <w:t xml:space="preserve"> </w:t>
      </w:r>
    </w:p>
    <w:p w14:paraId="715E91BF" w14:textId="77777777" w:rsidR="008D3DDD" w:rsidRDefault="008D3DDD" w:rsidP="00A40C19">
      <w:pPr>
        <w:spacing w:after="0" w:line="360" w:lineRule="auto"/>
        <w:jc w:val="both"/>
        <w:rPr>
          <w:rFonts w:ascii="Arial" w:hAnsi="Arial" w:cs="Arial"/>
          <w:sz w:val="24"/>
          <w:szCs w:val="24"/>
        </w:rPr>
      </w:pPr>
    </w:p>
    <w:p w14:paraId="6BECCE7F" w14:textId="100C4546" w:rsidR="008D3DDD" w:rsidRPr="00E00F13" w:rsidRDefault="008D3DDD" w:rsidP="00A40C19">
      <w:pPr>
        <w:spacing w:after="0" w:line="360" w:lineRule="auto"/>
        <w:jc w:val="both"/>
        <w:rPr>
          <w:rFonts w:ascii="Arial" w:hAnsi="Arial" w:cs="Arial"/>
          <w:sz w:val="24"/>
          <w:szCs w:val="24"/>
        </w:rPr>
      </w:pPr>
      <w:r>
        <w:rPr>
          <w:rFonts w:ascii="Arial" w:hAnsi="Arial" w:cs="Arial"/>
          <w:sz w:val="24"/>
          <w:szCs w:val="24"/>
        </w:rPr>
        <w:t xml:space="preserve">En el mismo sentido, persiste una necesidad apremiante en la consolidación de los Espacios Territoriales de Capacitación y </w:t>
      </w:r>
      <w:proofErr w:type="gramStart"/>
      <w:r>
        <w:rPr>
          <w:rFonts w:ascii="Arial" w:hAnsi="Arial" w:cs="Arial"/>
          <w:sz w:val="24"/>
          <w:szCs w:val="24"/>
        </w:rPr>
        <w:t>Reincorporación ,</w:t>
      </w:r>
      <w:proofErr w:type="gramEnd"/>
      <w:r>
        <w:rPr>
          <w:rFonts w:ascii="Arial" w:hAnsi="Arial" w:cs="Arial"/>
          <w:sz w:val="24"/>
          <w:szCs w:val="24"/>
        </w:rPr>
        <w:t xml:space="preserve"> donde se ubican los firmantes del Acuerdo de Paz y en dónde de acuerdo con </w:t>
      </w:r>
      <w:r w:rsidRPr="008D3DDD">
        <w:rPr>
          <w:rFonts w:ascii="Arial" w:hAnsi="Arial" w:cs="Arial"/>
          <w:sz w:val="24"/>
          <w:szCs w:val="24"/>
        </w:rPr>
        <w:t>el Capítulo 3 del Título 2 de la Parte 2 del Libro 2 del Decreto 1077 de 2015 (adicionado por el Decreto 287 de 2021)</w:t>
      </w:r>
      <w:r>
        <w:rPr>
          <w:rFonts w:ascii="Arial" w:hAnsi="Arial" w:cs="Arial"/>
          <w:sz w:val="24"/>
          <w:szCs w:val="24"/>
        </w:rPr>
        <w:t xml:space="preserve"> el Ministerio debe adoptar la norma urbanística para la construcción de los proyectos de vivienda. A</w:t>
      </w:r>
      <w:r w:rsidRPr="008D3DDD">
        <w:rPr>
          <w:rFonts w:ascii="Arial" w:hAnsi="Arial" w:cs="Arial"/>
          <w:sz w:val="24"/>
          <w:szCs w:val="24"/>
        </w:rPr>
        <w:t xml:space="preserve"> la fecha, el Ministerio únicamente ha ejecutado proyectos de vivienda bajo las disposiciones de la Resolución 094 de 2021 de Subsidio Familiar de Vivienda Rural, en 10 de los 23 </w:t>
      </w:r>
      <w:proofErr w:type="spellStart"/>
      <w:r w:rsidRPr="008D3DDD">
        <w:rPr>
          <w:rFonts w:ascii="Arial" w:hAnsi="Arial" w:cs="Arial"/>
          <w:sz w:val="24"/>
          <w:szCs w:val="24"/>
        </w:rPr>
        <w:t>ETCRs</w:t>
      </w:r>
      <w:proofErr w:type="spellEnd"/>
      <w:r w:rsidRPr="008D3DDD">
        <w:rPr>
          <w:rFonts w:ascii="Arial" w:hAnsi="Arial" w:cs="Arial"/>
          <w:sz w:val="24"/>
          <w:szCs w:val="24"/>
        </w:rPr>
        <w:t xml:space="preserve"> descritos en el artículo 6 de la Resolución 326 de 2025 de la ARN, </w:t>
      </w:r>
      <w:r>
        <w:rPr>
          <w:rFonts w:ascii="Arial" w:hAnsi="Arial" w:cs="Arial"/>
          <w:sz w:val="24"/>
          <w:szCs w:val="24"/>
        </w:rPr>
        <w:t xml:space="preserve">y ha construido o se encuentra en proceso de ejecución </w:t>
      </w:r>
      <w:r w:rsidRPr="008D3DDD">
        <w:rPr>
          <w:rFonts w:ascii="Arial" w:hAnsi="Arial" w:cs="Arial"/>
          <w:sz w:val="24"/>
          <w:szCs w:val="24"/>
        </w:rPr>
        <w:t>de 1.151 viviendas, para una población que supera los 10.000</w:t>
      </w:r>
      <w:r>
        <w:rPr>
          <w:rFonts w:ascii="Arial" w:hAnsi="Arial" w:cs="Arial"/>
          <w:sz w:val="24"/>
          <w:szCs w:val="24"/>
        </w:rPr>
        <w:t xml:space="preserve">. La destinación de recursos para la consolidación de los </w:t>
      </w:r>
      <w:proofErr w:type="gramStart"/>
      <w:r>
        <w:rPr>
          <w:rFonts w:ascii="Arial" w:hAnsi="Arial" w:cs="Arial"/>
          <w:sz w:val="24"/>
          <w:szCs w:val="24"/>
        </w:rPr>
        <w:t>mismos,</w:t>
      </w:r>
      <w:proofErr w:type="gramEnd"/>
      <w:r>
        <w:rPr>
          <w:rFonts w:ascii="Arial" w:hAnsi="Arial" w:cs="Arial"/>
          <w:sz w:val="24"/>
          <w:szCs w:val="24"/>
        </w:rPr>
        <w:t xml:space="preserve"> es una necesidad en consideración de que el Estado, a través de sus diferentes agencias (ANT- ARN) ha ubicado a esta población en diferentes lugares del territorio, requiriéndose de la construcción de infraestructura complementaria y básica para la atención de sus necesidades, sin que se genere una carga adicional para los municipios. </w:t>
      </w:r>
    </w:p>
    <w:p w14:paraId="54C3A05C" w14:textId="77777777" w:rsidR="00A40C19" w:rsidRPr="00E00F13" w:rsidRDefault="00A40C19" w:rsidP="00A40C19">
      <w:pPr>
        <w:spacing w:after="0" w:line="360" w:lineRule="auto"/>
        <w:jc w:val="both"/>
        <w:rPr>
          <w:rFonts w:ascii="Arial" w:hAnsi="Arial" w:cs="Arial"/>
          <w:sz w:val="24"/>
          <w:szCs w:val="24"/>
        </w:rPr>
      </w:pPr>
    </w:p>
    <w:p w14:paraId="6FEBC0B6" w14:textId="096FD52C" w:rsidR="00A40C19" w:rsidRPr="00E00F13" w:rsidRDefault="00A40C19" w:rsidP="00A40C19">
      <w:pPr>
        <w:spacing w:after="0" w:line="360" w:lineRule="auto"/>
        <w:jc w:val="both"/>
        <w:rPr>
          <w:rFonts w:ascii="Arial" w:hAnsi="Arial" w:cs="Arial"/>
          <w:sz w:val="24"/>
          <w:szCs w:val="24"/>
        </w:rPr>
      </w:pPr>
      <w:r w:rsidRPr="00E00F13">
        <w:rPr>
          <w:rFonts w:ascii="Arial" w:hAnsi="Arial" w:cs="Arial"/>
          <w:sz w:val="24"/>
          <w:szCs w:val="24"/>
        </w:rPr>
        <w:t xml:space="preserve">Un reto adicional es la definición y reglamentación de criterios de priorización que articulen todos los enfoques. Estos criterios permiten identificar poblaciones y territorios prioritarios conforme a los principios gubernamentales de territorialidad y ruralidad. La llegada a los territorios exige prepararse para interactuar con actores que históricamente han ocupado funciones de facto como “garantes” de derechos. Explicarles en qué consisten los programas, los criterios de priorización, la elaboración de listas de elegibles, el sentido de la Asistencia Técnica Integral y el </w:t>
      </w:r>
      <w:proofErr w:type="spellStart"/>
      <w:r w:rsidRPr="00E00F13">
        <w:rPr>
          <w:rFonts w:ascii="Arial" w:hAnsi="Arial" w:cs="Arial"/>
          <w:sz w:val="24"/>
          <w:szCs w:val="24"/>
        </w:rPr>
        <w:lastRenderedPageBreak/>
        <w:t>por</w:t>
      </w:r>
      <w:r w:rsidR="00C23931" w:rsidRPr="00E00F13">
        <w:rPr>
          <w:rFonts w:ascii="Arial" w:hAnsi="Arial" w:cs="Arial"/>
          <w:sz w:val="24"/>
          <w:szCs w:val="24"/>
        </w:rPr>
        <w:t xml:space="preserve"> </w:t>
      </w:r>
      <w:r w:rsidRPr="00E00F13">
        <w:rPr>
          <w:rFonts w:ascii="Arial" w:hAnsi="Arial" w:cs="Arial"/>
          <w:sz w:val="24"/>
          <w:szCs w:val="24"/>
        </w:rPr>
        <w:t>qué</w:t>
      </w:r>
      <w:proofErr w:type="spellEnd"/>
      <w:r w:rsidRPr="00E00F13">
        <w:rPr>
          <w:rFonts w:ascii="Arial" w:hAnsi="Arial" w:cs="Arial"/>
          <w:sz w:val="24"/>
          <w:szCs w:val="24"/>
        </w:rPr>
        <w:t xml:space="preserve"> de la presencia institucional en espacios en disputa es indispensable y debe hacerse con claridad, coherencia y transparencia.</w:t>
      </w:r>
    </w:p>
    <w:p w14:paraId="424CF769" w14:textId="77777777" w:rsidR="00A40C19" w:rsidRPr="00E00F13" w:rsidRDefault="00A40C19" w:rsidP="00A40C19">
      <w:pPr>
        <w:spacing w:after="0" w:line="360" w:lineRule="auto"/>
        <w:jc w:val="both"/>
        <w:rPr>
          <w:rFonts w:ascii="Arial" w:hAnsi="Arial" w:cs="Arial"/>
          <w:sz w:val="24"/>
          <w:szCs w:val="24"/>
        </w:rPr>
      </w:pPr>
    </w:p>
    <w:p w14:paraId="6C6D82F7" w14:textId="22519CA7" w:rsidR="00B13DDD" w:rsidRPr="00E00F13" w:rsidRDefault="00A40C19" w:rsidP="00AA558F">
      <w:pPr>
        <w:spacing w:after="0" w:line="360" w:lineRule="auto"/>
        <w:jc w:val="both"/>
        <w:rPr>
          <w:rFonts w:ascii="Arial" w:hAnsi="Arial" w:cs="Arial"/>
          <w:sz w:val="24"/>
          <w:szCs w:val="24"/>
        </w:rPr>
      </w:pPr>
      <w:r w:rsidRPr="00E00F13">
        <w:rPr>
          <w:rFonts w:ascii="Arial" w:hAnsi="Arial" w:cs="Arial"/>
          <w:sz w:val="24"/>
          <w:szCs w:val="24"/>
        </w:rPr>
        <w:t>La focalización de la inversión genera confianza territorial. Determinar quién cumple con los criterios es complejo, pero necesario. La transparencia y la claridad fortalecen el sentido de justicia de las comunidades: y la justicia, en su dimensión amplia, es componente esencial de la paz. Por ello, el rol de los equipos del MVCT es crucial para consolidar un enfoque hacia la paz que sea operativo, estratégico y transformador.</w:t>
      </w:r>
    </w:p>
    <w:p w14:paraId="3192506E" w14:textId="77777777" w:rsidR="00C45339" w:rsidRPr="00E00F13" w:rsidRDefault="00C45339" w:rsidP="00224A39"/>
    <w:p w14:paraId="560581D9" w14:textId="08CA2E85" w:rsidR="00224A39" w:rsidRPr="00E00F13" w:rsidRDefault="00B9301C" w:rsidP="00224A39">
      <w:pPr>
        <w:pStyle w:val="Ttulo3"/>
        <w:rPr>
          <w:color w:val="auto"/>
        </w:rPr>
      </w:pPr>
      <w:bookmarkStart w:id="147" w:name="_Toc234242870"/>
      <w:r w:rsidRPr="00E00F13">
        <w:rPr>
          <w:color w:val="auto"/>
        </w:rPr>
        <w:t>2.</w:t>
      </w:r>
      <w:r w:rsidR="003A01CD" w:rsidRPr="00E00F13">
        <w:rPr>
          <w:color w:val="auto"/>
        </w:rPr>
        <w:t>8</w:t>
      </w:r>
      <w:r w:rsidRPr="00E00F13">
        <w:rPr>
          <w:color w:val="auto"/>
        </w:rPr>
        <w:t>.</w:t>
      </w:r>
      <w:r w:rsidR="00902401" w:rsidRPr="00E00F13">
        <w:rPr>
          <w:color w:val="auto"/>
        </w:rPr>
        <w:t>8</w:t>
      </w:r>
      <w:r w:rsidRPr="00E00F13">
        <w:rPr>
          <w:color w:val="auto"/>
        </w:rPr>
        <w:t xml:space="preserve">. </w:t>
      </w:r>
      <w:r w:rsidR="002A1C9D" w:rsidRPr="00E00F13">
        <w:rPr>
          <w:color w:val="auto"/>
        </w:rPr>
        <w:t xml:space="preserve">Enfoque </w:t>
      </w:r>
      <w:r w:rsidR="00BF6D17" w:rsidRPr="00E00F13">
        <w:rPr>
          <w:color w:val="auto"/>
        </w:rPr>
        <w:t>de</w:t>
      </w:r>
      <w:r w:rsidR="00224A39" w:rsidRPr="00E00F13">
        <w:rPr>
          <w:color w:val="auto"/>
        </w:rPr>
        <w:t xml:space="preserve"> víctimas</w:t>
      </w:r>
      <w:bookmarkEnd w:id="147"/>
      <w:r w:rsidR="00224A39" w:rsidRPr="00E00F13">
        <w:rPr>
          <w:color w:val="auto"/>
        </w:rPr>
        <w:t xml:space="preserve"> </w:t>
      </w:r>
    </w:p>
    <w:p w14:paraId="2621FC73" w14:textId="17D0AF1B" w:rsidR="00AB42A3" w:rsidRPr="00E00F13" w:rsidRDefault="002A1C9D" w:rsidP="00F338F1">
      <w:pPr>
        <w:spacing w:after="0" w:line="360" w:lineRule="auto"/>
        <w:jc w:val="both"/>
        <w:rPr>
          <w:rFonts w:ascii="Arial" w:hAnsi="Arial" w:cs="Arial"/>
          <w:sz w:val="24"/>
          <w:szCs w:val="24"/>
        </w:rPr>
      </w:pPr>
      <w:r w:rsidRPr="00E00F13">
        <w:rPr>
          <w:rFonts w:ascii="Arial" w:hAnsi="Arial" w:cs="Arial"/>
          <w:sz w:val="24"/>
          <w:szCs w:val="24"/>
        </w:rPr>
        <w:t xml:space="preserve">El MVCT no </w:t>
      </w:r>
      <w:r w:rsidR="00FA6736" w:rsidRPr="00E00F13">
        <w:rPr>
          <w:rFonts w:ascii="Arial" w:hAnsi="Arial" w:cs="Arial"/>
          <w:sz w:val="24"/>
          <w:szCs w:val="24"/>
        </w:rPr>
        <w:t>cuenta,</w:t>
      </w:r>
      <w:r w:rsidRPr="00E00F13">
        <w:rPr>
          <w:rFonts w:ascii="Arial" w:hAnsi="Arial" w:cs="Arial"/>
          <w:sz w:val="24"/>
          <w:szCs w:val="24"/>
        </w:rPr>
        <w:t xml:space="preserve"> aún</w:t>
      </w:r>
      <w:r w:rsidR="00FA6736" w:rsidRPr="00E00F13">
        <w:rPr>
          <w:rFonts w:ascii="Arial" w:hAnsi="Arial" w:cs="Arial"/>
          <w:sz w:val="24"/>
          <w:szCs w:val="24"/>
        </w:rPr>
        <w:t>, con</w:t>
      </w:r>
      <w:r w:rsidRPr="00E00F13">
        <w:rPr>
          <w:rFonts w:ascii="Arial" w:hAnsi="Arial" w:cs="Arial"/>
          <w:sz w:val="24"/>
          <w:szCs w:val="24"/>
        </w:rPr>
        <w:t xml:space="preserve"> una política</w:t>
      </w:r>
      <w:r w:rsidR="009C40CE" w:rsidRPr="00E00F13">
        <w:rPr>
          <w:rFonts w:ascii="Arial" w:hAnsi="Arial" w:cs="Arial"/>
          <w:sz w:val="24"/>
          <w:szCs w:val="24"/>
        </w:rPr>
        <w:t xml:space="preserve"> de vivienda</w:t>
      </w:r>
      <w:r w:rsidRPr="00E00F13">
        <w:rPr>
          <w:rFonts w:ascii="Arial" w:hAnsi="Arial" w:cs="Arial"/>
          <w:sz w:val="24"/>
          <w:szCs w:val="24"/>
        </w:rPr>
        <w:t xml:space="preserve"> </w:t>
      </w:r>
      <w:r w:rsidR="00940EF2" w:rsidRPr="00E00F13">
        <w:rPr>
          <w:rFonts w:ascii="Arial" w:hAnsi="Arial" w:cs="Arial"/>
          <w:sz w:val="24"/>
          <w:szCs w:val="24"/>
        </w:rPr>
        <w:t xml:space="preserve">social </w:t>
      </w:r>
      <w:r w:rsidR="009C40CE" w:rsidRPr="00E00F13">
        <w:rPr>
          <w:rFonts w:ascii="Arial" w:hAnsi="Arial" w:cs="Arial"/>
          <w:sz w:val="24"/>
          <w:szCs w:val="24"/>
        </w:rPr>
        <w:t>exclusiva para las víctimas</w:t>
      </w:r>
      <w:r w:rsidR="00940EF2" w:rsidRPr="00E00F13">
        <w:rPr>
          <w:rFonts w:ascii="Arial" w:hAnsi="Arial" w:cs="Arial"/>
          <w:sz w:val="24"/>
          <w:szCs w:val="24"/>
        </w:rPr>
        <w:t xml:space="preserve"> del conflicto armado</w:t>
      </w:r>
      <w:r w:rsidR="009C40CE" w:rsidRPr="00E00F13">
        <w:rPr>
          <w:rFonts w:ascii="Arial" w:hAnsi="Arial" w:cs="Arial"/>
          <w:sz w:val="24"/>
          <w:szCs w:val="24"/>
        </w:rPr>
        <w:t xml:space="preserve">. </w:t>
      </w:r>
      <w:r w:rsidR="00665AA0" w:rsidRPr="00E00F13">
        <w:rPr>
          <w:rFonts w:ascii="Arial" w:hAnsi="Arial" w:cs="Arial"/>
          <w:sz w:val="24"/>
          <w:szCs w:val="24"/>
        </w:rPr>
        <w:t>Por lo tanto,</w:t>
      </w:r>
      <w:r w:rsidR="00940EF2" w:rsidRPr="00E00F13">
        <w:rPr>
          <w:rFonts w:ascii="Arial" w:hAnsi="Arial" w:cs="Arial"/>
          <w:sz w:val="24"/>
          <w:szCs w:val="24"/>
        </w:rPr>
        <w:t xml:space="preserve"> </w:t>
      </w:r>
      <w:r w:rsidR="00AB42A3" w:rsidRPr="00E00F13">
        <w:rPr>
          <w:rFonts w:ascii="Arial" w:hAnsi="Arial" w:cs="Arial"/>
          <w:sz w:val="24"/>
          <w:szCs w:val="24"/>
        </w:rPr>
        <w:t>ha estado trabajando</w:t>
      </w:r>
      <w:r w:rsidR="002E4A22" w:rsidRPr="00E00F13">
        <w:rPr>
          <w:rFonts w:ascii="Arial" w:hAnsi="Arial" w:cs="Arial"/>
          <w:sz w:val="24"/>
          <w:szCs w:val="24"/>
        </w:rPr>
        <w:t xml:space="preserve"> </w:t>
      </w:r>
      <w:r w:rsidR="00940EF2" w:rsidRPr="00E00F13">
        <w:rPr>
          <w:rFonts w:ascii="Arial" w:hAnsi="Arial" w:cs="Arial"/>
          <w:sz w:val="24"/>
          <w:szCs w:val="24"/>
        </w:rPr>
        <w:t xml:space="preserve">en el diseño e implementación de un enfoque dirigido a esta población. </w:t>
      </w:r>
    </w:p>
    <w:p w14:paraId="73507C98" w14:textId="77777777" w:rsidR="00AB42A3" w:rsidRPr="00E00F13" w:rsidRDefault="00AB42A3" w:rsidP="00F338F1">
      <w:pPr>
        <w:spacing w:after="0" w:line="360" w:lineRule="auto"/>
        <w:jc w:val="both"/>
        <w:rPr>
          <w:rFonts w:ascii="Arial" w:hAnsi="Arial" w:cs="Arial"/>
          <w:sz w:val="24"/>
          <w:szCs w:val="24"/>
        </w:rPr>
      </w:pPr>
    </w:p>
    <w:p w14:paraId="6A38169B" w14:textId="74510992" w:rsidR="00940EF2" w:rsidRPr="00E00F13" w:rsidRDefault="00AB42A3" w:rsidP="00F338F1">
      <w:pPr>
        <w:spacing w:after="0" w:line="360" w:lineRule="auto"/>
        <w:jc w:val="both"/>
        <w:rPr>
          <w:rFonts w:ascii="Arial" w:hAnsi="Arial" w:cs="Arial"/>
          <w:sz w:val="24"/>
          <w:szCs w:val="24"/>
        </w:rPr>
      </w:pPr>
      <w:r w:rsidRPr="00E00F13">
        <w:rPr>
          <w:rFonts w:ascii="Arial" w:hAnsi="Arial" w:cs="Arial"/>
          <w:sz w:val="24"/>
          <w:szCs w:val="24"/>
        </w:rPr>
        <w:t xml:space="preserve">El diseño e implementación </w:t>
      </w:r>
      <w:r w:rsidR="00BE7A47" w:rsidRPr="00E00F13">
        <w:rPr>
          <w:rFonts w:ascii="Arial" w:hAnsi="Arial" w:cs="Arial"/>
          <w:sz w:val="24"/>
          <w:szCs w:val="24"/>
        </w:rPr>
        <w:t>que se está elaborando sobre</w:t>
      </w:r>
      <w:r w:rsidRPr="00E00F13">
        <w:rPr>
          <w:rFonts w:ascii="Arial" w:hAnsi="Arial" w:cs="Arial"/>
          <w:sz w:val="24"/>
          <w:szCs w:val="24"/>
        </w:rPr>
        <w:t xml:space="preserve"> este</w:t>
      </w:r>
      <w:r w:rsidR="00940EF2" w:rsidRPr="00E00F13">
        <w:rPr>
          <w:rFonts w:ascii="Arial" w:hAnsi="Arial" w:cs="Arial"/>
          <w:sz w:val="24"/>
          <w:szCs w:val="24"/>
        </w:rPr>
        <w:t xml:space="preserve"> enfoque se basa en </w:t>
      </w:r>
      <w:r w:rsidR="00FA6736" w:rsidRPr="00E00F13">
        <w:rPr>
          <w:rFonts w:ascii="Arial" w:hAnsi="Arial" w:cs="Arial"/>
          <w:sz w:val="24"/>
          <w:szCs w:val="24"/>
        </w:rPr>
        <w:t>las siguientes</w:t>
      </w:r>
      <w:r w:rsidR="00940EF2" w:rsidRPr="00E00F13">
        <w:rPr>
          <w:rFonts w:ascii="Arial" w:hAnsi="Arial" w:cs="Arial"/>
          <w:sz w:val="24"/>
          <w:szCs w:val="24"/>
        </w:rPr>
        <w:t xml:space="preserve"> </w:t>
      </w:r>
      <w:r w:rsidR="0034438B" w:rsidRPr="00E00F13">
        <w:rPr>
          <w:rFonts w:ascii="Arial" w:hAnsi="Arial" w:cs="Arial"/>
          <w:sz w:val="24"/>
          <w:szCs w:val="24"/>
        </w:rPr>
        <w:t>estrategias</w:t>
      </w:r>
      <w:r w:rsidRPr="00E00F13">
        <w:rPr>
          <w:rFonts w:ascii="Arial" w:hAnsi="Arial" w:cs="Arial"/>
          <w:sz w:val="24"/>
          <w:szCs w:val="24"/>
        </w:rPr>
        <w:t>:</w:t>
      </w:r>
    </w:p>
    <w:p w14:paraId="12A561BD" w14:textId="77777777" w:rsidR="00F622FF" w:rsidRPr="00E00F13" w:rsidRDefault="00F622FF" w:rsidP="00F338F1">
      <w:pPr>
        <w:spacing w:after="0" w:line="360" w:lineRule="auto"/>
        <w:jc w:val="both"/>
        <w:rPr>
          <w:rFonts w:ascii="Arial" w:hAnsi="Arial" w:cs="Arial"/>
          <w:sz w:val="24"/>
          <w:szCs w:val="24"/>
        </w:rPr>
      </w:pPr>
    </w:p>
    <w:p w14:paraId="2DAC7BDA" w14:textId="7968049E" w:rsidR="00FA6736" w:rsidRPr="00E75675" w:rsidRDefault="00FA6736" w:rsidP="00F338F1">
      <w:pPr>
        <w:spacing w:after="0" w:line="360" w:lineRule="auto"/>
        <w:jc w:val="both"/>
        <w:rPr>
          <w:rFonts w:ascii="Arial" w:hAnsi="Arial" w:cs="Arial"/>
          <w:sz w:val="24"/>
          <w:szCs w:val="24"/>
        </w:rPr>
      </w:pPr>
      <w:r w:rsidRPr="00D22BFA">
        <w:rPr>
          <w:rFonts w:ascii="Arial" w:hAnsi="Arial" w:cs="Arial"/>
          <w:b/>
          <w:bCs/>
          <w:sz w:val="24"/>
          <w:szCs w:val="24"/>
        </w:rPr>
        <w:t xml:space="preserve">1) </w:t>
      </w:r>
      <w:r w:rsidR="004A56ED" w:rsidRPr="00D22BFA">
        <w:rPr>
          <w:rFonts w:ascii="Arial" w:hAnsi="Arial" w:cs="Arial"/>
          <w:b/>
          <w:bCs/>
          <w:sz w:val="24"/>
          <w:szCs w:val="24"/>
        </w:rPr>
        <w:t>La Ley 1448 de 2011</w:t>
      </w:r>
      <w:r w:rsidR="004A56ED" w:rsidRPr="00E75675">
        <w:rPr>
          <w:rFonts w:ascii="Arial" w:hAnsi="Arial" w:cs="Arial"/>
          <w:sz w:val="24"/>
          <w:szCs w:val="24"/>
        </w:rPr>
        <w:t xml:space="preserve"> de Víctimas y Restitución de Tierras y</w:t>
      </w:r>
      <w:r w:rsidR="005629B4" w:rsidRPr="00E75675">
        <w:rPr>
          <w:rFonts w:ascii="Arial" w:hAnsi="Arial" w:cs="Arial"/>
          <w:sz w:val="24"/>
          <w:szCs w:val="24"/>
        </w:rPr>
        <w:t xml:space="preserve"> el </w:t>
      </w:r>
      <w:r w:rsidR="002D746B" w:rsidRPr="00E75675">
        <w:rPr>
          <w:rFonts w:ascii="Arial" w:hAnsi="Arial" w:cs="Arial"/>
          <w:sz w:val="24"/>
          <w:szCs w:val="24"/>
        </w:rPr>
        <w:t>Acuerdo Final</w:t>
      </w:r>
      <w:r w:rsidR="005629B4" w:rsidRPr="00E75675">
        <w:t xml:space="preserve"> </w:t>
      </w:r>
      <w:r w:rsidR="005629B4" w:rsidRPr="00E75675">
        <w:rPr>
          <w:rFonts w:ascii="Arial" w:hAnsi="Arial" w:cs="Arial"/>
          <w:sz w:val="24"/>
          <w:szCs w:val="24"/>
        </w:rPr>
        <w:t xml:space="preserve">para la terminación del conflicto y la construcción de una paz estable y duradera, de 2016, </w:t>
      </w:r>
      <w:r w:rsidR="004A56ED" w:rsidRPr="00E75675">
        <w:rPr>
          <w:rFonts w:ascii="Arial" w:hAnsi="Arial" w:cs="Arial"/>
          <w:sz w:val="24"/>
          <w:szCs w:val="24"/>
        </w:rPr>
        <w:t xml:space="preserve">obligan al Ministerio </w:t>
      </w:r>
      <w:r w:rsidR="00BE7A47" w:rsidRPr="00E75675">
        <w:rPr>
          <w:rFonts w:ascii="Arial" w:hAnsi="Arial" w:cs="Arial"/>
          <w:sz w:val="24"/>
          <w:szCs w:val="24"/>
        </w:rPr>
        <w:t>a</w:t>
      </w:r>
      <w:r w:rsidR="004A56ED" w:rsidRPr="00E75675">
        <w:rPr>
          <w:rFonts w:ascii="Arial" w:hAnsi="Arial" w:cs="Arial"/>
          <w:sz w:val="24"/>
          <w:szCs w:val="24"/>
        </w:rPr>
        <w:t xml:space="preserve"> recoger</w:t>
      </w:r>
      <w:r w:rsidR="00BE7A47" w:rsidRPr="00E75675">
        <w:rPr>
          <w:rFonts w:ascii="Arial" w:hAnsi="Arial" w:cs="Arial"/>
          <w:sz w:val="24"/>
          <w:szCs w:val="24"/>
        </w:rPr>
        <w:t xml:space="preserve"> a</w:t>
      </w:r>
      <w:r w:rsidR="004A56ED" w:rsidRPr="00E75675">
        <w:rPr>
          <w:rFonts w:ascii="Arial" w:hAnsi="Arial" w:cs="Arial"/>
          <w:sz w:val="24"/>
          <w:szCs w:val="24"/>
        </w:rPr>
        <w:t xml:space="preserve"> la población víctima dentro de sus programas y convocatorias </w:t>
      </w:r>
      <w:r w:rsidR="00BE7A47" w:rsidRPr="00E75675">
        <w:rPr>
          <w:rFonts w:ascii="Arial" w:hAnsi="Arial" w:cs="Arial"/>
          <w:sz w:val="24"/>
          <w:szCs w:val="24"/>
        </w:rPr>
        <w:t>de manera específica. El equipo del Despacho que trabaja con las víctimas ha estado elaborando un documento de lineamientos de priorización para la atención a las personas víctimas, con la finalidad de incluir</w:t>
      </w:r>
      <w:r w:rsidR="002F0A04" w:rsidRPr="00E75675">
        <w:rPr>
          <w:rFonts w:ascii="Arial" w:hAnsi="Arial" w:cs="Arial"/>
          <w:sz w:val="24"/>
          <w:szCs w:val="24"/>
        </w:rPr>
        <w:t>,</w:t>
      </w:r>
      <w:r w:rsidR="00BE7A47" w:rsidRPr="00E75675">
        <w:rPr>
          <w:rFonts w:ascii="Arial" w:hAnsi="Arial" w:cs="Arial"/>
          <w:sz w:val="24"/>
          <w:szCs w:val="24"/>
        </w:rPr>
        <w:t xml:space="preserve"> </w:t>
      </w:r>
      <w:r w:rsidR="002F0A04" w:rsidRPr="00E75675">
        <w:rPr>
          <w:rFonts w:ascii="Arial" w:hAnsi="Arial" w:cs="Arial"/>
          <w:sz w:val="24"/>
          <w:szCs w:val="24"/>
        </w:rPr>
        <w:t xml:space="preserve">en las normativas y convocatorias del Ministerio, </w:t>
      </w:r>
      <w:r w:rsidR="00BE7A47" w:rsidRPr="00E75675">
        <w:rPr>
          <w:rFonts w:ascii="Arial" w:hAnsi="Arial" w:cs="Arial"/>
          <w:sz w:val="24"/>
          <w:szCs w:val="24"/>
        </w:rPr>
        <w:t xml:space="preserve">criterios específicos </w:t>
      </w:r>
      <w:r w:rsidR="002F0A04" w:rsidRPr="00E75675">
        <w:rPr>
          <w:rFonts w:ascii="Arial" w:hAnsi="Arial" w:cs="Arial"/>
          <w:sz w:val="24"/>
          <w:szCs w:val="24"/>
        </w:rPr>
        <w:t>para la</w:t>
      </w:r>
      <w:r w:rsidR="00BE7A47" w:rsidRPr="00E75675">
        <w:rPr>
          <w:rFonts w:ascii="Arial" w:hAnsi="Arial" w:cs="Arial"/>
          <w:sz w:val="24"/>
          <w:szCs w:val="24"/>
        </w:rPr>
        <w:t xml:space="preserve"> atención a esta población. </w:t>
      </w:r>
    </w:p>
    <w:p w14:paraId="5F987248" w14:textId="77777777" w:rsidR="00FA6736" w:rsidRPr="00E75675" w:rsidRDefault="00FA6736" w:rsidP="00F338F1">
      <w:pPr>
        <w:spacing w:after="0" w:line="360" w:lineRule="auto"/>
        <w:jc w:val="both"/>
        <w:rPr>
          <w:rFonts w:ascii="Arial" w:hAnsi="Arial" w:cs="Arial"/>
          <w:sz w:val="24"/>
          <w:szCs w:val="24"/>
        </w:rPr>
      </w:pPr>
    </w:p>
    <w:p w14:paraId="6771AA68" w14:textId="2E56D330" w:rsidR="005B5BD7" w:rsidRPr="00E00F13" w:rsidRDefault="00FA6736" w:rsidP="00F338F1">
      <w:pPr>
        <w:spacing w:after="0" w:line="360" w:lineRule="auto"/>
        <w:jc w:val="both"/>
        <w:rPr>
          <w:rFonts w:ascii="Arial" w:hAnsi="Arial" w:cs="Arial"/>
          <w:sz w:val="24"/>
          <w:szCs w:val="24"/>
        </w:rPr>
      </w:pPr>
      <w:r w:rsidRPr="00D22BFA">
        <w:rPr>
          <w:rFonts w:ascii="Arial" w:hAnsi="Arial" w:cs="Arial"/>
          <w:b/>
          <w:bCs/>
          <w:sz w:val="24"/>
          <w:szCs w:val="24"/>
        </w:rPr>
        <w:t xml:space="preserve">2) </w:t>
      </w:r>
      <w:r w:rsidR="00940EF2" w:rsidRPr="00D22BFA">
        <w:rPr>
          <w:rFonts w:ascii="Arial" w:hAnsi="Arial" w:cs="Arial"/>
          <w:b/>
          <w:bCs/>
          <w:sz w:val="24"/>
          <w:szCs w:val="24"/>
        </w:rPr>
        <w:t>E</w:t>
      </w:r>
      <w:r w:rsidR="00886F10" w:rsidRPr="00D22BFA">
        <w:rPr>
          <w:rFonts w:ascii="Arial" w:hAnsi="Arial" w:cs="Arial"/>
          <w:b/>
          <w:bCs/>
          <w:sz w:val="24"/>
          <w:szCs w:val="24"/>
        </w:rPr>
        <w:t>l nuevo Decreto 0585</w:t>
      </w:r>
      <w:r w:rsidR="00886F10" w:rsidRPr="00E00F13">
        <w:rPr>
          <w:rFonts w:ascii="Arial" w:hAnsi="Arial" w:cs="Arial"/>
          <w:sz w:val="24"/>
          <w:szCs w:val="24"/>
        </w:rPr>
        <w:t xml:space="preserve"> del 28 de mayo de 2025 «Por el cual </w:t>
      </w:r>
      <w:proofErr w:type="spellStart"/>
      <w:r w:rsidR="00886F10" w:rsidRPr="00E00F13">
        <w:rPr>
          <w:rFonts w:ascii="Arial" w:hAnsi="Arial" w:cs="Arial"/>
          <w:sz w:val="24"/>
          <w:szCs w:val="24"/>
        </w:rPr>
        <w:t>seadiciona</w:t>
      </w:r>
      <w:proofErr w:type="spellEnd"/>
      <w:r w:rsidR="00886F10" w:rsidRPr="00E00F13">
        <w:rPr>
          <w:rFonts w:ascii="Arial" w:hAnsi="Arial" w:cs="Arial"/>
          <w:sz w:val="24"/>
          <w:szCs w:val="24"/>
        </w:rPr>
        <w:t xml:space="preserve"> el Título 13, a la Parte 1, del Libro 2 del Decreto 1077 de 2015 en relación con el subsidio familiar de vivienda del programa de Autogestión de vivienda de interés social nueva urbana y rural»</w:t>
      </w:r>
      <w:r w:rsidR="009C40CE" w:rsidRPr="00E00F13">
        <w:rPr>
          <w:rFonts w:ascii="Arial" w:hAnsi="Arial" w:cs="Arial"/>
          <w:sz w:val="24"/>
          <w:szCs w:val="24"/>
        </w:rPr>
        <w:t xml:space="preserve">, incluye un apartado </w:t>
      </w:r>
      <w:r w:rsidR="00886F10" w:rsidRPr="00E00F13">
        <w:rPr>
          <w:rFonts w:ascii="Arial" w:hAnsi="Arial" w:cs="Arial"/>
          <w:sz w:val="24"/>
          <w:szCs w:val="24"/>
        </w:rPr>
        <w:t>para la autogestión</w:t>
      </w:r>
      <w:r w:rsidR="009C40CE" w:rsidRPr="00E00F13">
        <w:rPr>
          <w:rFonts w:ascii="Arial" w:hAnsi="Arial" w:cs="Arial"/>
          <w:sz w:val="24"/>
          <w:szCs w:val="24"/>
        </w:rPr>
        <w:t xml:space="preserve"> destinada a esa población</w:t>
      </w:r>
      <w:r w:rsidR="00886F10" w:rsidRPr="00E00F13">
        <w:rPr>
          <w:rFonts w:ascii="Arial" w:hAnsi="Arial" w:cs="Arial"/>
          <w:sz w:val="24"/>
          <w:szCs w:val="24"/>
        </w:rPr>
        <w:t xml:space="preserve">. </w:t>
      </w:r>
      <w:r w:rsidR="005B5BD7" w:rsidRPr="00E00F13">
        <w:rPr>
          <w:rFonts w:ascii="Arial" w:hAnsi="Arial" w:cs="Arial"/>
          <w:sz w:val="24"/>
          <w:szCs w:val="24"/>
        </w:rPr>
        <w:lastRenderedPageBreak/>
        <w:t xml:space="preserve">El </w:t>
      </w:r>
      <w:r w:rsidR="00886F10" w:rsidRPr="00E00F13">
        <w:rPr>
          <w:rFonts w:ascii="Arial" w:hAnsi="Arial" w:cs="Arial"/>
          <w:sz w:val="24"/>
          <w:szCs w:val="24"/>
        </w:rPr>
        <w:t>artículo 2.1.13.4.7 del Decreto 0585 de 2025, referido a las condiciones y los hogares, en su parágrafo 2, señala lo siguiente:</w:t>
      </w:r>
    </w:p>
    <w:p w14:paraId="29E0C253" w14:textId="32AE4465" w:rsidR="005B5BD7" w:rsidRPr="00E00F13" w:rsidRDefault="005B5BD7" w:rsidP="00F338F1">
      <w:pPr>
        <w:spacing w:line="360" w:lineRule="auto"/>
        <w:ind w:left="567"/>
        <w:jc w:val="both"/>
        <w:rPr>
          <w:rFonts w:ascii="Arial" w:hAnsi="Arial" w:cs="Arial"/>
          <w:sz w:val="20"/>
          <w:szCs w:val="20"/>
        </w:rPr>
      </w:pPr>
      <w:r w:rsidRPr="00E00F13">
        <w:rPr>
          <w:rFonts w:ascii="Arial" w:hAnsi="Arial" w:cs="Arial"/>
          <w:sz w:val="20"/>
          <w:szCs w:val="20"/>
        </w:rPr>
        <w:t>Parágrafo 2. El Ministerio de Vivienda, Ciudad y Territorio podrá establecer mediante acto administrativo, los criterios de priorización para los potenciales beneficiarios que cumplan con los requisitos establecidos en el presente artículo. Dentro de la priorización se podrán incluir, entre otras, a las personas víctimas del conflicto armado interno, el enfoque diferencial étnico, personas en condición de discapacidad, grupo etario y enfoque de género y las demás que se dispongan en el marco de la política de vivienda nacional.</w:t>
      </w:r>
    </w:p>
    <w:p w14:paraId="416C6C9B" w14:textId="77777777" w:rsidR="00F338F1" w:rsidRPr="00E00F13" w:rsidRDefault="00F338F1" w:rsidP="00F338F1">
      <w:pPr>
        <w:spacing w:after="0" w:line="360" w:lineRule="auto"/>
        <w:jc w:val="both"/>
        <w:rPr>
          <w:rFonts w:ascii="Arial" w:hAnsi="Arial" w:cs="Arial"/>
          <w:sz w:val="24"/>
          <w:szCs w:val="24"/>
        </w:rPr>
      </w:pPr>
    </w:p>
    <w:p w14:paraId="350DDA13" w14:textId="12206280" w:rsidR="00940EF2" w:rsidRPr="00E00F13" w:rsidRDefault="00B650F5" w:rsidP="00F338F1">
      <w:pPr>
        <w:spacing w:after="0" w:line="360" w:lineRule="auto"/>
        <w:jc w:val="both"/>
        <w:rPr>
          <w:rFonts w:ascii="Arial" w:hAnsi="Arial" w:cs="Arial"/>
          <w:sz w:val="24"/>
          <w:szCs w:val="24"/>
        </w:rPr>
      </w:pPr>
      <w:r w:rsidRPr="00E00F13">
        <w:rPr>
          <w:rFonts w:ascii="Arial" w:hAnsi="Arial" w:cs="Arial"/>
          <w:sz w:val="24"/>
          <w:szCs w:val="24"/>
        </w:rPr>
        <w:t xml:space="preserve">Esto quiere decir que el </w:t>
      </w:r>
      <w:r w:rsidR="006E5AC0" w:rsidRPr="00E00F13">
        <w:rPr>
          <w:rFonts w:ascii="Arial" w:hAnsi="Arial" w:cs="Arial"/>
          <w:sz w:val="24"/>
          <w:szCs w:val="24"/>
        </w:rPr>
        <w:t>M</w:t>
      </w:r>
      <w:r w:rsidRPr="00E00F13">
        <w:rPr>
          <w:rFonts w:ascii="Arial" w:hAnsi="Arial" w:cs="Arial"/>
          <w:sz w:val="24"/>
          <w:szCs w:val="24"/>
        </w:rPr>
        <w:t xml:space="preserve">inisterio está consciente de la necesidad de </w:t>
      </w:r>
      <w:r w:rsidR="004C50BC" w:rsidRPr="00E00F13">
        <w:rPr>
          <w:rFonts w:ascii="Arial" w:hAnsi="Arial" w:cs="Arial"/>
          <w:sz w:val="24"/>
          <w:szCs w:val="24"/>
        </w:rPr>
        <w:t>hacer un abordaje específico para las personas víctimas del conflicto armado colombiano</w:t>
      </w:r>
      <w:r w:rsidRPr="00E00F13">
        <w:rPr>
          <w:rFonts w:ascii="Arial" w:hAnsi="Arial" w:cs="Arial"/>
          <w:sz w:val="24"/>
          <w:szCs w:val="24"/>
        </w:rPr>
        <w:t>, por lo que ha abierto la puerta normativa para desarrollar con posterioridad lo correspondiente a la población víctima, así como a las mujeres, indígenas, afrocolombianos, raizales, negros, palenqueros, entre otros.</w:t>
      </w:r>
    </w:p>
    <w:p w14:paraId="22E3EEAE" w14:textId="77777777" w:rsidR="00F338F1" w:rsidRPr="00E00F13" w:rsidRDefault="00F338F1" w:rsidP="00F338F1">
      <w:pPr>
        <w:spacing w:after="0" w:line="360" w:lineRule="auto"/>
        <w:jc w:val="both"/>
        <w:rPr>
          <w:rFonts w:ascii="Arial" w:hAnsi="Arial" w:cs="Arial"/>
          <w:sz w:val="24"/>
          <w:szCs w:val="24"/>
        </w:rPr>
      </w:pPr>
    </w:p>
    <w:p w14:paraId="6139E279" w14:textId="54307CC0" w:rsidR="004A56ED" w:rsidRPr="00E00F13" w:rsidRDefault="00FA6736" w:rsidP="00F338F1">
      <w:pPr>
        <w:spacing w:after="0" w:line="360" w:lineRule="auto"/>
        <w:jc w:val="both"/>
        <w:rPr>
          <w:rFonts w:ascii="Arial" w:hAnsi="Arial" w:cs="Arial"/>
          <w:sz w:val="24"/>
          <w:szCs w:val="24"/>
        </w:rPr>
      </w:pPr>
      <w:r w:rsidRPr="00E75675">
        <w:rPr>
          <w:rFonts w:ascii="Arial" w:hAnsi="Arial" w:cs="Arial"/>
          <w:b/>
          <w:bCs/>
          <w:sz w:val="24"/>
          <w:szCs w:val="24"/>
        </w:rPr>
        <w:t>3</w:t>
      </w:r>
      <w:r w:rsidR="00E75675" w:rsidRPr="00E75675">
        <w:rPr>
          <w:rFonts w:ascii="Arial" w:hAnsi="Arial" w:cs="Arial"/>
          <w:b/>
          <w:bCs/>
          <w:sz w:val="24"/>
          <w:szCs w:val="24"/>
        </w:rPr>
        <w:t>)</w:t>
      </w:r>
      <w:r w:rsidRPr="00E75675">
        <w:rPr>
          <w:rFonts w:ascii="Arial" w:hAnsi="Arial" w:cs="Arial"/>
          <w:b/>
          <w:bCs/>
          <w:sz w:val="24"/>
          <w:szCs w:val="24"/>
        </w:rPr>
        <w:t xml:space="preserve"> La coordinación interinstitucional</w:t>
      </w:r>
      <w:r w:rsidR="004A56ED" w:rsidRPr="00E75675">
        <w:rPr>
          <w:rFonts w:ascii="Arial" w:hAnsi="Arial" w:cs="Arial"/>
          <w:sz w:val="24"/>
          <w:szCs w:val="24"/>
        </w:rPr>
        <w:t xml:space="preserve"> según la Ley 1448 de 2011 de Víctimas y Restitución de Tierras.</w:t>
      </w:r>
      <w:r w:rsidR="00C063A4" w:rsidRPr="00E00F13">
        <w:rPr>
          <w:rFonts w:ascii="Arial" w:hAnsi="Arial" w:cs="Arial"/>
          <w:sz w:val="24"/>
          <w:szCs w:val="24"/>
        </w:rPr>
        <w:t xml:space="preserve"> </w:t>
      </w:r>
      <w:r w:rsidR="003470A2" w:rsidRPr="00E00F13">
        <w:rPr>
          <w:rFonts w:ascii="Arial" w:hAnsi="Arial" w:cs="Arial"/>
          <w:sz w:val="24"/>
          <w:szCs w:val="24"/>
        </w:rPr>
        <w:t>El Ministerio forma parte del Sistema Nacional de Atención y Reparación Integral a las Víctimas (SNARIV)</w:t>
      </w:r>
      <w:r w:rsidR="004A56ED" w:rsidRPr="00E00F13">
        <w:rPr>
          <w:rFonts w:ascii="Arial" w:hAnsi="Arial" w:cs="Arial"/>
          <w:sz w:val="24"/>
          <w:szCs w:val="24"/>
        </w:rPr>
        <w:t>, creado por la Ley 1448 de 2011 para reparar integralmente a las víctimas del conflicto armado</w:t>
      </w:r>
      <w:r w:rsidR="003470A2" w:rsidRPr="00E00F13">
        <w:rPr>
          <w:rFonts w:ascii="Arial" w:hAnsi="Arial" w:cs="Arial"/>
          <w:sz w:val="24"/>
          <w:szCs w:val="24"/>
        </w:rPr>
        <w:t xml:space="preserve">. El SNARIV es quien coordina la implementación </w:t>
      </w:r>
      <w:r w:rsidR="004A56ED" w:rsidRPr="00E00F13">
        <w:rPr>
          <w:rFonts w:ascii="Arial" w:hAnsi="Arial" w:cs="Arial"/>
          <w:sz w:val="24"/>
          <w:szCs w:val="24"/>
        </w:rPr>
        <w:t xml:space="preserve">de una política pública para la reparación a las víctimas en diversos tópicos, entre ellos, vivienda y agua para el consumo humano y saneamiento básico. En el marco de lo establecido en la </w:t>
      </w:r>
      <w:r w:rsidR="003470A2" w:rsidRPr="00E00F13">
        <w:rPr>
          <w:rFonts w:ascii="Arial" w:hAnsi="Arial" w:cs="Arial"/>
          <w:sz w:val="24"/>
          <w:szCs w:val="24"/>
        </w:rPr>
        <w:t xml:space="preserve">Ley </w:t>
      </w:r>
      <w:r w:rsidR="00E2578B" w:rsidRPr="00E00F13">
        <w:rPr>
          <w:rFonts w:ascii="Arial" w:hAnsi="Arial" w:cs="Arial"/>
          <w:sz w:val="24"/>
          <w:szCs w:val="24"/>
        </w:rPr>
        <w:t xml:space="preserve">1448 </w:t>
      </w:r>
      <w:r w:rsidR="004A56ED" w:rsidRPr="00E00F13">
        <w:rPr>
          <w:rFonts w:ascii="Arial" w:hAnsi="Arial" w:cs="Arial"/>
          <w:sz w:val="24"/>
          <w:szCs w:val="24"/>
        </w:rPr>
        <w:t>se</w:t>
      </w:r>
      <w:r w:rsidR="003470A2" w:rsidRPr="00E00F13">
        <w:rPr>
          <w:rFonts w:ascii="Arial" w:hAnsi="Arial" w:cs="Arial"/>
          <w:sz w:val="24"/>
          <w:szCs w:val="24"/>
        </w:rPr>
        <w:t xml:space="preserve"> ha</w:t>
      </w:r>
      <w:r w:rsidR="004A56ED" w:rsidRPr="00E00F13">
        <w:rPr>
          <w:rFonts w:ascii="Arial" w:hAnsi="Arial" w:cs="Arial"/>
          <w:sz w:val="24"/>
          <w:szCs w:val="24"/>
        </w:rPr>
        <w:t>n</w:t>
      </w:r>
      <w:r w:rsidR="003470A2" w:rsidRPr="00E00F13">
        <w:rPr>
          <w:rFonts w:ascii="Arial" w:hAnsi="Arial" w:cs="Arial"/>
          <w:sz w:val="24"/>
          <w:szCs w:val="24"/>
        </w:rPr>
        <w:t xml:space="preserve"> desarrollado </w:t>
      </w:r>
      <w:r w:rsidR="00E2578B" w:rsidRPr="00E00F13">
        <w:rPr>
          <w:rFonts w:ascii="Arial" w:hAnsi="Arial" w:cs="Arial"/>
          <w:sz w:val="24"/>
          <w:szCs w:val="24"/>
        </w:rPr>
        <w:t xml:space="preserve">diversas </w:t>
      </w:r>
      <w:r w:rsidR="003470A2" w:rsidRPr="00E00F13">
        <w:rPr>
          <w:rFonts w:ascii="Arial" w:hAnsi="Arial" w:cs="Arial"/>
          <w:sz w:val="24"/>
          <w:szCs w:val="24"/>
        </w:rPr>
        <w:t>mesas técnicas conforme a los sucesivos requerimientos</w:t>
      </w:r>
      <w:r w:rsidR="004A56ED" w:rsidRPr="00E00F13">
        <w:rPr>
          <w:rFonts w:ascii="Arial" w:hAnsi="Arial" w:cs="Arial"/>
          <w:sz w:val="24"/>
          <w:szCs w:val="24"/>
        </w:rPr>
        <w:t xml:space="preserve">, en los que participa el equipo de trabajo sobre víctimas que pertenece al Despacho, entre ellas: la </w:t>
      </w:r>
      <w:r w:rsidR="00E2578B" w:rsidRPr="00E00F13">
        <w:rPr>
          <w:rFonts w:ascii="Arial" w:hAnsi="Arial" w:cs="Arial"/>
          <w:sz w:val="24"/>
          <w:szCs w:val="24"/>
        </w:rPr>
        <w:t>Mesa Nacional de Participación de Víctimas</w:t>
      </w:r>
      <w:r w:rsidR="004A56ED" w:rsidRPr="00E00F13">
        <w:rPr>
          <w:rFonts w:ascii="Arial" w:hAnsi="Arial" w:cs="Arial"/>
          <w:sz w:val="24"/>
          <w:szCs w:val="24"/>
        </w:rPr>
        <w:t>, las m</w:t>
      </w:r>
      <w:r w:rsidR="00E2578B" w:rsidRPr="00E00F13">
        <w:rPr>
          <w:rFonts w:ascii="Arial" w:hAnsi="Arial" w:cs="Arial"/>
          <w:sz w:val="24"/>
          <w:szCs w:val="24"/>
        </w:rPr>
        <w:t xml:space="preserve">esas departamentales </w:t>
      </w:r>
      <w:r w:rsidR="004A56ED" w:rsidRPr="00E00F13">
        <w:rPr>
          <w:rFonts w:ascii="Arial" w:hAnsi="Arial" w:cs="Arial"/>
          <w:sz w:val="24"/>
          <w:szCs w:val="24"/>
        </w:rPr>
        <w:t>y las m</w:t>
      </w:r>
      <w:r w:rsidR="00E2578B" w:rsidRPr="00E00F13">
        <w:rPr>
          <w:rFonts w:ascii="Arial" w:hAnsi="Arial" w:cs="Arial"/>
          <w:sz w:val="24"/>
          <w:szCs w:val="24"/>
        </w:rPr>
        <w:t>esas distritales, creadas por la Ley 1448.</w:t>
      </w:r>
    </w:p>
    <w:p w14:paraId="3F42E18C" w14:textId="77777777" w:rsidR="004A56ED" w:rsidRPr="00E00F13" w:rsidRDefault="00E2578B" w:rsidP="00F338F1">
      <w:pPr>
        <w:spacing w:after="0" w:line="360" w:lineRule="auto"/>
        <w:jc w:val="both"/>
        <w:rPr>
          <w:rFonts w:ascii="Arial" w:hAnsi="Arial" w:cs="Arial"/>
          <w:sz w:val="24"/>
          <w:szCs w:val="24"/>
        </w:rPr>
      </w:pPr>
      <w:r w:rsidRPr="00E00F13">
        <w:rPr>
          <w:rFonts w:ascii="Arial" w:hAnsi="Arial" w:cs="Arial"/>
          <w:sz w:val="24"/>
          <w:szCs w:val="24"/>
        </w:rPr>
        <w:t xml:space="preserve"> </w:t>
      </w:r>
    </w:p>
    <w:p w14:paraId="7D6A34FD" w14:textId="17CDE539" w:rsidR="00940EF2" w:rsidRPr="00E00F13" w:rsidRDefault="00C1661B" w:rsidP="00F338F1">
      <w:pPr>
        <w:spacing w:after="0" w:line="360" w:lineRule="auto"/>
        <w:jc w:val="both"/>
        <w:rPr>
          <w:rFonts w:ascii="Arial" w:hAnsi="Arial" w:cs="Arial"/>
          <w:sz w:val="24"/>
          <w:szCs w:val="24"/>
        </w:rPr>
      </w:pPr>
      <w:r w:rsidRPr="00E00F13">
        <w:rPr>
          <w:rFonts w:ascii="Arial" w:hAnsi="Arial" w:cs="Arial"/>
          <w:sz w:val="24"/>
          <w:szCs w:val="24"/>
        </w:rPr>
        <w:t xml:space="preserve">Otros espacios donde participa el </w:t>
      </w:r>
      <w:r w:rsidR="004A56ED" w:rsidRPr="00E00F13">
        <w:rPr>
          <w:rFonts w:ascii="Arial" w:hAnsi="Arial" w:cs="Arial"/>
          <w:sz w:val="24"/>
          <w:szCs w:val="24"/>
        </w:rPr>
        <w:t>M</w:t>
      </w:r>
      <w:r w:rsidRPr="00E00F13">
        <w:rPr>
          <w:rFonts w:ascii="Arial" w:hAnsi="Arial" w:cs="Arial"/>
          <w:sz w:val="24"/>
          <w:szCs w:val="24"/>
        </w:rPr>
        <w:t xml:space="preserve">inisterio son </w:t>
      </w:r>
      <w:r w:rsidR="004442AD" w:rsidRPr="00E00F13">
        <w:rPr>
          <w:rFonts w:ascii="Arial" w:hAnsi="Arial" w:cs="Arial"/>
          <w:sz w:val="24"/>
          <w:szCs w:val="24"/>
        </w:rPr>
        <w:t xml:space="preserve">aquellos </w:t>
      </w:r>
      <w:r w:rsidRPr="00E00F13">
        <w:rPr>
          <w:rFonts w:ascii="Arial" w:hAnsi="Arial" w:cs="Arial"/>
          <w:sz w:val="24"/>
          <w:szCs w:val="24"/>
        </w:rPr>
        <w:t>donde se discuten asuntos relacionados con la Sentencia T025</w:t>
      </w:r>
      <w:r w:rsidR="00380F58" w:rsidRPr="00E00F13">
        <w:rPr>
          <w:rFonts w:ascii="Arial" w:hAnsi="Arial" w:cs="Arial"/>
          <w:sz w:val="24"/>
          <w:szCs w:val="24"/>
        </w:rPr>
        <w:t xml:space="preserve">, </w:t>
      </w:r>
      <w:r w:rsidR="004442AD" w:rsidRPr="00E00F13">
        <w:rPr>
          <w:rFonts w:ascii="Arial" w:hAnsi="Arial" w:cs="Arial"/>
          <w:sz w:val="24"/>
          <w:szCs w:val="24"/>
        </w:rPr>
        <w:t xml:space="preserve">la </w:t>
      </w:r>
      <w:r w:rsidR="00380F58" w:rsidRPr="00E00F13">
        <w:rPr>
          <w:rFonts w:ascii="Arial" w:hAnsi="Arial" w:cs="Arial"/>
          <w:sz w:val="24"/>
          <w:szCs w:val="24"/>
        </w:rPr>
        <w:t>Comisión Segunda,</w:t>
      </w:r>
      <w:r w:rsidR="004442AD" w:rsidRPr="00E00F13">
        <w:rPr>
          <w:rFonts w:ascii="Arial" w:hAnsi="Arial" w:cs="Arial"/>
          <w:sz w:val="24"/>
          <w:szCs w:val="24"/>
        </w:rPr>
        <w:t xml:space="preserve"> la</w:t>
      </w:r>
      <w:r w:rsidR="00380F58" w:rsidRPr="00E00F13">
        <w:rPr>
          <w:rFonts w:ascii="Arial" w:hAnsi="Arial" w:cs="Arial"/>
          <w:sz w:val="24"/>
          <w:szCs w:val="24"/>
        </w:rPr>
        <w:t xml:space="preserve"> Comisión Cuarta,</w:t>
      </w:r>
      <w:r w:rsidR="00DF4BFD" w:rsidRPr="00E00F13">
        <w:rPr>
          <w:rFonts w:ascii="Arial" w:hAnsi="Arial" w:cs="Arial"/>
          <w:sz w:val="24"/>
          <w:szCs w:val="24"/>
        </w:rPr>
        <w:t xml:space="preserve"> la Sociedad de Activos Especiales</w:t>
      </w:r>
      <w:r w:rsidR="00380F58" w:rsidRPr="00E00F13">
        <w:rPr>
          <w:rFonts w:ascii="Arial" w:hAnsi="Arial" w:cs="Arial"/>
          <w:sz w:val="24"/>
          <w:szCs w:val="24"/>
        </w:rPr>
        <w:t xml:space="preserve"> </w:t>
      </w:r>
      <w:r w:rsidR="00DF4BFD" w:rsidRPr="00E00F13">
        <w:rPr>
          <w:rFonts w:ascii="Arial" w:hAnsi="Arial" w:cs="Arial"/>
          <w:sz w:val="24"/>
          <w:szCs w:val="24"/>
        </w:rPr>
        <w:t>(</w:t>
      </w:r>
      <w:r w:rsidR="00380F58" w:rsidRPr="00E00F13">
        <w:rPr>
          <w:rFonts w:ascii="Arial" w:hAnsi="Arial" w:cs="Arial"/>
          <w:sz w:val="24"/>
          <w:szCs w:val="24"/>
        </w:rPr>
        <w:t>SAE</w:t>
      </w:r>
      <w:r w:rsidR="00DF4BFD" w:rsidRPr="00E00F13">
        <w:rPr>
          <w:rFonts w:ascii="Arial" w:hAnsi="Arial" w:cs="Arial"/>
          <w:sz w:val="24"/>
          <w:szCs w:val="24"/>
        </w:rPr>
        <w:t xml:space="preserve">), el Plan de Acción de Fortalecimiento Institucional –un plan elaborado por la UARIV con todas las entidades que hacen parte del sistema–, </w:t>
      </w:r>
      <w:r w:rsidR="004442AD" w:rsidRPr="00E00F13">
        <w:rPr>
          <w:rFonts w:ascii="Arial" w:hAnsi="Arial" w:cs="Arial"/>
          <w:sz w:val="24"/>
          <w:szCs w:val="24"/>
        </w:rPr>
        <w:t xml:space="preserve">el plan de gestión del hábitat, convocatorias de los entes de </w:t>
      </w:r>
      <w:r w:rsidR="004442AD" w:rsidRPr="00E00F13">
        <w:rPr>
          <w:rFonts w:ascii="Arial" w:hAnsi="Arial" w:cs="Arial"/>
          <w:sz w:val="24"/>
          <w:szCs w:val="24"/>
        </w:rPr>
        <w:lastRenderedPageBreak/>
        <w:t>control, convocatorias por el Ministerio del Interior, entre otros.</w:t>
      </w:r>
      <w:r w:rsidR="003D64CA" w:rsidRPr="00E00F13">
        <w:rPr>
          <w:rFonts w:ascii="Arial" w:hAnsi="Arial" w:cs="Arial"/>
          <w:sz w:val="24"/>
          <w:szCs w:val="24"/>
        </w:rPr>
        <w:t xml:space="preserve"> Asimismo, el </w:t>
      </w:r>
      <w:r w:rsidR="004A56ED" w:rsidRPr="00E00F13">
        <w:rPr>
          <w:rFonts w:ascii="Arial" w:hAnsi="Arial" w:cs="Arial"/>
          <w:sz w:val="24"/>
          <w:szCs w:val="24"/>
        </w:rPr>
        <w:t>M</w:t>
      </w:r>
      <w:r w:rsidR="003D64CA" w:rsidRPr="00E00F13">
        <w:rPr>
          <w:rFonts w:ascii="Arial" w:hAnsi="Arial" w:cs="Arial"/>
          <w:sz w:val="24"/>
          <w:szCs w:val="24"/>
        </w:rPr>
        <w:t xml:space="preserve">inisterio ha hecho importantes aportes en materia de restitución, en conjunto con la Unidad de Restitución de Tierras (URT) en concordancia con la estrategia de relacionamiento interinstitucional para responder de manera adecuada a las necesidades. A partir de las sucesivas sentencias de restitución se obliga al </w:t>
      </w:r>
      <w:r w:rsidR="004A56ED" w:rsidRPr="00E00F13">
        <w:rPr>
          <w:rFonts w:ascii="Arial" w:hAnsi="Arial" w:cs="Arial"/>
          <w:sz w:val="24"/>
          <w:szCs w:val="24"/>
        </w:rPr>
        <w:t>M</w:t>
      </w:r>
      <w:r w:rsidR="003D64CA" w:rsidRPr="00E00F13">
        <w:rPr>
          <w:rFonts w:ascii="Arial" w:hAnsi="Arial" w:cs="Arial"/>
          <w:sz w:val="24"/>
          <w:szCs w:val="24"/>
        </w:rPr>
        <w:t>inisterio a dar respuestas y, en este sentido, también ha estado aportando a esta población que ha sido muy golpeada en el país.</w:t>
      </w:r>
    </w:p>
    <w:p w14:paraId="50B8A50A" w14:textId="77777777" w:rsidR="00F338F1" w:rsidRPr="00E00F13" w:rsidRDefault="00F338F1" w:rsidP="00F338F1">
      <w:pPr>
        <w:spacing w:after="0" w:line="360" w:lineRule="auto"/>
        <w:jc w:val="both"/>
        <w:rPr>
          <w:rFonts w:ascii="Arial" w:hAnsi="Arial" w:cs="Arial"/>
          <w:sz w:val="24"/>
          <w:szCs w:val="24"/>
        </w:rPr>
      </w:pPr>
    </w:p>
    <w:p w14:paraId="60ABC58C" w14:textId="79C2A1C4" w:rsidR="00940EF2" w:rsidRPr="00E00F13" w:rsidRDefault="00FA6736" w:rsidP="00F338F1">
      <w:pPr>
        <w:spacing w:after="0" w:line="360" w:lineRule="auto"/>
        <w:jc w:val="both"/>
        <w:rPr>
          <w:rFonts w:ascii="Arial" w:hAnsi="Arial" w:cs="Arial"/>
          <w:sz w:val="24"/>
          <w:szCs w:val="24"/>
        </w:rPr>
      </w:pPr>
      <w:r w:rsidRPr="00E75675">
        <w:rPr>
          <w:rFonts w:ascii="Arial" w:hAnsi="Arial" w:cs="Arial"/>
          <w:b/>
          <w:bCs/>
          <w:sz w:val="24"/>
          <w:szCs w:val="24"/>
        </w:rPr>
        <w:t>4</w:t>
      </w:r>
      <w:r w:rsidR="00E75675">
        <w:rPr>
          <w:rFonts w:ascii="Arial" w:hAnsi="Arial" w:cs="Arial"/>
          <w:b/>
          <w:bCs/>
          <w:sz w:val="24"/>
          <w:szCs w:val="24"/>
        </w:rPr>
        <w:t>)</w:t>
      </w:r>
      <w:r w:rsidRPr="00E75675">
        <w:rPr>
          <w:rFonts w:ascii="Arial" w:hAnsi="Arial" w:cs="Arial"/>
          <w:b/>
          <w:bCs/>
          <w:sz w:val="24"/>
          <w:szCs w:val="24"/>
        </w:rPr>
        <w:t xml:space="preserve"> </w:t>
      </w:r>
      <w:r w:rsidR="00AB42A3" w:rsidRPr="00E75675">
        <w:rPr>
          <w:rFonts w:ascii="Arial" w:hAnsi="Arial" w:cs="Arial"/>
          <w:b/>
          <w:bCs/>
          <w:sz w:val="24"/>
          <w:szCs w:val="24"/>
        </w:rPr>
        <w:t>Organizativa</w:t>
      </w:r>
      <w:r w:rsidR="004442AD" w:rsidRPr="00E75675">
        <w:rPr>
          <w:rFonts w:ascii="Arial" w:hAnsi="Arial" w:cs="Arial"/>
          <w:sz w:val="24"/>
          <w:szCs w:val="24"/>
        </w:rPr>
        <w:t>.</w:t>
      </w:r>
      <w:r w:rsidR="004442AD" w:rsidRPr="00E00F13">
        <w:rPr>
          <w:rFonts w:ascii="Arial" w:hAnsi="Arial" w:cs="Arial"/>
          <w:sz w:val="24"/>
          <w:szCs w:val="24"/>
        </w:rPr>
        <w:t xml:space="preserve"> El Ministerio cuenta con un grupo de trabajo destinado especialmente a atender los espacios interinstitucionales. Este grupo</w:t>
      </w:r>
      <w:r w:rsidRPr="00E00F13">
        <w:rPr>
          <w:rFonts w:ascii="Arial" w:hAnsi="Arial" w:cs="Arial"/>
          <w:sz w:val="24"/>
          <w:szCs w:val="24"/>
        </w:rPr>
        <w:t xml:space="preserve"> –que pertenece al D</w:t>
      </w:r>
      <w:r w:rsidR="00AB42A3" w:rsidRPr="00E00F13">
        <w:rPr>
          <w:rFonts w:ascii="Arial" w:hAnsi="Arial" w:cs="Arial"/>
          <w:sz w:val="24"/>
          <w:szCs w:val="24"/>
        </w:rPr>
        <w:t>es</w:t>
      </w:r>
      <w:r w:rsidRPr="00E00F13">
        <w:rPr>
          <w:rFonts w:ascii="Arial" w:hAnsi="Arial" w:cs="Arial"/>
          <w:sz w:val="24"/>
          <w:szCs w:val="24"/>
        </w:rPr>
        <w:t>pacho</w:t>
      </w:r>
      <w:r w:rsidR="00AB42A3" w:rsidRPr="00E00F13">
        <w:rPr>
          <w:rFonts w:ascii="Arial" w:hAnsi="Arial" w:cs="Arial"/>
          <w:sz w:val="24"/>
          <w:szCs w:val="24"/>
        </w:rPr>
        <w:softHyphen/>
        <w:t xml:space="preserve">– </w:t>
      </w:r>
      <w:r w:rsidR="004442AD" w:rsidRPr="00E00F13">
        <w:rPr>
          <w:rFonts w:ascii="Arial" w:hAnsi="Arial" w:cs="Arial"/>
          <w:sz w:val="24"/>
          <w:szCs w:val="24"/>
        </w:rPr>
        <w:t>tiene como objetivo desarrollar</w:t>
      </w:r>
      <w:r w:rsidR="003470A2" w:rsidRPr="00E00F13">
        <w:rPr>
          <w:rFonts w:ascii="Arial" w:hAnsi="Arial" w:cs="Arial"/>
          <w:sz w:val="24"/>
          <w:szCs w:val="24"/>
        </w:rPr>
        <w:t xml:space="preserve"> intervenciones </w:t>
      </w:r>
      <w:r w:rsidR="004442AD" w:rsidRPr="00E00F13">
        <w:rPr>
          <w:rFonts w:ascii="Arial" w:hAnsi="Arial" w:cs="Arial"/>
          <w:sz w:val="24"/>
          <w:szCs w:val="24"/>
        </w:rPr>
        <w:t xml:space="preserve">tanto </w:t>
      </w:r>
      <w:r w:rsidR="003470A2" w:rsidRPr="00E00F13">
        <w:rPr>
          <w:rFonts w:ascii="Arial" w:hAnsi="Arial" w:cs="Arial"/>
          <w:sz w:val="24"/>
          <w:szCs w:val="24"/>
        </w:rPr>
        <w:t>estratégica</w:t>
      </w:r>
      <w:r w:rsidR="00AB42A3" w:rsidRPr="00E00F13">
        <w:rPr>
          <w:rFonts w:ascii="Arial" w:hAnsi="Arial" w:cs="Arial"/>
          <w:sz w:val="24"/>
          <w:szCs w:val="24"/>
        </w:rPr>
        <w:t>s</w:t>
      </w:r>
      <w:r w:rsidR="004442AD" w:rsidRPr="00E00F13">
        <w:rPr>
          <w:rFonts w:ascii="Arial" w:hAnsi="Arial" w:cs="Arial"/>
          <w:sz w:val="24"/>
          <w:szCs w:val="24"/>
        </w:rPr>
        <w:t xml:space="preserve"> como </w:t>
      </w:r>
      <w:r w:rsidR="003470A2" w:rsidRPr="00E00F13">
        <w:rPr>
          <w:rFonts w:ascii="Arial" w:hAnsi="Arial" w:cs="Arial"/>
          <w:sz w:val="24"/>
          <w:szCs w:val="24"/>
        </w:rPr>
        <w:t xml:space="preserve">puntuales </w:t>
      </w:r>
      <w:r w:rsidR="004442AD" w:rsidRPr="00E00F13">
        <w:rPr>
          <w:rFonts w:ascii="Arial" w:hAnsi="Arial" w:cs="Arial"/>
          <w:sz w:val="24"/>
          <w:szCs w:val="24"/>
        </w:rPr>
        <w:t>para</w:t>
      </w:r>
      <w:r w:rsidR="003470A2" w:rsidRPr="00E00F13">
        <w:rPr>
          <w:rFonts w:ascii="Arial" w:hAnsi="Arial" w:cs="Arial"/>
          <w:sz w:val="24"/>
          <w:szCs w:val="24"/>
        </w:rPr>
        <w:t xml:space="preserve"> la atención a esta población</w:t>
      </w:r>
      <w:r w:rsidR="004442AD" w:rsidRPr="00E00F13">
        <w:rPr>
          <w:rFonts w:ascii="Arial" w:hAnsi="Arial" w:cs="Arial"/>
          <w:sz w:val="24"/>
          <w:szCs w:val="24"/>
        </w:rPr>
        <w:t>,</w:t>
      </w:r>
      <w:r w:rsidR="003470A2" w:rsidRPr="00E00F13">
        <w:rPr>
          <w:rFonts w:ascii="Arial" w:hAnsi="Arial" w:cs="Arial"/>
          <w:sz w:val="24"/>
          <w:szCs w:val="24"/>
        </w:rPr>
        <w:t xml:space="preserve"> a partir de la participación en los espacios institucionales</w:t>
      </w:r>
      <w:r w:rsidR="004442AD" w:rsidRPr="00E00F13">
        <w:rPr>
          <w:rFonts w:ascii="Arial" w:hAnsi="Arial" w:cs="Arial"/>
          <w:sz w:val="24"/>
          <w:szCs w:val="24"/>
        </w:rPr>
        <w:t xml:space="preserve"> señalados</w:t>
      </w:r>
      <w:r w:rsidR="00AB42A3" w:rsidRPr="00E00F13">
        <w:rPr>
          <w:rFonts w:ascii="Arial" w:hAnsi="Arial" w:cs="Arial"/>
          <w:sz w:val="24"/>
          <w:szCs w:val="24"/>
        </w:rPr>
        <w:t xml:space="preserve"> y en el desarrollo de documentos y normativas</w:t>
      </w:r>
      <w:r w:rsidR="004442AD" w:rsidRPr="00E00F13">
        <w:rPr>
          <w:rFonts w:ascii="Arial" w:hAnsi="Arial" w:cs="Arial"/>
          <w:sz w:val="24"/>
          <w:szCs w:val="24"/>
        </w:rPr>
        <w:t>.</w:t>
      </w:r>
    </w:p>
    <w:p w14:paraId="5E41B688" w14:textId="77777777" w:rsidR="00F338F1" w:rsidRPr="00E00F13" w:rsidRDefault="00F338F1" w:rsidP="00F338F1">
      <w:pPr>
        <w:spacing w:after="0" w:line="360" w:lineRule="auto"/>
        <w:jc w:val="both"/>
        <w:rPr>
          <w:rFonts w:ascii="Arial" w:hAnsi="Arial" w:cs="Arial"/>
          <w:sz w:val="24"/>
          <w:szCs w:val="24"/>
        </w:rPr>
      </w:pPr>
    </w:p>
    <w:p w14:paraId="5942F90E" w14:textId="2E7BE59E" w:rsidR="00A01CC1" w:rsidRPr="00E00F13" w:rsidRDefault="00AB42A3" w:rsidP="00F338F1">
      <w:pPr>
        <w:spacing w:after="0" w:line="360" w:lineRule="auto"/>
        <w:jc w:val="both"/>
        <w:rPr>
          <w:rFonts w:ascii="Arial" w:hAnsi="Arial" w:cs="Arial"/>
          <w:sz w:val="24"/>
          <w:szCs w:val="24"/>
        </w:rPr>
      </w:pPr>
      <w:r w:rsidRPr="00E00F13">
        <w:rPr>
          <w:rFonts w:ascii="Arial" w:hAnsi="Arial" w:cs="Arial"/>
          <w:b/>
          <w:bCs/>
          <w:sz w:val="24"/>
          <w:szCs w:val="24"/>
        </w:rPr>
        <w:t>5</w:t>
      </w:r>
      <w:r w:rsidR="00E75675">
        <w:rPr>
          <w:rFonts w:ascii="Arial" w:hAnsi="Arial" w:cs="Arial"/>
          <w:b/>
          <w:bCs/>
          <w:sz w:val="24"/>
          <w:szCs w:val="24"/>
        </w:rPr>
        <w:t>)</w:t>
      </w:r>
      <w:r w:rsidRPr="00E00F13">
        <w:rPr>
          <w:rFonts w:ascii="Arial" w:hAnsi="Arial" w:cs="Arial"/>
          <w:b/>
          <w:bCs/>
          <w:sz w:val="24"/>
          <w:szCs w:val="24"/>
        </w:rPr>
        <w:t xml:space="preserve"> C</w:t>
      </w:r>
      <w:r w:rsidR="00A01CC1" w:rsidRPr="00E00F13">
        <w:rPr>
          <w:rFonts w:ascii="Arial" w:hAnsi="Arial" w:cs="Arial"/>
          <w:b/>
          <w:bCs/>
          <w:sz w:val="24"/>
          <w:szCs w:val="24"/>
        </w:rPr>
        <w:t>umplimiento de las sentencias</w:t>
      </w:r>
      <w:r w:rsidR="00A01CC1" w:rsidRPr="00E00F13">
        <w:rPr>
          <w:rFonts w:ascii="Arial" w:hAnsi="Arial" w:cs="Arial"/>
          <w:sz w:val="24"/>
          <w:szCs w:val="24"/>
        </w:rPr>
        <w:t xml:space="preserve">, que obligan al </w:t>
      </w:r>
      <w:r w:rsidR="00FA6736" w:rsidRPr="00E00F13">
        <w:rPr>
          <w:rFonts w:ascii="Arial" w:hAnsi="Arial" w:cs="Arial"/>
          <w:sz w:val="24"/>
          <w:szCs w:val="24"/>
        </w:rPr>
        <w:t>M</w:t>
      </w:r>
      <w:r w:rsidR="00A01CC1" w:rsidRPr="00E00F13">
        <w:rPr>
          <w:rFonts w:ascii="Arial" w:hAnsi="Arial" w:cs="Arial"/>
          <w:sz w:val="24"/>
          <w:szCs w:val="24"/>
        </w:rPr>
        <w:t xml:space="preserve">inisterio a dar cuenta de respuestas institucionales. </w:t>
      </w:r>
    </w:p>
    <w:p w14:paraId="218F70F3" w14:textId="77777777" w:rsidR="00894C6A" w:rsidRPr="00E00F13" w:rsidRDefault="00894C6A" w:rsidP="00B650F5">
      <w:pPr>
        <w:jc w:val="both"/>
        <w:rPr>
          <w:rFonts w:ascii="Arial" w:hAnsi="Arial" w:cs="Arial"/>
          <w:sz w:val="24"/>
          <w:szCs w:val="24"/>
        </w:rPr>
      </w:pPr>
    </w:p>
    <w:p w14:paraId="2154D2E4" w14:textId="2233A6B4" w:rsidR="00D22BFA" w:rsidRPr="00B4157C" w:rsidRDefault="006E5AC0" w:rsidP="00B4157C">
      <w:pPr>
        <w:spacing w:after="0" w:line="360" w:lineRule="auto"/>
        <w:jc w:val="both"/>
        <w:rPr>
          <w:rFonts w:ascii="Arial" w:hAnsi="Arial" w:cs="Arial"/>
          <w:sz w:val="24"/>
          <w:szCs w:val="24"/>
        </w:rPr>
      </w:pPr>
      <w:r w:rsidRPr="00E00F13">
        <w:rPr>
          <w:rFonts w:ascii="Arial" w:hAnsi="Arial" w:cs="Arial"/>
          <w:b/>
          <w:bCs/>
          <w:sz w:val="24"/>
          <w:szCs w:val="24"/>
        </w:rPr>
        <w:t>6</w:t>
      </w:r>
      <w:r w:rsidR="00E75675">
        <w:rPr>
          <w:rFonts w:ascii="Arial" w:hAnsi="Arial" w:cs="Arial"/>
          <w:b/>
          <w:bCs/>
          <w:sz w:val="24"/>
          <w:szCs w:val="24"/>
        </w:rPr>
        <w:t>)</w:t>
      </w:r>
      <w:r w:rsidRPr="00E00F13">
        <w:rPr>
          <w:rFonts w:ascii="Arial" w:hAnsi="Arial" w:cs="Arial"/>
          <w:b/>
          <w:bCs/>
          <w:sz w:val="24"/>
          <w:szCs w:val="24"/>
        </w:rPr>
        <w:t xml:space="preserve"> Subsidios.</w:t>
      </w:r>
      <w:r w:rsidRPr="00E00F13">
        <w:rPr>
          <w:rFonts w:ascii="Arial" w:hAnsi="Arial" w:cs="Arial"/>
          <w:sz w:val="24"/>
          <w:szCs w:val="24"/>
        </w:rPr>
        <w:t xml:space="preserve"> </w:t>
      </w:r>
      <w:r w:rsidR="00960DD1" w:rsidRPr="00E00F13">
        <w:rPr>
          <w:rFonts w:ascii="Arial" w:hAnsi="Arial" w:cs="Arial"/>
          <w:sz w:val="24"/>
          <w:szCs w:val="24"/>
        </w:rPr>
        <w:t>E</w:t>
      </w:r>
      <w:r w:rsidR="0034438B" w:rsidRPr="00E00F13">
        <w:rPr>
          <w:rFonts w:ascii="Arial" w:hAnsi="Arial" w:cs="Arial"/>
          <w:sz w:val="24"/>
          <w:szCs w:val="24"/>
        </w:rPr>
        <w:t>stas estrategias ha</w:t>
      </w:r>
      <w:r w:rsidR="0023723B" w:rsidRPr="00E00F13">
        <w:rPr>
          <w:rFonts w:ascii="Arial" w:hAnsi="Arial" w:cs="Arial"/>
          <w:sz w:val="24"/>
          <w:szCs w:val="24"/>
        </w:rPr>
        <w:t>n</w:t>
      </w:r>
      <w:r w:rsidR="0034438B" w:rsidRPr="00E00F13">
        <w:rPr>
          <w:rFonts w:ascii="Arial" w:hAnsi="Arial" w:cs="Arial"/>
          <w:sz w:val="24"/>
          <w:szCs w:val="24"/>
        </w:rPr>
        <w:t xml:space="preserve"> permitido que </w:t>
      </w:r>
      <w:r w:rsidR="00124FBB" w:rsidRPr="00E00F13">
        <w:rPr>
          <w:rFonts w:ascii="Arial" w:hAnsi="Arial" w:cs="Arial"/>
          <w:sz w:val="24"/>
          <w:szCs w:val="24"/>
        </w:rPr>
        <w:t xml:space="preserve">el </w:t>
      </w:r>
      <w:r w:rsidR="00FA6736" w:rsidRPr="00E00F13">
        <w:rPr>
          <w:rFonts w:ascii="Arial" w:hAnsi="Arial" w:cs="Arial"/>
          <w:sz w:val="24"/>
          <w:szCs w:val="24"/>
        </w:rPr>
        <w:t>M</w:t>
      </w:r>
      <w:r w:rsidR="00124FBB" w:rsidRPr="00E00F13">
        <w:rPr>
          <w:rFonts w:ascii="Arial" w:hAnsi="Arial" w:cs="Arial"/>
          <w:sz w:val="24"/>
          <w:szCs w:val="24"/>
        </w:rPr>
        <w:t xml:space="preserve">inisterio </w:t>
      </w:r>
      <w:r w:rsidR="0034438B" w:rsidRPr="00E00F13">
        <w:rPr>
          <w:rFonts w:ascii="Arial" w:hAnsi="Arial" w:cs="Arial"/>
          <w:sz w:val="24"/>
          <w:szCs w:val="24"/>
        </w:rPr>
        <w:t>avance</w:t>
      </w:r>
      <w:r w:rsidR="00124FBB" w:rsidRPr="00E00F13">
        <w:rPr>
          <w:rFonts w:ascii="Arial" w:hAnsi="Arial" w:cs="Arial"/>
          <w:sz w:val="24"/>
          <w:szCs w:val="24"/>
        </w:rPr>
        <w:t xml:space="preserve"> con </w:t>
      </w:r>
      <w:r w:rsidR="0034438B" w:rsidRPr="00E00F13">
        <w:rPr>
          <w:rFonts w:ascii="Arial" w:hAnsi="Arial" w:cs="Arial"/>
          <w:sz w:val="24"/>
          <w:szCs w:val="24"/>
        </w:rPr>
        <w:t xml:space="preserve">los </w:t>
      </w:r>
      <w:r w:rsidR="00124FBB" w:rsidRPr="00E00F13">
        <w:rPr>
          <w:rFonts w:ascii="Arial" w:hAnsi="Arial" w:cs="Arial"/>
          <w:sz w:val="24"/>
          <w:szCs w:val="24"/>
        </w:rPr>
        <w:t>subsidios para las víctimas del conflicto armado</w:t>
      </w:r>
      <w:r w:rsidR="004C50BC" w:rsidRPr="00E00F13">
        <w:rPr>
          <w:rFonts w:ascii="Arial" w:hAnsi="Arial" w:cs="Arial"/>
          <w:sz w:val="24"/>
          <w:szCs w:val="24"/>
        </w:rPr>
        <w:t>, demostrando importantes montos en la cantidad de subsidios otorgados en este periodo de gobierno</w:t>
      </w:r>
      <w:r w:rsidR="000657BB" w:rsidRPr="00E00F13">
        <w:rPr>
          <w:rFonts w:ascii="Arial" w:hAnsi="Arial" w:cs="Arial"/>
          <w:sz w:val="24"/>
          <w:szCs w:val="24"/>
        </w:rPr>
        <w:t>,</w:t>
      </w:r>
      <w:r w:rsidR="004C50BC" w:rsidRPr="00E00F13">
        <w:rPr>
          <w:rFonts w:ascii="Arial" w:hAnsi="Arial" w:cs="Arial"/>
          <w:sz w:val="24"/>
          <w:szCs w:val="24"/>
        </w:rPr>
        <w:t xml:space="preserve"> transcurrido entre 2022 y 2025</w:t>
      </w:r>
      <w:r w:rsidRPr="00E00F13">
        <w:rPr>
          <w:rFonts w:ascii="Arial" w:hAnsi="Arial" w:cs="Arial"/>
          <w:sz w:val="24"/>
          <w:szCs w:val="24"/>
        </w:rPr>
        <w:t xml:space="preserve">, </w:t>
      </w:r>
      <w:r w:rsidR="004C50BC" w:rsidRPr="00E00F13">
        <w:rPr>
          <w:rFonts w:ascii="Arial" w:hAnsi="Arial" w:cs="Arial"/>
          <w:sz w:val="24"/>
          <w:szCs w:val="24"/>
        </w:rPr>
        <w:t xml:space="preserve">tanto a población rural como urbana. Los cinco departamentos con mayor apoyo de subsidios son, en este orden, Valle del Cauca, Atlántico, Antioquia, Bolívar y Córdoba, coincidiendo con las zonas de mayor conflictividad armada, tal y como puede notarse en el siguiente gráfico. </w:t>
      </w:r>
    </w:p>
    <w:p w14:paraId="6917C59C" w14:textId="77777777" w:rsidR="00D22BFA" w:rsidRDefault="00D22BFA" w:rsidP="00B650F5">
      <w:pPr>
        <w:jc w:val="both"/>
        <w:rPr>
          <w:rFonts w:ascii="Arial" w:hAnsi="Arial" w:cs="Arial"/>
          <w:b/>
          <w:bCs/>
          <w:sz w:val="24"/>
          <w:szCs w:val="24"/>
        </w:rPr>
      </w:pPr>
    </w:p>
    <w:p w14:paraId="4CEBBDC3" w14:textId="4E2B2ADA" w:rsidR="005D07A0" w:rsidRPr="00E00F13" w:rsidRDefault="005D07A0" w:rsidP="00B650F5">
      <w:pPr>
        <w:jc w:val="both"/>
        <w:rPr>
          <w:rFonts w:ascii="Arial" w:hAnsi="Arial" w:cs="Arial"/>
          <w:b/>
          <w:bCs/>
          <w:sz w:val="24"/>
          <w:szCs w:val="24"/>
        </w:rPr>
      </w:pPr>
      <w:r w:rsidRPr="00E00F13">
        <w:rPr>
          <w:rFonts w:ascii="Arial" w:hAnsi="Arial" w:cs="Arial"/>
          <w:b/>
          <w:bCs/>
          <w:sz w:val="24"/>
          <w:szCs w:val="24"/>
        </w:rPr>
        <w:t>Gráfico. Subsidios otorgados en Colombia entre 2022 y 2025 a víctimas del conflicto armado</w:t>
      </w:r>
    </w:p>
    <w:p w14:paraId="29C77EE1" w14:textId="0504C15F" w:rsidR="005D07A0" w:rsidRPr="00E00F13" w:rsidRDefault="005D07A0" w:rsidP="00B650F5">
      <w:pPr>
        <w:jc w:val="both"/>
        <w:rPr>
          <w:rFonts w:ascii="Arial" w:hAnsi="Arial" w:cs="Arial"/>
          <w:sz w:val="24"/>
          <w:szCs w:val="24"/>
        </w:rPr>
      </w:pPr>
      <w:r w:rsidRPr="00E00F13">
        <w:rPr>
          <w:rFonts w:ascii="Arial" w:hAnsi="Arial" w:cs="Arial"/>
          <w:noProof/>
          <w:sz w:val="24"/>
          <w:szCs w:val="24"/>
        </w:rPr>
        <w:lastRenderedPageBreak/>
        <w:drawing>
          <wp:inline distT="0" distB="0" distL="0" distR="0" wp14:anchorId="2545EC95" wp14:editId="664C8BAB">
            <wp:extent cx="5260525" cy="2977869"/>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77203" cy="2987310"/>
                    </a:xfrm>
                    <a:prstGeom prst="rect">
                      <a:avLst/>
                    </a:prstGeom>
                  </pic:spPr>
                </pic:pic>
              </a:graphicData>
            </a:graphic>
          </wp:inline>
        </w:drawing>
      </w:r>
    </w:p>
    <w:p w14:paraId="227B11C9" w14:textId="707A76B0" w:rsidR="005D07A0" w:rsidRPr="00D22BFA" w:rsidRDefault="005D07A0" w:rsidP="00B650F5">
      <w:pPr>
        <w:jc w:val="both"/>
        <w:rPr>
          <w:rFonts w:ascii="Arial" w:hAnsi="Arial" w:cs="Arial"/>
          <w:sz w:val="20"/>
          <w:szCs w:val="20"/>
        </w:rPr>
      </w:pPr>
      <w:r w:rsidRPr="00D22BFA">
        <w:rPr>
          <w:rFonts w:ascii="Arial" w:hAnsi="Arial" w:cs="Arial"/>
          <w:sz w:val="20"/>
          <w:szCs w:val="20"/>
        </w:rPr>
        <w:t>Fuente:</w:t>
      </w:r>
      <w:r w:rsidR="4AA303F7" w:rsidRPr="00D22BFA">
        <w:rPr>
          <w:rFonts w:ascii="Arial" w:hAnsi="Arial" w:cs="Arial"/>
          <w:sz w:val="20"/>
          <w:szCs w:val="20"/>
        </w:rPr>
        <w:t xml:space="preserve"> MVCT,</w:t>
      </w:r>
      <w:r w:rsidRPr="00D22BFA">
        <w:rPr>
          <w:rFonts w:ascii="Arial" w:hAnsi="Arial" w:cs="Arial"/>
          <w:sz w:val="20"/>
          <w:szCs w:val="20"/>
        </w:rPr>
        <w:t xml:space="preserve"> 2025.</w:t>
      </w:r>
    </w:p>
    <w:p w14:paraId="23D1BA90" w14:textId="3FEEFBBB" w:rsidR="002E4A22" w:rsidRPr="00E00F13" w:rsidRDefault="002E4A22" w:rsidP="00B650F5">
      <w:pPr>
        <w:jc w:val="both"/>
        <w:rPr>
          <w:rFonts w:ascii="Arial" w:hAnsi="Arial" w:cs="Arial"/>
          <w:sz w:val="20"/>
          <w:szCs w:val="20"/>
        </w:rPr>
      </w:pPr>
    </w:p>
    <w:p w14:paraId="4E3C1178" w14:textId="6ECE7547" w:rsidR="002E4A22" w:rsidRPr="00E00F13" w:rsidRDefault="002E4A22" w:rsidP="00F338F1">
      <w:pPr>
        <w:spacing w:after="0" w:line="360" w:lineRule="auto"/>
        <w:jc w:val="both"/>
        <w:rPr>
          <w:rFonts w:ascii="Arial" w:hAnsi="Arial" w:cs="Arial"/>
          <w:sz w:val="24"/>
          <w:szCs w:val="24"/>
        </w:rPr>
      </w:pPr>
      <w:r w:rsidRPr="00E00F13">
        <w:rPr>
          <w:rFonts w:ascii="Arial" w:hAnsi="Arial" w:cs="Arial"/>
          <w:sz w:val="24"/>
          <w:szCs w:val="24"/>
        </w:rPr>
        <w:t xml:space="preserve">El interés del Ministerio ha sido la atención a las víctimas del conflicto armado a partir de estas estrategias y acciones, cuyo resultado </w:t>
      </w:r>
      <w:r w:rsidR="0021579B" w:rsidRPr="00E00F13">
        <w:rPr>
          <w:rFonts w:ascii="Arial" w:hAnsi="Arial" w:cs="Arial"/>
          <w:sz w:val="24"/>
          <w:szCs w:val="24"/>
        </w:rPr>
        <w:t xml:space="preserve">indirecto se ha visto reflejado en la contención de las conflictividades sociales que en el contexto de los requerimientos al </w:t>
      </w:r>
      <w:r w:rsidR="006E5AC0" w:rsidRPr="00E00F13">
        <w:rPr>
          <w:rFonts w:ascii="Arial" w:hAnsi="Arial" w:cs="Arial"/>
          <w:sz w:val="24"/>
          <w:szCs w:val="24"/>
        </w:rPr>
        <w:t>M</w:t>
      </w:r>
      <w:r w:rsidR="0021579B" w:rsidRPr="00E00F13">
        <w:rPr>
          <w:rFonts w:ascii="Arial" w:hAnsi="Arial" w:cs="Arial"/>
          <w:sz w:val="24"/>
          <w:szCs w:val="24"/>
        </w:rPr>
        <w:t>inisterio a veces ocurren.</w:t>
      </w:r>
      <w:r w:rsidRPr="00E00F13">
        <w:rPr>
          <w:rFonts w:ascii="Arial" w:hAnsi="Arial" w:cs="Arial"/>
          <w:sz w:val="24"/>
          <w:szCs w:val="24"/>
        </w:rPr>
        <w:t xml:space="preserve"> </w:t>
      </w:r>
    </w:p>
    <w:p w14:paraId="6AC7939E" w14:textId="77777777" w:rsidR="00894C6A" w:rsidRPr="00E00F13" w:rsidRDefault="00894C6A" w:rsidP="00B650F5">
      <w:pPr>
        <w:jc w:val="both"/>
        <w:rPr>
          <w:rFonts w:ascii="Arial" w:hAnsi="Arial" w:cs="Arial"/>
          <w:b/>
          <w:bCs/>
          <w:i/>
          <w:iCs/>
          <w:sz w:val="24"/>
          <w:szCs w:val="24"/>
        </w:rPr>
      </w:pPr>
    </w:p>
    <w:p w14:paraId="107BC3E9" w14:textId="172EE85C" w:rsidR="00894C6A" w:rsidRPr="00E00F13" w:rsidRDefault="00CD492D" w:rsidP="00B9301C">
      <w:pPr>
        <w:pStyle w:val="Ttulo3"/>
        <w:rPr>
          <w:color w:val="auto"/>
        </w:rPr>
      </w:pPr>
      <w:r w:rsidRPr="00E00F13">
        <w:rPr>
          <w:color w:val="auto"/>
        </w:rPr>
        <w:tab/>
      </w:r>
      <w:bookmarkStart w:id="148" w:name="_Toc234242871"/>
      <w:r w:rsidR="00894C6A" w:rsidRPr="00E00F13">
        <w:rPr>
          <w:color w:val="auto"/>
        </w:rPr>
        <w:t>Retos</w:t>
      </w:r>
      <w:bookmarkEnd w:id="148"/>
    </w:p>
    <w:p w14:paraId="44CADFAF" w14:textId="637115B3" w:rsidR="00037A38" w:rsidRPr="00E00F13" w:rsidRDefault="00037A38" w:rsidP="00F338F1">
      <w:pPr>
        <w:spacing w:after="0" w:line="360" w:lineRule="auto"/>
        <w:jc w:val="both"/>
        <w:rPr>
          <w:rFonts w:ascii="Arial" w:hAnsi="Arial" w:cs="Arial"/>
          <w:sz w:val="24"/>
          <w:szCs w:val="24"/>
        </w:rPr>
      </w:pPr>
      <w:r w:rsidRPr="00E00F13">
        <w:rPr>
          <w:rFonts w:ascii="Arial" w:hAnsi="Arial" w:cs="Arial"/>
          <w:sz w:val="24"/>
          <w:szCs w:val="24"/>
        </w:rPr>
        <w:t xml:space="preserve">Se han podido determinar </w:t>
      </w:r>
      <w:r w:rsidR="000D0A96" w:rsidRPr="00E00F13">
        <w:rPr>
          <w:rFonts w:ascii="Arial" w:hAnsi="Arial" w:cs="Arial"/>
          <w:sz w:val="24"/>
          <w:szCs w:val="24"/>
        </w:rPr>
        <w:t>varios</w:t>
      </w:r>
      <w:r w:rsidRPr="00E00F13">
        <w:rPr>
          <w:rFonts w:ascii="Arial" w:hAnsi="Arial" w:cs="Arial"/>
          <w:sz w:val="24"/>
          <w:szCs w:val="24"/>
        </w:rPr>
        <w:t xml:space="preserve"> retos sobre el trabajo que se realiza con la población víctima.</w:t>
      </w:r>
    </w:p>
    <w:p w14:paraId="7FF3D726" w14:textId="77777777" w:rsidR="00F338F1" w:rsidRPr="00E00F13" w:rsidRDefault="00F338F1" w:rsidP="00F338F1">
      <w:pPr>
        <w:spacing w:after="0" w:line="360" w:lineRule="auto"/>
        <w:jc w:val="both"/>
        <w:rPr>
          <w:rFonts w:ascii="Arial" w:hAnsi="Arial" w:cs="Arial"/>
          <w:sz w:val="24"/>
          <w:szCs w:val="24"/>
        </w:rPr>
      </w:pPr>
    </w:p>
    <w:p w14:paraId="5CF65F6C" w14:textId="73DE79D4" w:rsidR="00A540BA" w:rsidRPr="00E00F13" w:rsidRDefault="00037A38" w:rsidP="003F26BE">
      <w:pPr>
        <w:spacing w:after="0" w:line="360" w:lineRule="auto"/>
        <w:jc w:val="both"/>
        <w:rPr>
          <w:rFonts w:ascii="Arial" w:hAnsi="Arial" w:cs="Arial"/>
          <w:sz w:val="24"/>
          <w:szCs w:val="24"/>
        </w:rPr>
      </w:pPr>
      <w:r w:rsidRPr="00E00F13">
        <w:rPr>
          <w:rFonts w:ascii="Arial" w:hAnsi="Arial" w:cs="Arial"/>
          <w:sz w:val="24"/>
          <w:szCs w:val="24"/>
        </w:rPr>
        <w:t xml:space="preserve">Por un lado, la necesidad de contar con una política diseñada exclusivamente para las víctimas, que determine recursos y direccionamiento. Pero, también, los retos se focalizan en establecer líneas de trabajo que mejoren la articulación con los entes territoriales y con las instituciones de orden nacional. La articulación con los entes territoriales –alcaldías y gobernaciones– es un reto que no es menor, teniendo en cuenta que el tema de víctimas es un asunto de carácter estratégico para el país y que se vincula con la paz territorial. La articulación da cuenta de un trabajo conjunto, en el que los entes asumen parte de los recursos y el nivel nacional otro tanto. La articulación con las instituciones del orden nacional pasa por coordinar con otros </w:t>
      </w:r>
      <w:r w:rsidRPr="00E00F13">
        <w:rPr>
          <w:rFonts w:ascii="Arial" w:hAnsi="Arial" w:cs="Arial"/>
          <w:sz w:val="24"/>
          <w:szCs w:val="24"/>
        </w:rPr>
        <w:lastRenderedPageBreak/>
        <w:t xml:space="preserve">ministerios las acciones necesarias para que las viviendas y el acueducto sean posibles; por ejemplo, con el Ministerio de Agricultura y Desarrollo Rural </w:t>
      </w:r>
      <w:r w:rsidR="00B153D6" w:rsidRPr="00E00F13">
        <w:rPr>
          <w:rFonts w:ascii="Arial" w:hAnsi="Arial" w:cs="Arial"/>
          <w:sz w:val="24"/>
          <w:szCs w:val="24"/>
        </w:rPr>
        <w:t>para articularse en</w:t>
      </w:r>
      <w:r w:rsidRPr="00E00F13">
        <w:rPr>
          <w:rFonts w:ascii="Arial" w:hAnsi="Arial" w:cs="Arial"/>
          <w:sz w:val="24"/>
          <w:szCs w:val="24"/>
        </w:rPr>
        <w:t xml:space="preserve"> cuanto a las tierras disponibles y habilitadas para la construcción, </w:t>
      </w:r>
      <w:r w:rsidR="00B04750" w:rsidRPr="00E00F13">
        <w:rPr>
          <w:rFonts w:ascii="Arial" w:hAnsi="Arial" w:cs="Arial"/>
          <w:sz w:val="24"/>
          <w:szCs w:val="24"/>
        </w:rPr>
        <w:t xml:space="preserve">o con la Unidad de Restitución de Tierras. </w:t>
      </w:r>
    </w:p>
    <w:p w14:paraId="4571E990" w14:textId="77777777" w:rsidR="0056248B" w:rsidRPr="00E00F13" w:rsidRDefault="0056248B" w:rsidP="003F26BE">
      <w:pPr>
        <w:spacing w:after="0" w:line="360" w:lineRule="auto"/>
        <w:jc w:val="both"/>
        <w:rPr>
          <w:rFonts w:ascii="Arial" w:hAnsi="Arial" w:cs="Arial"/>
          <w:sz w:val="24"/>
          <w:szCs w:val="24"/>
        </w:rPr>
      </w:pPr>
    </w:p>
    <w:p w14:paraId="0943372E" w14:textId="4BF4BF3A" w:rsidR="0092665C" w:rsidRPr="00E00F13" w:rsidRDefault="00B9301C" w:rsidP="1D068790">
      <w:pPr>
        <w:pStyle w:val="Ttulo3"/>
        <w:rPr>
          <w:rFonts w:ascii="Arial" w:hAnsi="Arial" w:cs="Arial"/>
          <w:color w:val="auto"/>
        </w:rPr>
      </w:pPr>
      <w:bookmarkStart w:id="149" w:name="_Toc234242872"/>
      <w:r w:rsidRPr="00E00F13">
        <w:rPr>
          <w:color w:val="auto"/>
        </w:rPr>
        <w:t>2.</w:t>
      </w:r>
      <w:r w:rsidR="003A01CD" w:rsidRPr="00E00F13">
        <w:rPr>
          <w:color w:val="auto"/>
        </w:rPr>
        <w:t>8</w:t>
      </w:r>
      <w:r w:rsidRPr="00E00F13">
        <w:rPr>
          <w:color w:val="auto"/>
        </w:rPr>
        <w:t>.</w:t>
      </w:r>
      <w:r w:rsidR="00902401" w:rsidRPr="00E00F13">
        <w:rPr>
          <w:color w:val="auto"/>
        </w:rPr>
        <w:t>9</w:t>
      </w:r>
      <w:r w:rsidRPr="00E00F13">
        <w:rPr>
          <w:color w:val="auto"/>
        </w:rPr>
        <w:t xml:space="preserve">. </w:t>
      </w:r>
      <w:r w:rsidR="007D75D5" w:rsidRPr="00E00F13">
        <w:rPr>
          <w:color w:val="auto"/>
        </w:rPr>
        <w:t>El enfoque ambiental</w:t>
      </w:r>
      <w:bookmarkEnd w:id="149"/>
    </w:p>
    <w:p w14:paraId="6E2F30B3" w14:textId="7D94DA79" w:rsidR="0092665C" w:rsidRPr="00E00F13" w:rsidRDefault="00CD492D" w:rsidP="0092665C">
      <w:pPr>
        <w:pStyle w:val="Ttulo3"/>
        <w:rPr>
          <w:rFonts w:eastAsia="Times New Roman"/>
          <w:color w:val="auto"/>
          <w:lang w:val="es-ES" w:eastAsia="es-ES_tradnl"/>
        </w:rPr>
      </w:pPr>
      <w:r w:rsidRPr="00E00F13">
        <w:rPr>
          <w:rFonts w:eastAsia="Times New Roman"/>
          <w:color w:val="auto"/>
          <w:lang w:val="es-ES" w:eastAsia="es-ES_tradnl"/>
        </w:rPr>
        <w:tab/>
      </w:r>
      <w:bookmarkStart w:id="150" w:name="_Toc234242873"/>
      <w:r w:rsidR="0092665C" w:rsidRPr="00E00F13">
        <w:rPr>
          <w:rFonts w:eastAsia="Times New Roman"/>
          <w:color w:val="auto"/>
          <w:lang w:val="es-ES" w:eastAsia="es-ES_tradnl"/>
        </w:rPr>
        <w:t>En qué consiste el enfoque ambiental del MVCT</w:t>
      </w:r>
      <w:bookmarkEnd w:id="150"/>
    </w:p>
    <w:p w14:paraId="389101E9" w14:textId="137A4E7A" w:rsidR="0092665C" w:rsidRPr="00E00F13" w:rsidRDefault="0092665C" w:rsidP="00937CDB">
      <w:p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 xml:space="preserve">El enfoque ambiental adoptado por el Ministerio es una estrategia holística y multidimensional que busca integrar la protección ambiental, la sostenibilidad en el desarrollo territorial y la justicia social en la planificación. Se fundamenta principalmente en cuatro elementos: el ordenamiento territorial alrededor del agua, estrechamente relacionado con la gestión integral del hábitat, la gestión del cambio climático y la construcción sostenible, y la economía circular y la gestión integral de recursos. </w:t>
      </w:r>
    </w:p>
    <w:p w14:paraId="56216188" w14:textId="77777777" w:rsidR="00937CDB" w:rsidRPr="00E00F13" w:rsidRDefault="00937CDB" w:rsidP="00937CDB">
      <w:pPr>
        <w:spacing w:after="0" w:line="360" w:lineRule="auto"/>
        <w:jc w:val="both"/>
        <w:rPr>
          <w:rFonts w:ascii="Arial" w:eastAsia="Times New Roman" w:hAnsi="Arial" w:cs="Arial"/>
          <w:sz w:val="24"/>
          <w:szCs w:val="24"/>
          <w:lang w:val="es-ES" w:eastAsia="es-ES_tradnl"/>
        </w:rPr>
      </w:pPr>
    </w:p>
    <w:p w14:paraId="2E032455" w14:textId="504C3EE5" w:rsidR="0092665C" w:rsidRPr="00E00F13" w:rsidRDefault="0092665C" w:rsidP="00937CDB">
      <w:p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El enfoque ambiental del MVCT es integral y multisectorial, pues no se trata de un enfoque sectorial aislado, sino de una política pública orientada por la sostenibilidad, la resiliencia y la justicia ambiental, que reconoce las condiciones climáticas, culturales y socioeconómicas de cada territorio.</w:t>
      </w:r>
    </w:p>
    <w:p w14:paraId="1815B2D5" w14:textId="77777777" w:rsidR="00937CDB" w:rsidRPr="00E00F13" w:rsidRDefault="00937CDB" w:rsidP="00937CDB">
      <w:pPr>
        <w:spacing w:after="0" w:line="360" w:lineRule="auto"/>
        <w:jc w:val="both"/>
        <w:rPr>
          <w:rFonts w:ascii="Arial" w:eastAsia="Times New Roman" w:hAnsi="Arial" w:cs="Arial"/>
          <w:sz w:val="24"/>
          <w:szCs w:val="24"/>
          <w:lang w:val="es-ES" w:eastAsia="es-ES_tradnl"/>
        </w:rPr>
      </w:pPr>
    </w:p>
    <w:p w14:paraId="2BA02F99" w14:textId="77777777" w:rsidR="00C56DE2" w:rsidRPr="00E00F13" w:rsidRDefault="0092665C" w:rsidP="00937CDB">
      <w:p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En conjunto, el enfoque del Ministerio busca superar la visión tradicional del déficit habitacional o de la habilitación de suelo para la construcción de vivienda nueva, para avanzar hacia ciudades y territorios más humanos, resilientes, bajos en carbono y con justicia espacial, reduciendo brechas mediante intervenciones pertinentes y territorialmente contextualizadas.</w:t>
      </w:r>
    </w:p>
    <w:p w14:paraId="14EDAABB" w14:textId="528E57FB" w:rsidR="0092665C" w:rsidRPr="00E00F13" w:rsidRDefault="00CD492D" w:rsidP="00C56DE2">
      <w:pPr>
        <w:pStyle w:val="Ttulo3"/>
        <w:rPr>
          <w:rFonts w:eastAsia="Times New Roman"/>
          <w:color w:val="auto"/>
          <w:lang w:val="es-ES" w:eastAsia="es-ES_tradnl"/>
        </w:rPr>
      </w:pPr>
      <w:r w:rsidRPr="00E00F13">
        <w:rPr>
          <w:rFonts w:eastAsia="Times New Roman"/>
          <w:color w:val="auto"/>
          <w:lang w:val="es-ES" w:eastAsia="es-ES_tradnl"/>
        </w:rPr>
        <w:tab/>
      </w:r>
      <w:bookmarkStart w:id="151" w:name="_Toc234242874"/>
      <w:r w:rsidR="0092665C" w:rsidRPr="00E00F13">
        <w:rPr>
          <w:rFonts w:eastAsia="Times New Roman"/>
          <w:color w:val="auto"/>
          <w:lang w:val="es-ES" w:eastAsia="es-ES_tradnl"/>
        </w:rPr>
        <w:t>El ordenamiento territorial alrededor del agua y la gestión integral del hábitat</w:t>
      </w:r>
      <w:bookmarkEnd w:id="151"/>
    </w:p>
    <w:p w14:paraId="243BED34" w14:textId="77777777" w:rsidR="002742CE" w:rsidRPr="00E00F13" w:rsidRDefault="0092665C" w:rsidP="00937CDB">
      <w:p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 xml:space="preserve">El ordenamiento territorial alrededor del agua (OTAA) es uno de los ejes de transformación clave del Plan Nacional de Desarrollo 2022-2026 y es el punto de partida para repensar la transformación y ocupación del territorio. </w:t>
      </w:r>
      <w:r w:rsidR="00D96E9A" w:rsidRPr="00E00F13">
        <w:rPr>
          <w:rFonts w:ascii="Arial" w:eastAsia="Times New Roman" w:hAnsi="Arial" w:cs="Arial"/>
          <w:sz w:val="24"/>
          <w:szCs w:val="24"/>
          <w:lang w:val="es-ES" w:eastAsia="es-ES_tradnl"/>
        </w:rPr>
        <w:t>Se propone considerar</w:t>
      </w:r>
      <w:r w:rsidRPr="00E00F13">
        <w:rPr>
          <w:rFonts w:ascii="Arial" w:eastAsia="Times New Roman" w:hAnsi="Arial" w:cs="Arial"/>
          <w:sz w:val="24"/>
          <w:szCs w:val="24"/>
          <w:lang w:val="es-ES" w:eastAsia="es-ES_tradnl"/>
        </w:rPr>
        <w:t xml:space="preserve"> el agua como base para replantear las dinámicas urbanas, las transiciones energéticas y los sistemas de producción, debido a que la planificación territorial actual está generando procesos ambientalmente insostenibles. Para esto, </w:t>
      </w:r>
      <w:r w:rsidRPr="00E00F13">
        <w:rPr>
          <w:rFonts w:ascii="Arial" w:eastAsia="Times New Roman" w:hAnsi="Arial" w:cs="Arial"/>
          <w:sz w:val="24"/>
          <w:szCs w:val="24"/>
          <w:lang w:val="es-ES" w:eastAsia="es-ES_tradnl"/>
        </w:rPr>
        <w:lastRenderedPageBreak/>
        <w:t>las acciones se orientan a cumplir con cuatro dimensiones de la política de gestión integral del recurso hídrico, conforme al PND:</w:t>
      </w:r>
    </w:p>
    <w:p w14:paraId="006F0104" w14:textId="2540D5ED" w:rsidR="002742CE" w:rsidRPr="00E00F13" w:rsidRDefault="0092665C" w:rsidP="005E33C6">
      <w:pPr>
        <w:numPr>
          <w:ilvl w:val="0"/>
          <w:numId w:val="26"/>
        </w:num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 xml:space="preserve">Oferta: protección de ecosistemas clave (páramos, humedales, cuencas). </w:t>
      </w:r>
    </w:p>
    <w:p w14:paraId="6F3B0346" w14:textId="2A91251B" w:rsidR="002742CE" w:rsidRPr="00E00F13" w:rsidRDefault="0092665C" w:rsidP="005E33C6">
      <w:pPr>
        <w:numPr>
          <w:ilvl w:val="0"/>
          <w:numId w:val="26"/>
        </w:num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 xml:space="preserve">Demanda: articulación de políticas de asentamientos con la productividad, evitando la expansión indiscriminada. </w:t>
      </w:r>
    </w:p>
    <w:p w14:paraId="10BF9416" w14:textId="2C1B633A" w:rsidR="002742CE" w:rsidRPr="00E00F13" w:rsidRDefault="0092665C" w:rsidP="005E33C6">
      <w:pPr>
        <w:numPr>
          <w:ilvl w:val="0"/>
          <w:numId w:val="26"/>
        </w:num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 xml:space="preserve">Disponibilidad: reducción del estrés hídrico y de desabastecimiento por variabilidad climática. </w:t>
      </w:r>
    </w:p>
    <w:p w14:paraId="7CBB80F3" w14:textId="52BEB4D4" w:rsidR="0092665C" w:rsidRPr="00E00F13" w:rsidRDefault="0092665C" w:rsidP="005E33C6">
      <w:pPr>
        <w:numPr>
          <w:ilvl w:val="0"/>
          <w:numId w:val="26"/>
        </w:num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Gobernanza: implementación de determinantes del ordenamiento territorial y coordinación institucional</w:t>
      </w:r>
      <w:r w:rsidR="00D96E9A" w:rsidRPr="00E00F13">
        <w:rPr>
          <w:rFonts w:ascii="Arial" w:eastAsia="Times New Roman" w:hAnsi="Arial" w:cs="Arial"/>
          <w:sz w:val="24"/>
          <w:szCs w:val="24"/>
          <w:lang w:val="es-ES" w:eastAsia="es-ES_tradnl"/>
        </w:rPr>
        <w:t>.</w:t>
      </w:r>
    </w:p>
    <w:p w14:paraId="3BCBC176" w14:textId="77777777" w:rsidR="00D96E9A" w:rsidRPr="00E00F13" w:rsidRDefault="00D96E9A" w:rsidP="00937CDB">
      <w:pPr>
        <w:spacing w:after="0" w:line="360" w:lineRule="auto"/>
        <w:jc w:val="both"/>
        <w:rPr>
          <w:rFonts w:ascii="Arial" w:eastAsia="Times New Roman" w:hAnsi="Arial" w:cs="Arial"/>
          <w:sz w:val="24"/>
          <w:szCs w:val="24"/>
          <w:lang w:val="es-ES" w:eastAsia="es-ES_tradnl"/>
        </w:rPr>
      </w:pPr>
    </w:p>
    <w:p w14:paraId="2DD55BD0" w14:textId="5004D866" w:rsidR="00D96E9A" w:rsidRPr="00E00F13" w:rsidRDefault="0092665C" w:rsidP="00D96E9A">
      <w:p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En ese sentido el OTAA debe ser un proceso clave para promover la distribución equitativa de los beneficios de la conservación del agua y reducir las desigualdades causadas por la contaminación.</w:t>
      </w:r>
      <w:r w:rsidRPr="00E00F13">
        <w:rPr>
          <w:rFonts w:ascii="Arial" w:eastAsia="Times New Roman" w:hAnsi="Arial" w:cs="Arial"/>
          <w:sz w:val="24"/>
          <w:szCs w:val="24"/>
          <w:vertAlign w:val="superscript"/>
          <w:lang w:val="es-ES" w:eastAsia="es-ES_tradnl"/>
        </w:rPr>
        <w:footnoteReference w:id="4"/>
      </w:r>
      <w:r w:rsidRPr="00E00F13">
        <w:rPr>
          <w:rFonts w:ascii="Arial" w:eastAsia="Times New Roman" w:hAnsi="Arial" w:cs="Arial"/>
          <w:sz w:val="24"/>
          <w:szCs w:val="24"/>
          <w:lang w:val="es-ES" w:eastAsia="es-ES_tradnl"/>
        </w:rPr>
        <w:t xml:space="preserve"> </w:t>
      </w:r>
      <w:r w:rsidR="00D96E9A" w:rsidRPr="00E00F13">
        <w:rPr>
          <w:rFonts w:ascii="Arial" w:eastAsia="Times New Roman" w:hAnsi="Arial" w:cs="Arial"/>
          <w:sz w:val="24"/>
          <w:szCs w:val="24"/>
          <w:lang w:val="es-ES" w:eastAsia="es-ES_tradnl"/>
        </w:rPr>
        <w:t>E</w:t>
      </w:r>
      <w:r w:rsidRPr="00E00F13">
        <w:rPr>
          <w:rFonts w:ascii="Arial" w:eastAsia="Times New Roman" w:hAnsi="Arial" w:cs="Arial"/>
          <w:sz w:val="24"/>
          <w:szCs w:val="24"/>
          <w:lang w:val="es-ES" w:eastAsia="es-ES_tradnl"/>
        </w:rPr>
        <w:t>l agua, la biodiversidad y las comunidades son el eje estructurante del desarrollo territorial, superando la dicotomía entre lo urbano y lo rural, buscando una relación cercana con el territorio marino-costero y la garantía del acceso universal al agua y al saneamiento como derecho humano; de ahí la importancia de la Gestión Integral del Hábitat. Con base en esto se prioriza la conservación de ecosistemas y la biodiversidad en su conjunto, reconociendo que los recursos naturales son fundamentales para el desarrollo territorial sostenible. Para esto se definió un régimen de prevalencia para las determinantes ambientales en el nivel uno del ordenamiento territorial, por encima de las demás determinantes, las cuales cumplen una triple función:</w:t>
      </w:r>
    </w:p>
    <w:p w14:paraId="6716FEA4" w14:textId="77777777" w:rsidR="00D96E9A" w:rsidRPr="00E00F13" w:rsidRDefault="0092665C" w:rsidP="005E33C6">
      <w:pPr>
        <w:numPr>
          <w:ilvl w:val="0"/>
          <w:numId w:val="25"/>
        </w:num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 xml:space="preserve">orientan los modelos de ocupación del territorio, permitiendo el ordenamiento en torno al agua y la protección de la biodiversidad, </w:t>
      </w:r>
    </w:p>
    <w:p w14:paraId="4710EE56" w14:textId="77777777" w:rsidR="00D96E9A" w:rsidRPr="00E00F13" w:rsidRDefault="0092665C" w:rsidP="005E33C6">
      <w:pPr>
        <w:numPr>
          <w:ilvl w:val="0"/>
          <w:numId w:val="25"/>
        </w:num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 xml:space="preserve">protegen el suelo rural para garantizar la soberanía alimentaria, y </w:t>
      </w:r>
    </w:p>
    <w:p w14:paraId="48298FBA" w14:textId="77A9C5A9" w:rsidR="0092665C" w:rsidRPr="00E00F13" w:rsidRDefault="0092665C" w:rsidP="005E33C6">
      <w:pPr>
        <w:numPr>
          <w:ilvl w:val="0"/>
          <w:numId w:val="25"/>
        </w:num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 xml:space="preserve">profundizan en la importancia de la gestión integral del riesgo, incluyendo la gestión del agua para evitar y disminuir escenarios de escasez y desabastecimiento. </w:t>
      </w:r>
    </w:p>
    <w:p w14:paraId="3B2B9675" w14:textId="77777777" w:rsidR="006E1270" w:rsidRPr="00E00F13" w:rsidRDefault="006E1270" w:rsidP="002560B0">
      <w:pPr>
        <w:spacing w:after="0" w:line="360" w:lineRule="auto"/>
        <w:jc w:val="both"/>
        <w:rPr>
          <w:rFonts w:ascii="Arial" w:eastAsia="Times New Roman" w:hAnsi="Arial" w:cs="Arial"/>
          <w:sz w:val="24"/>
          <w:szCs w:val="24"/>
          <w:lang w:val="es-ES" w:eastAsia="es-ES_tradnl"/>
        </w:rPr>
      </w:pPr>
    </w:p>
    <w:p w14:paraId="7D7BA849" w14:textId="44B7A41A" w:rsidR="0092665C" w:rsidRPr="00E00F13" w:rsidRDefault="0092665C" w:rsidP="002560B0">
      <w:p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lastRenderedPageBreak/>
        <w:t xml:space="preserve">La Gestión Integral del Hábitat (GIH) y el OTAA son elementos bajo los cuales se busca la intervención y revitalización integral de los asentamientos humanos, incluidos aquellos de origen informal, mediante estrategias multidimensionales que incluyen el componente ambiental, para reducir la pobreza y la segregación socioespacial. </w:t>
      </w:r>
    </w:p>
    <w:p w14:paraId="087EDE5C" w14:textId="77777777" w:rsidR="006E1270" w:rsidRPr="00E00F13" w:rsidRDefault="006E1270" w:rsidP="002560B0">
      <w:pPr>
        <w:spacing w:after="0" w:line="360" w:lineRule="auto"/>
        <w:jc w:val="both"/>
        <w:rPr>
          <w:rFonts w:ascii="Arial" w:eastAsia="Times New Roman" w:hAnsi="Arial" w:cs="Arial"/>
          <w:sz w:val="24"/>
          <w:szCs w:val="24"/>
          <w:lang w:val="es-ES" w:eastAsia="es-ES_tradnl"/>
        </w:rPr>
      </w:pPr>
    </w:p>
    <w:p w14:paraId="20CF7727" w14:textId="77777777" w:rsidR="006E1270" w:rsidRPr="00E00F13" w:rsidRDefault="0092665C" w:rsidP="002560B0">
      <w:p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 xml:space="preserve">La GIH se estructura a través de los Planes de Gestión Integral del Hábitat (PGIH), los cuales deben diseñarse y ejecutarse con participación comunitaria y bajo criterios de adecuación cultural, sostenibilidad económica y ambiental, adaptación al cambio climático y equidad, de manera que se plantean como instrumentos transversales que superan la planificación sectorial, que se viene adelantando con los planes de manejo de áreas protegidas </w:t>
      </w:r>
      <w:r w:rsidR="006E1270" w:rsidRPr="00E00F13">
        <w:rPr>
          <w:rFonts w:ascii="Arial" w:eastAsia="Times New Roman" w:hAnsi="Arial" w:cs="Arial"/>
          <w:sz w:val="24"/>
          <w:szCs w:val="24"/>
          <w:lang w:val="es-ES" w:eastAsia="es-ES_tradnl"/>
        </w:rPr>
        <w:t>(</w:t>
      </w:r>
      <w:r w:rsidRPr="00E00F13">
        <w:rPr>
          <w:rFonts w:ascii="Arial" w:eastAsia="Times New Roman" w:hAnsi="Arial" w:cs="Arial"/>
          <w:sz w:val="24"/>
          <w:szCs w:val="24"/>
          <w:lang w:val="es-ES" w:eastAsia="es-ES_tradnl"/>
        </w:rPr>
        <w:t>y otros instrumentos del sector ambiente</w:t>
      </w:r>
      <w:r w:rsidR="006E1270" w:rsidRPr="00E00F13">
        <w:rPr>
          <w:rFonts w:ascii="Arial" w:eastAsia="Times New Roman" w:hAnsi="Arial" w:cs="Arial"/>
          <w:sz w:val="24"/>
          <w:szCs w:val="24"/>
          <w:lang w:val="es-ES" w:eastAsia="es-ES_tradnl"/>
        </w:rPr>
        <w:t>)</w:t>
      </w:r>
      <w:r w:rsidRPr="00E00F13">
        <w:rPr>
          <w:rFonts w:ascii="Arial" w:eastAsia="Times New Roman" w:hAnsi="Arial" w:cs="Arial"/>
          <w:sz w:val="24"/>
          <w:szCs w:val="24"/>
          <w:lang w:val="es-ES" w:eastAsia="es-ES_tradnl"/>
        </w:rPr>
        <w:t xml:space="preserve"> y los planes de ordenamiento territorial, de manera que se vea el territorio como un todo que requiere una gestión integral.</w:t>
      </w:r>
    </w:p>
    <w:p w14:paraId="0BF3F0EF" w14:textId="0CB542C7" w:rsidR="0092665C" w:rsidRPr="00E00F13" w:rsidRDefault="0092665C" w:rsidP="002560B0">
      <w:p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 xml:space="preserve"> </w:t>
      </w:r>
    </w:p>
    <w:p w14:paraId="50C23635" w14:textId="6AB34586" w:rsidR="00C56DE2" w:rsidRPr="00E00F13" w:rsidRDefault="0092665C" w:rsidP="002560B0">
      <w:p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Desde la Gestión Integral del Hábitat se impulsa la gestión comunitaria del hábitat y la reducción de impactos ambientales</w:t>
      </w:r>
      <w:r w:rsidR="006E1270" w:rsidRPr="00E00F13">
        <w:rPr>
          <w:rFonts w:ascii="Arial" w:eastAsia="Times New Roman" w:hAnsi="Arial" w:cs="Arial"/>
          <w:sz w:val="24"/>
          <w:szCs w:val="24"/>
          <w:lang w:val="es-ES" w:eastAsia="es-ES_tradnl"/>
        </w:rPr>
        <w:t>, a través de</w:t>
      </w:r>
      <w:r w:rsidRPr="00E00F13">
        <w:rPr>
          <w:rFonts w:ascii="Arial" w:eastAsia="Times New Roman" w:hAnsi="Arial" w:cs="Arial"/>
          <w:sz w:val="24"/>
          <w:szCs w:val="24"/>
          <w:lang w:val="es-ES" w:eastAsia="es-ES_tradnl"/>
        </w:rPr>
        <w:t xml:space="preserve"> soluciones adaptadas y diferenciadas</w:t>
      </w:r>
      <w:r w:rsidR="00E87EC1" w:rsidRPr="00E00F13">
        <w:rPr>
          <w:rFonts w:ascii="Arial" w:eastAsia="Times New Roman" w:hAnsi="Arial" w:cs="Arial"/>
          <w:sz w:val="24"/>
          <w:szCs w:val="24"/>
          <w:lang w:val="es-ES" w:eastAsia="es-ES_tradnl"/>
        </w:rPr>
        <w:t xml:space="preserve"> (MVCT. Decreto 1470 de 2024).</w:t>
      </w:r>
      <w:r w:rsidRPr="00E00F13">
        <w:rPr>
          <w:rFonts w:ascii="Arial" w:eastAsia="Times New Roman" w:hAnsi="Arial" w:cs="Arial"/>
          <w:sz w:val="24"/>
          <w:szCs w:val="24"/>
          <w:vertAlign w:val="superscript"/>
          <w:lang w:val="es-ES" w:eastAsia="es-ES_tradnl"/>
        </w:rPr>
        <w:footnoteReference w:id="5"/>
      </w:r>
      <w:r w:rsidR="006E1270" w:rsidRPr="00E00F13">
        <w:rPr>
          <w:rFonts w:ascii="Arial" w:eastAsia="Times New Roman" w:hAnsi="Arial" w:cs="Arial"/>
          <w:sz w:val="24"/>
          <w:szCs w:val="24"/>
          <w:lang w:val="es-ES" w:eastAsia="es-ES_tradnl"/>
        </w:rPr>
        <w:t xml:space="preserve"> </w:t>
      </w:r>
    </w:p>
    <w:p w14:paraId="71DBB455" w14:textId="77777777" w:rsidR="00C56DE2" w:rsidRPr="00E00F13" w:rsidRDefault="00C56DE2" w:rsidP="002560B0">
      <w:pPr>
        <w:spacing w:after="0" w:line="360" w:lineRule="auto"/>
        <w:jc w:val="both"/>
        <w:rPr>
          <w:rFonts w:ascii="Arial" w:eastAsia="Times New Roman" w:hAnsi="Arial" w:cs="Arial"/>
          <w:sz w:val="24"/>
          <w:szCs w:val="24"/>
          <w:lang w:val="es-ES" w:eastAsia="es-ES_tradnl"/>
        </w:rPr>
      </w:pPr>
    </w:p>
    <w:p w14:paraId="3972465F" w14:textId="39D2141F" w:rsidR="0092665C" w:rsidRPr="00E00F13" w:rsidRDefault="00CD492D" w:rsidP="00C56DE2">
      <w:pPr>
        <w:pStyle w:val="Ttulo3"/>
        <w:rPr>
          <w:color w:val="auto"/>
        </w:rPr>
      </w:pPr>
      <w:r w:rsidRPr="00E00F13">
        <w:rPr>
          <w:color w:val="auto"/>
        </w:rPr>
        <w:tab/>
      </w:r>
      <w:bookmarkStart w:id="152" w:name="_Toc234242875"/>
      <w:r w:rsidR="0092665C" w:rsidRPr="00E00F13">
        <w:rPr>
          <w:color w:val="auto"/>
        </w:rPr>
        <w:t>La gestión del cambio climático y la construcción sostenible</w:t>
      </w:r>
      <w:bookmarkEnd w:id="152"/>
    </w:p>
    <w:p w14:paraId="70027404" w14:textId="19DB98A4" w:rsidR="0092665C" w:rsidRPr="00E00F13" w:rsidRDefault="00B26151" w:rsidP="0092665C">
      <w:pPr>
        <w:spacing w:before="240"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El e</w:t>
      </w:r>
      <w:r w:rsidR="0092665C" w:rsidRPr="00E00F13">
        <w:rPr>
          <w:rFonts w:ascii="Arial" w:eastAsia="Times New Roman" w:hAnsi="Arial" w:cs="Arial"/>
          <w:sz w:val="24"/>
          <w:szCs w:val="24"/>
          <w:lang w:val="es-ES" w:eastAsia="es-ES_tradnl"/>
        </w:rPr>
        <w:t xml:space="preserve">nfoque ambiental del MVCT busca que el ordenamiento territorial esté estrechamente vinculado </w:t>
      </w:r>
      <w:r w:rsidRPr="00E00F13">
        <w:rPr>
          <w:rFonts w:ascii="Arial" w:eastAsia="Times New Roman" w:hAnsi="Arial" w:cs="Arial"/>
          <w:sz w:val="24"/>
          <w:szCs w:val="24"/>
          <w:lang w:val="es-ES" w:eastAsia="es-ES_tradnl"/>
        </w:rPr>
        <w:t>con</w:t>
      </w:r>
      <w:r w:rsidR="0092665C" w:rsidRPr="00E00F13">
        <w:rPr>
          <w:rFonts w:ascii="Arial" w:eastAsia="Times New Roman" w:hAnsi="Arial" w:cs="Arial"/>
          <w:sz w:val="24"/>
          <w:szCs w:val="24"/>
          <w:lang w:val="es-ES" w:eastAsia="es-ES_tradnl"/>
        </w:rPr>
        <w:t xml:space="preserve"> la gestión del riesgo, abordando amenazas relacionadas tanto con el exceso (inundaciones, avenidas torrenciales) como con la escasez de agua (sequía), de manera que la meta es construir territorios más resilientes y adaptados a los efectos del cambio climático</w:t>
      </w:r>
      <w:r w:rsidR="00E87EC1" w:rsidRPr="00E00F13">
        <w:rPr>
          <w:rFonts w:ascii="Arial" w:eastAsia="Times New Roman" w:hAnsi="Arial" w:cs="Arial"/>
          <w:sz w:val="24"/>
          <w:szCs w:val="24"/>
          <w:lang w:val="es-ES" w:eastAsia="es-ES_tradnl"/>
        </w:rPr>
        <w:t xml:space="preserve"> (MVCT. Decreto 1470 de 2024).</w:t>
      </w:r>
    </w:p>
    <w:p w14:paraId="29299E90" w14:textId="3CE74908" w:rsidR="0092665C" w:rsidRPr="00E00F13" w:rsidRDefault="0092665C" w:rsidP="0092665C">
      <w:pPr>
        <w:spacing w:before="240"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La mitigación de gases de efecto invernadero también ocupa un punto importante en la agenda del Ministerio</w:t>
      </w:r>
      <w:r w:rsidR="00B26151" w:rsidRPr="00E00F13">
        <w:rPr>
          <w:rFonts w:ascii="Arial" w:eastAsia="Times New Roman" w:hAnsi="Arial" w:cs="Arial"/>
          <w:sz w:val="24"/>
          <w:szCs w:val="24"/>
          <w:lang w:val="es-ES" w:eastAsia="es-ES_tradnl"/>
        </w:rPr>
        <w:t>,</w:t>
      </w:r>
      <w:r w:rsidRPr="00E00F13">
        <w:rPr>
          <w:rFonts w:ascii="Arial" w:eastAsia="Times New Roman" w:hAnsi="Arial" w:cs="Arial"/>
          <w:sz w:val="24"/>
          <w:szCs w:val="24"/>
          <w:lang w:val="es-ES" w:eastAsia="es-ES_tradnl"/>
        </w:rPr>
        <w:t xml:space="preserve"> </w:t>
      </w:r>
      <w:r w:rsidR="00B26151" w:rsidRPr="00E00F13">
        <w:rPr>
          <w:rFonts w:ascii="Arial" w:eastAsia="Times New Roman" w:hAnsi="Arial" w:cs="Arial"/>
          <w:sz w:val="24"/>
          <w:szCs w:val="24"/>
          <w:lang w:val="es-ES" w:eastAsia="es-ES_tradnl"/>
        </w:rPr>
        <w:t xml:space="preserve">dado </w:t>
      </w:r>
      <w:r w:rsidRPr="00E00F13">
        <w:rPr>
          <w:rFonts w:ascii="Arial" w:eastAsia="Times New Roman" w:hAnsi="Arial" w:cs="Arial"/>
          <w:sz w:val="24"/>
          <w:szCs w:val="24"/>
          <w:lang w:val="es-ES" w:eastAsia="es-ES_tradnl"/>
        </w:rPr>
        <w:t>que el sector vivienda es el cuarto con mayor impacto en la emisión de GEI y que</w:t>
      </w:r>
      <w:r w:rsidR="00B26151" w:rsidRPr="00E00F13">
        <w:rPr>
          <w:rFonts w:ascii="Arial" w:eastAsia="Times New Roman" w:hAnsi="Arial" w:cs="Arial"/>
          <w:sz w:val="24"/>
          <w:szCs w:val="24"/>
          <w:lang w:val="es-ES" w:eastAsia="es-ES_tradnl"/>
        </w:rPr>
        <w:t>,</w:t>
      </w:r>
      <w:r w:rsidRPr="00E00F13">
        <w:rPr>
          <w:rFonts w:ascii="Arial" w:eastAsia="Times New Roman" w:hAnsi="Arial" w:cs="Arial"/>
          <w:sz w:val="24"/>
          <w:szCs w:val="24"/>
          <w:lang w:val="es-ES" w:eastAsia="es-ES_tradnl"/>
        </w:rPr>
        <w:t xml:space="preserve"> del total de GEI sectorial, el 76% proviene de </w:t>
      </w:r>
      <w:r w:rsidRPr="00E00F13">
        <w:rPr>
          <w:rFonts w:ascii="Arial" w:eastAsia="Times New Roman" w:hAnsi="Arial" w:cs="Arial"/>
          <w:sz w:val="24"/>
          <w:szCs w:val="24"/>
          <w:lang w:val="es-ES" w:eastAsia="es-ES_tradnl"/>
        </w:rPr>
        <w:lastRenderedPageBreak/>
        <w:t>la descomposición de materia orgánica dispuesta en la gestión de los residuos sólidos</w:t>
      </w:r>
      <w:r w:rsidR="00B26151" w:rsidRPr="00E00F13">
        <w:rPr>
          <w:rFonts w:ascii="Arial" w:eastAsia="Times New Roman" w:hAnsi="Arial" w:cs="Arial"/>
          <w:sz w:val="24"/>
          <w:szCs w:val="24"/>
          <w:lang w:val="es-ES" w:eastAsia="es-ES_tradnl"/>
        </w:rPr>
        <w:t>.</w:t>
      </w:r>
      <w:r w:rsidRPr="00E00F13">
        <w:rPr>
          <w:rFonts w:ascii="Arial" w:eastAsia="Times New Roman" w:hAnsi="Arial" w:cs="Arial"/>
          <w:sz w:val="24"/>
          <w:szCs w:val="24"/>
          <w:vertAlign w:val="superscript"/>
          <w:lang w:val="es-ES" w:eastAsia="es-ES_tradnl"/>
        </w:rPr>
        <w:footnoteReference w:id="6"/>
      </w:r>
      <w:r w:rsidRPr="00E00F13">
        <w:rPr>
          <w:rFonts w:ascii="Arial" w:eastAsia="Times New Roman" w:hAnsi="Arial" w:cs="Arial"/>
          <w:sz w:val="24"/>
          <w:szCs w:val="24"/>
          <w:lang w:val="es-ES" w:eastAsia="es-ES_tradnl"/>
        </w:rPr>
        <w:t xml:space="preserve"> </w:t>
      </w:r>
      <w:r w:rsidR="00B26151" w:rsidRPr="00E00F13">
        <w:rPr>
          <w:rFonts w:ascii="Arial" w:eastAsia="Times New Roman" w:hAnsi="Arial" w:cs="Arial"/>
          <w:sz w:val="24"/>
          <w:szCs w:val="24"/>
          <w:lang w:val="es-ES" w:eastAsia="es-ES_tradnl"/>
        </w:rPr>
        <w:t>C</w:t>
      </w:r>
      <w:r w:rsidRPr="00E00F13">
        <w:rPr>
          <w:rFonts w:ascii="Arial" w:eastAsia="Times New Roman" w:hAnsi="Arial" w:cs="Arial"/>
          <w:sz w:val="24"/>
          <w:szCs w:val="24"/>
          <w:lang w:val="es-ES" w:eastAsia="es-ES_tradnl"/>
        </w:rPr>
        <w:t>on el fin de</w:t>
      </w:r>
      <w:r w:rsidR="00B26151" w:rsidRPr="00E00F13">
        <w:rPr>
          <w:rFonts w:ascii="Arial" w:eastAsia="Times New Roman" w:hAnsi="Arial" w:cs="Arial"/>
          <w:sz w:val="24"/>
          <w:szCs w:val="24"/>
          <w:lang w:val="es-ES" w:eastAsia="es-ES_tradnl"/>
        </w:rPr>
        <w:t xml:space="preserve"> que Colombia cumpla</w:t>
      </w:r>
      <w:r w:rsidRPr="00E00F13">
        <w:rPr>
          <w:rFonts w:ascii="Arial" w:eastAsia="Times New Roman" w:hAnsi="Arial" w:cs="Arial"/>
          <w:sz w:val="24"/>
          <w:szCs w:val="24"/>
          <w:lang w:val="es-ES" w:eastAsia="es-ES_tradnl"/>
        </w:rPr>
        <w:t xml:space="preserve"> con la meta de reducción del 51% de GEI establecida en la Contribución Nacionalmente Determinada (NDC)</w:t>
      </w:r>
      <w:r w:rsidR="00B26151" w:rsidRPr="00E00F13">
        <w:rPr>
          <w:rFonts w:ascii="Arial" w:eastAsia="Times New Roman" w:hAnsi="Arial" w:cs="Arial"/>
          <w:sz w:val="24"/>
          <w:szCs w:val="24"/>
          <w:lang w:val="es-ES" w:eastAsia="es-ES_tradnl"/>
        </w:rPr>
        <w:t xml:space="preserve"> </w:t>
      </w:r>
      <w:r w:rsidRPr="00E00F13">
        <w:rPr>
          <w:rFonts w:ascii="Arial" w:eastAsia="Times New Roman" w:hAnsi="Arial" w:cs="Arial"/>
          <w:sz w:val="24"/>
          <w:szCs w:val="24"/>
          <w:lang w:val="es-ES" w:eastAsia="es-ES_tradnl"/>
        </w:rPr>
        <w:t>se promueve:</w:t>
      </w:r>
    </w:p>
    <w:p w14:paraId="3CB4BD60" w14:textId="77777777" w:rsidR="0092665C" w:rsidRPr="00E00F13" w:rsidRDefault="0092665C" w:rsidP="005E33C6">
      <w:pPr>
        <w:numPr>
          <w:ilvl w:val="0"/>
          <w:numId w:val="24"/>
        </w:numPr>
        <w:spacing w:before="240" w:after="0" w:line="360" w:lineRule="auto"/>
        <w:contextualSpacing/>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La economía circular de residuos a través del programa Basura Cero, que contempla la disminución de la disposición final, la valorización energética de residuos sólidos, lixiviados y el aprovechamiento del biogás generado en rellenos sanitarios y plantas de tratamiento de aguas residuales que disminuyan los GEI del sector vivienda.</w:t>
      </w:r>
      <w:r w:rsidRPr="00E00F13">
        <w:rPr>
          <w:rFonts w:ascii="Arial" w:eastAsia="Times New Roman" w:hAnsi="Arial" w:cs="Arial"/>
          <w:sz w:val="24"/>
          <w:szCs w:val="24"/>
          <w:vertAlign w:val="superscript"/>
          <w:lang w:val="es-ES" w:eastAsia="es-ES_tradnl"/>
        </w:rPr>
        <w:footnoteReference w:id="7"/>
      </w:r>
      <w:r w:rsidRPr="00E00F13">
        <w:rPr>
          <w:rFonts w:ascii="Arial" w:eastAsia="Times New Roman" w:hAnsi="Arial" w:cs="Arial"/>
          <w:sz w:val="24"/>
          <w:szCs w:val="24"/>
          <w:lang w:val="es-ES" w:eastAsia="es-ES_tradnl"/>
        </w:rPr>
        <w:t xml:space="preserve"> </w:t>
      </w:r>
    </w:p>
    <w:p w14:paraId="7CD1D527" w14:textId="77777777" w:rsidR="0092665C" w:rsidRPr="00E00F13" w:rsidRDefault="0092665C" w:rsidP="005E33C6">
      <w:pPr>
        <w:numPr>
          <w:ilvl w:val="0"/>
          <w:numId w:val="24"/>
        </w:numPr>
        <w:spacing w:before="240" w:after="0" w:line="360" w:lineRule="auto"/>
        <w:contextualSpacing/>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 xml:space="preserve"> La Construcción Sostenible, que exige porcentajes mínimos obligatorios de ahorro en energía y la implementación de sistemas de iluminación eficiente, la optimización de sistemas de climatización, el fomento del uso de Fuentes No Convencionales de Energía Renovable (FNCE) para reemplazar la demanda energética, además de impulsar la reducción de la energía y el carbono incorporados en los materiales de construcción.</w:t>
      </w:r>
      <w:r w:rsidRPr="00E00F13">
        <w:rPr>
          <w:rFonts w:ascii="Arial" w:eastAsia="Times New Roman" w:hAnsi="Arial" w:cs="Arial"/>
          <w:sz w:val="24"/>
          <w:szCs w:val="24"/>
          <w:vertAlign w:val="superscript"/>
          <w:lang w:val="es-ES" w:eastAsia="es-ES_tradnl"/>
        </w:rPr>
        <w:footnoteReference w:id="8"/>
      </w:r>
    </w:p>
    <w:p w14:paraId="18EB2BBC" w14:textId="7714F800" w:rsidR="0092665C" w:rsidRPr="00E00F13" w:rsidRDefault="0092665C" w:rsidP="0092665C">
      <w:pPr>
        <w:spacing w:before="240"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 xml:space="preserve">Además de lo anterior, el MVCT estableció criterios de sostenibilidad para las edificaciones a nivel nacional, a través de un conjunto de medidas pasivas y activas en </w:t>
      </w:r>
      <w:r w:rsidR="006C4D62" w:rsidRPr="00E00F13">
        <w:rPr>
          <w:rFonts w:ascii="Arial" w:eastAsia="Times New Roman" w:hAnsi="Arial" w:cs="Arial"/>
          <w:sz w:val="24"/>
          <w:szCs w:val="24"/>
          <w:lang w:val="es-ES" w:eastAsia="es-ES_tradnl"/>
        </w:rPr>
        <w:t>su</w:t>
      </w:r>
      <w:r w:rsidRPr="00E00F13">
        <w:rPr>
          <w:rFonts w:ascii="Arial" w:eastAsia="Times New Roman" w:hAnsi="Arial" w:cs="Arial"/>
          <w:sz w:val="24"/>
          <w:szCs w:val="24"/>
          <w:lang w:val="es-ES" w:eastAsia="es-ES_tradnl"/>
        </w:rPr>
        <w:t xml:space="preserve"> diseño y construcción, enfocadas en el mejoramiento de la calidad de vida de los habitantes y el ejercicio de actuaciones con responsabilidad ambiental y social. </w:t>
      </w:r>
    </w:p>
    <w:p w14:paraId="1CAC38F6" w14:textId="64EE9C04" w:rsidR="00C56DE2" w:rsidRDefault="0092665C" w:rsidP="00C56DE2">
      <w:pPr>
        <w:spacing w:before="240"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Este enfoque holístico busca minimizar el impacto ambiental, social y económico de los proyectos de construcción a lo largo de todo su ciclo de vida</w:t>
      </w:r>
      <w:r w:rsidR="0038391E" w:rsidRPr="00E00F13">
        <w:rPr>
          <w:rFonts w:ascii="Arial" w:eastAsia="Times New Roman" w:hAnsi="Arial" w:cs="Arial"/>
          <w:sz w:val="24"/>
          <w:szCs w:val="24"/>
          <w:lang w:val="es-ES" w:eastAsia="es-ES_tradnl"/>
        </w:rPr>
        <w:t xml:space="preserve">, </w:t>
      </w:r>
      <w:r w:rsidRPr="00E00F13">
        <w:rPr>
          <w:rFonts w:ascii="Arial" w:eastAsia="Times New Roman" w:hAnsi="Arial" w:cs="Arial"/>
          <w:sz w:val="24"/>
          <w:szCs w:val="24"/>
          <w:lang w:val="es-ES" w:eastAsia="es-ES_tradnl"/>
        </w:rPr>
        <w:t>desde la extracción de materias primas hasta la deconstrucción</w:t>
      </w:r>
      <w:r w:rsidR="0038391E" w:rsidRPr="00E00F13">
        <w:rPr>
          <w:rFonts w:ascii="Arial" w:eastAsia="Times New Roman" w:hAnsi="Arial" w:cs="Arial"/>
          <w:sz w:val="24"/>
          <w:szCs w:val="24"/>
          <w:lang w:val="es-ES" w:eastAsia="es-ES_tradnl"/>
        </w:rPr>
        <w:t>.</w:t>
      </w:r>
      <w:r w:rsidRPr="00E00F13">
        <w:rPr>
          <w:rFonts w:ascii="Arial" w:eastAsia="Times New Roman" w:hAnsi="Arial" w:cs="Arial"/>
          <w:sz w:val="24"/>
          <w:szCs w:val="24"/>
          <w:lang w:val="es-ES" w:eastAsia="es-ES_tradnl"/>
        </w:rPr>
        <w:t xml:space="preserve"> </w:t>
      </w:r>
      <w:r w:rsidR="0038391E" w:rsidRPr="00E00F13">
        <w:rPr>
          <w:rFonts w:ascii="Arial" w:eastAsia="Times New Roman" w:hAnsi="Arial" w:cs="Arial"/>
          <w:sz w:val="24"/>
          <w:szCs w:val="24"/>
          <w:lang w:val="es-ES" w:eastAsia="es-ES_tradnl"/>
        </w:rPr>
        <w:t>A la par de generar</w:t>
      </w:r>
      <w:r w:rsidRPr="00E00F13">
        <w:rPr>
          <w:rFonts w:ascii="Arial" w:eastAsia="Times New Roman" w:hAnsi="Arial" w:cs="Arial"/>
          <w:sz w:val="24"/>
          <w:szCs w:val="24"/>
          <w:lang w:val="es-ES" w:eastAsia="es-ES_tradnl"/>
        </w:rPr>
        <w:t xml:space="preserve"> un marco de referencia para quienes voluntariamente quieran avanzar en este sentido, se pretende un desarrollo de edificaciones bajas en carbono, resilientes y responsables </w:t>
      </w:r>
      <w:r w:rsidRPr="00E00F13">
        <w:rPr>
          <w:rFonts w:ascii="Arial" w:eastAsia="Times New Roman" w:hAnsi="Arial" w:cs="Arial"/>
          <w:sz w:val="24"/>
          <w:szCs w:val="24"/>
          <w:lang w:val="es-ES" w:eastAsia="es-ES_tradnl"/>
        </w:rPr>
        <w:lastRenderedPageBreak/>
        <w:t>con el uso eficiente de los recursos naturales con metas de ahorro en energía y agua. Así mismo, se promueve el uso de medidas pasivas (diseño bioclimático, orientación, protección solar) y medidas activas (sistemas eficientes, tecnologías de energía renovable) para garantizar el confort de los ocupantes con menor dependencia de medios artificiales de enfriamiento, calefacción o iluminación.</w:t>
      </w:r>
    </w:p>
    <w:p w14:paraId="08000914" w14:textId="237F21CF" w:rsidR="005B0727" w:rsidRPr="005B0727" w:rsidRDefault="00703F1A" w:rsidP="005B0727">
      <w:pPr>
        <w:spacing w:before="240" w:after="0" w:line="360" w:lineRule="auto"/>
        <w:jc w:val="both"/>
        <w:rPr>
          <w:rFonts w:ascii="Arial" w:eastAsia="Times New Roman" w:hAnsi="Arial" w:cs="Arial"/>
          <w:sz w:val="24"/>
          <w:szCs w:val="24"/>
          <w:lang w:eastAsia="es-ES_tradnl"/>
        </w:rPr>
      </w:pPr>
      <w:r>
        <w:rPr>
          <w:rFonts w:ascii="Arial" w:eastAsia="Times New Roman" w:hAnsi="Arial" w:cs="Arial"/>
          <w:sz w:val="24"/>
          <w:szCs w:val="24"/>
          <w:lang w:val="es-ES" w:eastAsia="es-ES_tradnl"/>
        </w:rPr>
        <w:t xml:space="preserve">Es importante resaltar </w:t>
      </w:r>
      <w:proofErr w:type="gramStart"/>
      <w:r>
        <w:rPr>
          <w:rFonts w:ascii="Arial" w:eastAsia="Times New Roman" w:hAnsi="Arial" w:cs="Arial"/>
          <w:sz w:val="24"/>
          <w:szCs w:val="24"/>
          <w:lang w:val="es-ES" w:eastAsia="es-ES_tradnl"/>
        </w:rPr>
        <w:t>que</w:t>
      </w:r>
      <w:proofErr w:type="gramEnd"/>
      <w:r>
        <w:rPr>
          <w:rFonts w:ascii="Arial" w:eastAsia="Times New Roman" w:hAnsi="Arial" w:cs="Arial"/>
          <w:sz w:val="24"/>
          <w:szCs w:val="24"/>
          <w:lang w:val="es-ES" w:eastAsia="es-ES_tradnl"/>
        </w:rPr>
        <w:t xml:space="preserve"> aunque ha habido avances importantes en materia de mitigación al cambio climático, es</w:t>
      </w:r>
      <w:r w:rsidR="005B0727">
        <w:rPr>
          <w:rFonts w:ascii="Arial" w:eastAsia="Times New Roman" w:hAnsi="Arial" w:cs="Arial"/>
          <w:sz w:val="24"/>
          <w:szCs w:val="24"/>
          <w:lang w:val="es-ES" w:eastAsia="es-ES_tradnl"/>
        </w:rPr>
        <w:t xml:space="preserve"> en</w:t>
      </w:r>
      <w:r>
        <w:rPr>
          <w:rFonts w:ascii="Arial" w:eastAsia="Times New Roman" w:hAnsi="Arial" w:cs="Arial"/>
          <w:sz w:val="24"/>
          <w:szCs w:val="24"/>
          <w:lang w:val="es-ES" w:eastAsia="es-ES_tradnl"/>
        </w:rPr>
        <w:t xml:space="preserve"> la adaptación al cambio climático</w:t>
      </w:r>
      <w:r w:rsidR="005B0727">
        <w:rPr>
          <w:rFonts w:ascii="Arial" w:eastAsia="Times New Roman" w:hAnsi="Arial" w:cs="Arial"/>
          <w:sz w:val="24"/>
          <w:szCs w:val="24"/>
          <w:lang w:val="es-ES" w:eastAsia="es-ES_tradnl"/>
        </w:rPr>
        <w:t xml:space="preserve"> y en la gestión del riesgo</w:t>
      </w:r>
      <w:r>
        <w:rPr>
          <w:rFonts w:ascii="Arial" w:eastAsia="Times New Roman" w:hAnsi="Arial" w:cs="Arial"/>
          <w:sz w:val="24"/>
          <w:szCs w:val="24"/>
          <w:lang w:val="es-ES" w:eastAsia="es-ES_tradnl"/>
        </w:rPr>
        <w:t xml:space="preserve"> </w:t>
      </w:r>
      <w:r w:rsidR="005B0727">
        <w:rPr>
          <w:rFonts w:ascii="Arial" w:eastAsia="Times New Roman" w:hAnsi="Arial" w:cs="Arial"/>
          <w:sz w:val="24"/>
          <w:szCs w:val="24"/>
          <w:lang w:val="es-ES" w:eastAsia="es-ES_tradnl"/>
        </w:rPr>
        <w:t xml:space="preserve">en donde el Ministerio deberá continuar trabajando. </w:t>
      </w:r>
      <w:r w:rsidR="005B0727" w:rsidRPr="005B0727">
        <w:rPr>
          <w:rFonts w:ascii="Arial" w:eastAsia="Times New Roman" w:hAnsi="Arial" w:cs="Arial"/>
          <w:sz w:val="24"/>
          <w:szCs w:val="24"/>
          <w:lang w:eastAsia="es-ES_tradnl"/>
        </w:rPr>
        <w:t xml:space="preserve">Existe un alto porcentaje de asentamientos informales localizados en zonas de alto riesgo, lo que representa un desafío crítico para la gestión de desastres y la reducción de la vulnerabilidad. Por este motivo el sector de la vivienda es una de las prioridades para las acciones de adaptación al cambio climático, que permitan mejorar los estándares de construcción que inciden directamente en la exposición de los hogares ante las amenazas climáticas, de acuerdo con la Política Nacional de Cambio Climático de Colombia. </w:t>
      </w:r>
    </w:p>
    <w:p w14:paraId="0468F26D" w14:textId="74E43F69" w:rsidR="005B0727" w:rsidRPr="005B0727" w:rsidRDefault="005B0727" w:rsidP="005B0727">
      <w:pPr>
        <w:spacing w:before="240" w:after="0" w:line="360" w:lineRule="auto"/>
        <w:jc w:val="both"/>
        <w:rPr>
          <w:rFonts w:ascii="Arial" w:eastAsia="Times New Roman" w:hAnsi="Arial" w:cs="Arial"/>
          <w:sz w:val="24"/>
          <w:szCs w:val="24"/>
          <w:lang w:eastAsia="es-ES_tradnl"/>
        </w:rPr>
      </w:pPr>
      <w:r w:rsidRPr="005B0727">
        <w:rPr>
          <w:rFonts w:ascii="Arial" w:eastAsia="Times New Roman" w:hAnsi="Arial" w:cs="Arial"/>
          <w:sz w:val="24"/>
          <w:szCs w:val="24"/>
          <w:lang w:eastAsia="es-ES_tradnl"/>
        </w:rPr>
        <w:t>Con el fin de incorporar la gestión del cambio climático en las decisiones públicas y privadas para reducir los riesgos del cambio climático, la Ley 1931 de 2018, establec</w:t>
      </w:r>
      <w:r>
        <w:rPr>
          <w:rFonts w:ascii="Arial" w:eastAsia="Times New Roman" w:hAnsi="Arial" w:cs="Arial"/>
          <w:sz w:val="24"/>
          <w:szCs w:val="24"/>
          <w:lang w:eastAsia="es-ES_tradnl"/>
        </w:rPr>
        <w:t>ió</w:t>
      </w:r>
      <w:r w:rsidRPr="005B0727">
        <w:rPr>
          <w:rFonts w:ascii="Arial" w:eastAsia="Times New Roman" w:hAnsi="Arial" w:cs="Arial"/>
          <w:sz w:val="24"/>
          <w:szCs w:val="24"/>
          <w:lang w:eastAsia="es-ES_tradnl"/>
        </w:rPr>
        <w:t xml:space="preserve"> las directrices relacionadas con las acciones de adaptación al cambio climático, así como en mitigación de gases efecto invernadero, con el objetivo de reducir la vulnerabilidad de la población y de los ecosistemas del país frente a los efectos </w:t>
      </w:r>
      <w:proofErr w:type="gramStart"/>
      <w:r w:rsidRPr="005B0727">
        <w:rPr>
          <w:rFonts w:ascii="Arial" w:eastAsia="Times New Roman" w:hAnsi="Arial" w:cs="Arial"/>
          <w:sz w:val="24"/>
          <w:szCs w:val="24"/>
          <w:lang w:eastAsia="es-ES_tradnl"/>
        </w:rPr>
        <w:t>del mismo</w:t>
      </w:r>
      <w:proofErr w:type="gramEnd"/>
      <w:r w:rsidRPr="005B0727">
        <w:rPr>
          <w:rFonts w:ascii="Arial" w:eastAsia="Times New Roman" w:hAnsi="Arial" w:cs="Arial"/>
          <w:sz w:val="24"/>
          <w:szCs w:val="24"/>
          <w:lang w:eastAsia="es-ES_tradnl"/>
        </w:rPr>
        <w:t>.</w:t>
      </w:r>
    </w:p>
    <w:p w14:paraId="2D1DDD25" w14:textId="653B70F7" w:rsidR="00703F1A" w:rsidRDefault="005B0727" w:rsidP="005B0727">
      <w:pPr>
        <w:spacing w:before="240" w:after="0" w:line="360" w:lineRule="auto"/>
        <w:jc w:val="both"/>
        <w:rPr>
          <w:rFonts w:ascii="Arial" w:eastAsia="Times New Roman" w:hAnsi="Arial" w:cs="Arial"/>
          <w:i/>
          <w:iCs/>
          <w:sz w:val="24"/>
          <w:szCs w:val="24"/>
          <w:lang w:eastAsia="es-ES_tradnl"/>
        </w:rPr>
      </w:pPr>
      <w:r w:rsidRPr="005B0727">
        <w:rPr>
          <w:rFonts w:ascii="Arial" w:eastAsia="Times New Roman" w:hAnsi="Arial" w:cs="Arial"/>
          <w:sz w:val="24"/>
          <w:szCs w:val="24"/>
          <w:lang w:eastAsia="es-ES_tradnl"/>
        </w:rPr>
        <w:t xml:space="preserve">Para esto, cada Ministerio a través de los Planes Integrales de Gestión del Cambio Climático Sectoriales- PIGCC, identifica, evalúa y orienta la incorporación de medidas de mitigación de gases efecto invernadero y adaptación al cambio climático en las políticas y regulaciones del respectivo sector. El PIGCC del Sector Vivienda, adoptado por medio de la Resolución 0431 de 2020, identificó una </w:t>
      </w:r>
      <w:r w:rsidRPr="00493D3A">
        <w:rPr>
          <w:rFonts w:ascii="Arial" w:eastAsia="Times New Roman" w:hAnsi="Arial" w:cs="Arial"/>
          <w:i/>
          <w:iCs/>
          <w:sz w:val="24"/>
          <w:szCs w:val="24"/>
          <w:lang w:eastAsia="es-ES_tradnl"/>
        </w:rPr>
        <w:t xml:space="preserve">“ausencia de medidas de adaptación ante el cambio climático que permitan el fortalecimiento de los procesos de planeación territorial (…)”. </w:t>
      </w:r>
      <w:r w:rsidRPr="005B0727">
        <w:rPr>
          <w:rFonts w:ascii="Arial" w:eastAsia="Times New Roman" w:hAnsi="Arial" w:cs="Arial"/>
          <w:sz w:val="24"/>
          <w:szCs w:val="24"/>
          <w:lang w:eastAsia="es-ES_tradnl"/>
        </w:rPr>
        <w:t xml:space="preserve">Con base en esto, se propuso formular e implementar </w:t>
      </w:r>
      <w:r w:rsidRPr="005B0727">
        <w:rPr>
          <w:rFonts w:ascii="Arial" w:eastAsia="Times New Roman" w:hAnsi="Arial" w:cs="Arial"/>
          <w:i/>
          <w:iCs/>
          <w:sz w:val="24"/>
          <w:szCs w:val="24"/>
          <w:lang w:eastAsia="es-ES_tradnl"/>
        </w:rPr>
        <w:t xml:space="preserve">“medidas a nivel territorial y diferencial que promuevan territorios, ciudades, viviendas y comunidades más  resilientes y sostenibles”, </w:t>
      </w:r>
      <w:r w:rsidRPr="005B0727">
        <w:rPr>
          <w:rFonts w:ascii="Arial" w:eastAsia="Times New Roman" w:hAnsi="Arial" w:cs="Arial"/>
          <w:sz w:val="24"/>
          <w:szCs w:val="24"/>
          <w:lang w:eastAsia="es-ES_tradnl"/>
        </w:rPr>
        <w:t xml:space="preserve">teniendo en </w:t>
      </w:r>
      <w:r w:rsidRPr="005B0727">
        <w:rPr>
          <w:rFonts w:ascii="Arial" w:eastAsia="Times New Roman" w:hAnsi="Arial" w:cs="Arial"/>
          <w:sz w:val="24"/>
          <w:szCs w:val="24"/>
          <w:lang w:eastAsia="es-ES_tradnl"/>
        </w:rPr>
        <w:lastRenderedPageBreak/>
        <w:t xml:space="preserve">cuenta que se identificó como segundo eje problemático </w:t>
      </w:r>
      <w:r w:rsidRPr="005B0727">
        <w:rPr>
          <w:rFonts w:ascii="Arial" w:eastAsia="Times New Roman" w:hAnsi="Arial" w:cs="Arial"/>
          <w:i/>
          <w:iCs/>
          <w:sz w:val="24"/>
          <w:szCs w:val="24"/>
          <w:lang w:eastAsia="es-ES_tradnl"/>
        </w:rPr>
        <w:t>“la ausencia de lineamientos para reducir la vulnerabilidad de los asentamientos localizados en zonas de alto riesgo mitigable, considerando que las zonas con condición de amenaza y/o riesgo son las vulnerables ante los cambios de precipitación esperados bajo los escenarios de</w:t>
      </w:r>
      <w:r>
        <w:rPr>
          <w:rFonts w:ascii="Arial" w:eastAsia="Times New Roman" w:hAnsi="Arial" w:cs="Arial"/>
          <w:i/>
          <w:iCs/>
          <w:sz w:val="24"/>
          <w:szCs w:val="24"/>
          <w:lang w:eastAsia="es-ES_tradnl"/>
        </w:rPr>
        <w:t xml:space="preserve"> </w:t>
      </w:r>
      <w:r w:rsidRPr="005B0727">
        <w:rPr>
          <w:rFonts w:ascii="Arial" w:eastAsia="Times New Roman" w:hAnsi="Arial" w:cs="Arial"/>
          <w:i/>
          <w:iCs/>
          <w:sz w:val="24"/>
          <w:szCs w:val="24"/>
          <w:lang w:eastAsia="es-ES_tradnl"/>
        </w:rPr>
        <w:t>cambio climático.”</w:t>
      </w:r>
    </w:p>
    <w:p w14:paraId="3D827009" w14:textId="167C2294" w:rsidR="00D22BFA" w:rsidRPr="00E00F13" w:rsidRDefault="005B0727" w:rsidP="00C56DE2">
      <w:pPr>
        <w:spacing w:before="240" w:after="0" w:line="360" w:lineRule="auto"/>
        <w:jc w:val="both"/>
        <w:rPr>
          <w:rFonts w:ascii="Arial" w:eastAsia="Times New Roman" w:hAnsi="Arial" w:cs="Arial"/>
          <w:sz w:val="24"/>
          <w:szCs w:val="24"/>
          <w:lang w:val="es-ES" w:eastAsia="es-ES_tradnl"/>
        </w:rPr>
      </w:pPr>
      <w:r>
        <w:rPr>
          <w:rFonts w:ascii="Arial" w:eastAsia="Times New Roman" w:hAnsi="Arial" w:cs="Arial"/>
          <w:sz w:val="24"/>
          <w:szCs w:val="24"/>
          <w:lang w:eastAsia="es-ES_tradnl"/>
        </w:rPr>
        <w:t>Ante esta circunstancia, se elaboró el</w:t>
      </w:r>
      <w:r w:rsidRPr="005B0727">
        <w:rPr>
          <w:rFonts w:ascii="Arial" w:eastAsia="Times New Roman" w:hAnsi="Arial" w:cs="Arial"/>
          <w:sz w:val="24"/>
          <w:szCs w:val="24"/>
          <w:lang w:eastAsia="es-ES_tradnl"/>
        </w:rPr>
        <w:t xml:space="preserve"> Índice de Vulnerabilidad y Adaptación Climática de Viviendas (IVAC-V) </w:t>
      </w:r>
      <w:r>
        <w:rPr>
          <w:rFonts w:ascii="Arial" w:eastAsia="Times New Roman" w:hAnsi="Arial" w:cs="Arial"/>
          <w:sz w:val="24"/>
          <w:szCs w:val="24"/>
          <w:lang w:eastAsia="es-ES_tradnl"/>
        </w:rPr>
        <w:t>como</w:t>
      </w:r>
      <w:r w:rsidRPr="005B0727">
        <w:rPr>
          <w:rFonts w:ascii="Arial" w:eastAsia="Times New Roman" w:hAnsi="Arial" w:cs="Arial"/>
          <w:sz w:val="24"/>
          <w:szCs w:val="24"/>
          <w:lang w:eastAsia="es-ES_tradnl"/>
        </w:rPr>
        <w:t xml:space="preserve"> instrumento de evaluación y priorización para orientar proyectos estratégicos de mejoramiento de vivienda dirigidos a la reducción de la vulnerabilidad y la adaptación al cambio climático. El índice fue diseñado para apoyar la implementación de los proyectos de la Categoría C (Reducción de la vulnerabilidad) del Decreto 0413 de 2025 del Ministerio de Vivienda, Ciudad y Territorio, sobre el subsidio de mejoramiento de vivienda.</w:t>
      </w:r>
      <w:r>
        <w:rPr>
          <w:rFonts w:ascii="Arial" w:eastAsia="Times New Roman" w:hAnsi="Arial" w:cs="Arial"/>
          <w:sz w:val="24"/>
          <w:szCs w:val="24"/>
          <w:lang w:eastAsia="es-ES_tradnl"/>
        </w:rPr>
        <w:t xml:space="preserve"> De esta manera se promueven </w:t>
      </w:r>
      <w:r w:rsidRPr="005B0727">
        <w:rPr>
          <w:rFonts w:ascii="Arial" w:eastAsia="Times New Roman" w:hAnsi="Arial" w:cs="Arial"/>
          <w:sz w:val="24"/>
          <w:szCs w:val="24"/>
          <w:lang w:eastAsia="es-ES_tradnl"/>
        </w:rPr>
        <w:t xml:space="preserve">territorios, ciudades, viviendas y comunidades </w:t>
      </w:r>
      <w:proofErr w:type="gramStart"/>
      <w:r w:rsidRPr="005B0727">
        <w:rPr>
          <w:rFonts w:ascii="Arial" w:eastAsia="Times New Roman" w:hAnsi="Arial" w:cs="Arial"/>
          <w:sz w:val="24"/>
          <w:szCs w:val="24"/>
          <w:lang w:eastAsia="es-ES_tradnl"/>
        </w:rPr>
        <w:t>más  resilientes</w:t>
      </w:r>
      <w:proofErr w:type="gramEnd"/>
      <w:r w:rsidRPr="005B0727">
        <w:rPr>
          <w:rFonts w:ascii="Arial" w:eastAsia="Times New Roman" w:hAnsi="Arial" w:cs="Arial"/>
          <w:sz w:val="24"/>
          <w:szCs w:val="24"/>
          <w:lang w:eastAsia="es-ES_tradnl"/>
        </w:rPr>
        <w:t xml:space="preserve"> y sostenibles</w:t>
      </w:r>
      <w:r>
        <w:rPr>
          <w:rFonts w:ascii="Arial" w:eastAsia="Times New Roman" w:hAnsi="Arial" w:cs="Arial"/>
          <w:sz w:val="24"/>
          <w:szCs w:val="24"/>
          <w:lang w:eastAsia="es-ES_tradnl"/>
        </w:rPr>
        <w:t xml:space="preserve"> y se busca reducir la vulnerabilidad de los asentamientos informales a través de la priorización de viviendas para la aplicación del subsidio de mejoramiento</w:t>
      </w:r>
      <w:r w:rsidR="00D01B0B">
        <w:rPr>
          <w:rFonts w:ascii="Arial" w:eastAsia="Times New Roman" w:hAnsi="Arial" w:cs="Arial"/>
          <w:sz w:val="24"/>
          <w:szCs w:val="24"/>
          <w:lang w:eastAsia="es-ES_tradnl"/>
        </w:rPr>
        <w:t xml:space="preserve">, el cual se espera pueda ser implementado en las convocatorias venideras. </w:t>
      </w:r>
    </w:p>
    <w:p w14:paraId="52B4533C" w14:textId="4B5ABE3B" w:rsidR="0092665C" w:rsidRPr="00E00F13" w:rsidRDefault="00CD492D" w:rsidP="00C56DE2">
      <w:pPr>
        <w:pStyle w:val="Ttulo3"/>
        <w:rPr>
          <w:rFonts w:eastAsia="Times New Roman"/>
          <w:color w:val="auto"/>
          <w:lang w:val="es-ES" w:eastAsia="es-ES_tradnl"/>
        </w:rPr>
      </w:pPr>
      <w:r w:rsidRPr="00E00F13">
        <w:rPr>
          <w:rFonts w:eastAsia="Times New Roman"/>
          <w:color w:val="auto"/>
          <w:lang w:val="es-ES" w:eastAsia="es-ES_tradnl"/>
        </w:rPr>
        <w:tab/>
      </w:r>
      <w:bookmarkStart w:id="153" w:name="_Toc234242876"/>
      <w:r w:rsidR="00E87A96" w:rsidRPr="00E00F13">
        <w:rPr>
          <w:rFonts w:eastAsia="Times New Roman"/>
          <w:color w:val="auto"/>
          <w:lang w:val="es-ES" w:eastAsia="es-ES_tradnl"/>
        </w:rPr>
        <w:t>La e</w:t>
      </w:r>
      <w:r w:rsidR="0092665C" w:rsidRPr="00E00F13">
        <w:rPr>
          <w:rFonts w:eastAsia="Times New Roman"/>
          <w:color w:val="auto"/>
          <w:lang w:val="es-ES" w:eastAsia="es-ES_tradnl"/>
        </w:rPr>
        <w:t>conomía circular y la gestión integral de recursos</w:t>
      </w:r>
      <w:bookmarkEnd w:id="153"/>
    </w:p>
    <w:p w14:paraId="6AE9F771" w14:textId="49487298" w:rsidR="0092665C" w:rsidRPr="00E00F13" w:rsidRDefault="0092665C" w:rsidP="0038391E">
      <w:p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El enfoque promueve la economía circular y la gestión integral de residuos a través de programas como Basura Cero. Esta estrategia busca un cambio cultural</w:t>
      </w:r>
      <w:r w:rsidR="0038391E" w:rsidRPr="00E00F13">
        <w:rPr>
          <w:rFonts w:ascii="Arial" w:eastAsia="Times New Roman" w:hAnsi="Arial" w:cs="Arial"/>
          <w:sz w:val="24"/>
          <w:szCs w:val="24"/>
          <w:lang w:val="es-ES" w:eastAsia="es-ES_tradnl"/>
        </w:rPr>
        <w:t>, para</w:t>
      </w:r>
      <w:r w:rsidRPr="00E00F13">
        <w:rPr>
          <w:rFonts w:ascii="Arial" w:eastAsia="Times New Roman" w:hAnsi="Arial" w:cs="Arial"/>
          <w:sz w:val="24"/>
          <w:szCs w:val="24"/>
          <w:lang w:val="es-ES" w:eastAsia="es-ES_tradnl"/>
        </w:rPr>
        <w:t xml:space="preserve"> </w:t>
      </w:r>
      <w:r w:rsidR="0038391E" w:rsidRPr="00E00F13">
        <w:rPr>
          <w:rFonts w:ascii="Arial" w:eastAsia="Times New Roman" w:hAnsi="Arial" w:cs="Arial"/>
          <w:sz w:val="24"/>
          <w:szCs w:val="24"/>
          <w:lang w:val="es-ES" w:eastAsia="es-ES_tradnl"/>
        </w:rPr>
        <w:t>promover</w:t>
      </w:r>
      <w:r w:rsidRPr="00E00F13">
        <w:rPr>
          <w:rFonts w:ascii="Arial" w:eastAsia="Times New Roman" w:hAnsi="Arial" w:cs="Arial"/>
          <w:sz w:val="24"/>
          <w:szCs w:val="24"/>
          <w:lang w:val="es-ES" w:eastAsia="es-ES_tradnl"/>
        </w:rPr>
        <w:t xml:space="preserve"> la economía circular de los residuos sólidos ordinarios y especiales </w:t>
      </w:r>
      <w:r w:rsidR="0038391E" w:rsidRPr="00E00F13">
        <w:rPr>
          <w:rFonts w:ascii="Arial" w:eastAsia="Times New Roman" w:hAnsi="Arial" w:cs="Arial"/>
          <w:sz w:val="24"/>
          <w:szCs w:val="24"/>
          <w:lang w:val="es-ES" w:eastAsia="es-ES_tradnl"/>
        </w:rPr>
        <w:t xml:space="preserve">y aplicar </w:t>
      </w:r>
      <w:r w:rsidRPr="00E00F13">
        <w:rPr>
          <w:rFonts w:ascii="Arial" w:eastAsia="Times New Roman" w:hAnsi="Arial" w:cs="Arial"/>
          <w:sz w:val="24"/>
          <w:szCs w:val="24"/>
          <w:lang w:val="es-ES" w:eastAsia="es-ES_tradnl"/>
        </w:rPr>
        <w:t xml:space="preserve">la jerarquía de gestión de residuos para disminuir la disposición final y la generación de residuos, a través de la prevención, reutilización, aprovechamiento, tratamiento y disposición final. Esto incluye la reincorporación de materiales recuperados </w:t>
      </w:r>
      <w:r w:rsidR="00230F92" w:rsidRPr="00E00F13">
        <w:rPr>
          <w:rFonts w:ascii="Arial" w:eastAsia="Times New Roman" w:hAnsi="Arial" w:cs="Arial"/>
          <w:sz w:val="24"/>
          <w:szCs w:val="24"/>
          <w:lang w:val="es-ES" w:eastAsia="es-ES_tradnl"/>
        </w:rPr>
        <w:t>para</w:t>
      </w:r>
      <w:r w:rsidRPr="00E00F13">
        <w:rPr>
          <w:rFonts w:ascii="Arial" w:eastAsia="Times New Roman" w:hAnsi="Arial" w:cs="Arial"/>
          <w:sz w:val="24"/>
          <w:szCs w:val="24"/>
          <w:lang w:val="es-ES" w:eastAsia="es-ES_tradnl"/>
        </w:rPr>
        <w:t xml:space="preserve"> nuevas cadenas de valor, y la eliminación del enterramiento de residuos, transitando hacia la implementación de parques tecnológicos y ambientales para el tratamiento y valorización de residuos</w:t>
      </w:r>
      <w:r w:rsidR="00230F92" w:rsidRPr="00E00F13">
        <w:rPr>
          <w:rFonts w:ascii="Arial" w:eastAsia="Times New Roman" w:hAnsi="Arial" w:cs="Arial"/>
          <w:sz w:val="24"/>
          <w:szCs w:val="24"/>
          <w:lang w:val="es-ES" w:eastAsia="es-ES_tradnl"/>
        </w:rPr>
        <w:t>.</w:t>
      </w:r>
      <w:r w:rsidRPr="00E00F13">
        <w:rPr>
          <w:rFonts w:ascii="Arial" w:eastAsia="Times New Roman" w:hAnsi="Arial" w:cs="Arial"/>
          <w:sz w:val="24"/>
          <w:szCs w:val="24"/>
          <w:vertAlign w:val="superscript"/>
          <w:lang w:val="es-ES" w:eastAsia="es-ES_tradnl"/>
        </w:rPr>
        <w:footnoteReference w:id="9"/>
      </w:r>
      <w:r w:rsidRPr="00E00F13">
        <w:rPr>
          <w:rFonts w:ascii="Arial" w:eastAsia="Times New Roman" w:hAnsi="Arial" w:cs="Arial"/>
          <w:sz w:val="24"/>
          <w:szCs w:val="24"/>
          <w:lang w:val="es-ES" w:eastAsia="es-ES_tradnl"/>
        </w:rPr>
        <w:t xml:space="preserve"> </w:t>
      </w:r>
      <w:r w:rsidR="00230F92" w:rsidRPr="00E00F13">
        <w:rPr>
          <w:rFonts w:ascii="Arial" w:eastAsia="Times New Roman" w:hAnsi="Arial" w:cs="Arial"/>
          <w:sz w:val="24"/>
          <w:szCs w:val="24"/>
          <w:lang w:val="es-ES" w:eastAsia="es-ES_tradnl"/>
        </w:rPr>
        <w:t xml:space="preserve">Una de las consecuencias más importantes de todo esto es que </w:t>
      </w:r>
      <w:r w:rsidRPr="00E00F13">
        <w:rPr>
          <w:rFonts w:ascii="Arial" w:eastAsia="Times New Roman" w:hAnsi="Arial" w:cs="Arial"/>
          <w:sz w:val="24"/>
          <w:szCs w:val="24"/>
          <w:lang w:val="es-ES" w:eastAsia="es-ES_tradnl"/>
        </w:rPr>
        <w:t>se reconoce la labor de los recicladores de oficio, quienes no s</w:t>
      </w:r>
      <w:r w:rsidR="00230F92" w:rsidRPr="00E00F13">
        <w:rPr>
          <w:rFonts w:ascii="Arial" w:eastAsia="Times New Roman" w:hAnsi="Arial" w:cs="Arial"/>
          <w:sz w:val="24"/>
          <w:szCs w:val="24"/>
          <w:lang w:val="es-ES" w:eastAsia="es-ES_tradnl"/>
        </w:rPr>
        <w:t>o</w:t>
      </w:r>
      <w:r w:rsidRPr="00E00F13">
        <w:rPr>
          <w:rFonts w:ascii="Arial" w:eastAsia="Times New Roman" w:hAnsi="Arial" w:cs="Arial"/>
          <w:sz w:val="24"/>
          <w:szCs w:val="24"/>
          <w:lang w:val="es-ES" w:eastAsia="es-ES_tradnl"/>
        </w:rPr>
        <w:t xml:space="preserve">lo se incluyen en el marco del servicio público </w:t>
      </w:r>
      <w:r w:rsidRPr="00E00F13">
        <w:rPr>
          <w:rFonts w:ascii="Arial" w:eastAsia="Times New Roman" w:hAnsi="Arial" w:cs="Arial"/>
          <w:sz w:val="24"/>
          <w:szCs w:val="24"/>
          <w:lang w:val="es-ES" w:eastAsia="es-ES_tradnl"/>
        </w:rPr>
        <w:lastRenderedPageBreak/>
        <w:t>de aseo, sino que también se priorizan para el acceso de subsidios de vivienda</w:t>
      </w:r>
      <w:r w:rsidR="00230F92" w:rsidRPr="00E00F13">
        <w:rPr>
          <w:rFonts w:ascii="Arial" w:eastAsia="Times New Roman" w:hAnsi="Arial" w:cs="Arial"/>
          <w:sz w:val="24"/>
          <w:szCs w:val="24"/>
          <w:lang w:val="es-ES" w:eastAsia="es-ES_tradnl"/>
        </w:rPr>
        <w:t>,</w:t>
      </w:r>
      <w:r w:rsidRPr="00E00F13">
        <w:rPr>
          <w:rFonts w:ascii="Arial" w:eastAsia="Times New Roman" w:hAnsi="Arial" w:cs="Arial"/>
          <w:sz w:val="24"/>
          <w:szCs w:val="24"/>
          <w:lang w:val="es-ES" w:eastAsia="es-ES_tradnl"/>
        </w:rPr>
        <w:t xml:space="preserve"> como el de adquisición de vivienda usada.</w:t>
      </w:r>
      <w:r w:rsidRPr="00E00F13">
        <w:rPr>
          <w:rFonts w:ascii="Arial" w:eastAsia="Times New Roman" w:hAnsi="Arial" w:cs="Arial"/>
          <w:sz w:val="24"/>
          <w:szCs w:val="24"/>
          <w:vertAlign w:val="superscript"/>
          <w:lang w:val="es-ES" w:eastAsia="es-ES_tradnl"/>
        </w:rPr>
        <w:footnoteReference w:id="10"/>
      </w:r>
      <w:r w:rsidRPr="00E00F13">
        <w:rPr>
          <w:rFonts w:ascii="Arial" w:eastAsia="Times New Roman" w:hAnsi="Arial" w:cs="Arial"/>
          <w:sz w:val="24"/>
          <w:szCs w:val="24"/>
          <w:lang w:val="es-ES" w:eastAsia="es-ES_tradnl"/>
        </w:rPr>
        <w:t xml:space="preserve"> </w:t>
      </w:r>
    </w:p>
    <w:p w14:paraId="79839DC4" w14:textId="77777777" w:rsidR="00230F92" w:rsidRPr="00E00F13" w:rsidRDefault="00230F92" w:rsidP="0038391E">
      <w:pPr>
        <w:spacing w:after="0" w:line="360" w:lineRule="auto"/>
        <w:jc w:val="both"/>
        <w:rPr>
          <w:rFonts w:ascii="Arial" w:eastAsia="Times New Roman" w:hAnsi="Arial" w:cs="Arial"/>
          <w:sz w:val="24"/>
          <w:szCs w:val="24"/>
          <w:lang w:val="es-ES" w:eastAsia="es-ES_tradnl"/>
        </w:rPr>
      </w:pPr>
    </w:p>
    <w:p w14:paraId="2CC6914E" w14:textId="37B84C1B" w:rsidR="0092665C" w:rsidRDefault="0092665C" w:rsidP="0038391E">
      <w:p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 xml:space="preserve">La gestión integral de </w:t>
      </w:r>
      <w:r w:rsidR="00230F92" w:rsidRPr="00E00F13">
        <w:rPr>
          <w:rFonts w:ascii="Arial" w:eastAsia="Times New Roman" w:hAnsi="Arial" w:cs="Arial"/>
          <w:sz w:val="24"/>
          <w:szCs w:val="24"/>
          <w:lang w:val="es-ES" w:eastAsia="es-ES_tradnl"/>
        </w:rPr>
        <w:t>residuos</w:t>
      </w:r>
      <w:r w:rsidRPr="00E00F13">
        <w:rPr>
          <w:rFonts w:ascii="Arial" w:eastAsia="Times New Roman" w:hAnsi="Arial" w:cs="Arial"/>
          <w:sz w:val="24"/>
          <w:szCs w:val="24"/>
          <w:lang w:val="es-ES" w:eastAsia="es-ES_tradnl"/>
        </w:rPr>
        <w:t xml:space="preserve"> incluye</w:t>
      </w:r>
      <w:r w:rsidR="00C56DE2" w:rsidRPr="00E00F13">
        <w:rPr>
          <w:rFonts w:ascii="Arial" w:eastAsia="Times New Roman" w:hAnsi="Arial" w:cs="Arial"/>
          <w:sz w:val="24"/>
          <w:szCs w:val="24"/>
          <w:lang w:val="es-ES" w:eastAsia="es-ES_tradnl"/>
        </w:rPr>
        <w:t>,</w:t>
      </w:r>
      <w:r w:rsidRPr="00E00F13">
        <w:rPr>
          <w:rFonts w:ascii="Arial" w:eastAsia="Times New Roman" w:hAnsi="Arial" w:cs="Arial"/>
          <w:sz w:val="24"/>
          <w:szCs w:val="24"/>
          <w:lang w:val="es-ES" w:eastAsia="es-ES_tradnl"/>
        </w:rPr>
        <w:t xml:space="preserve"> por ejemplo, la gestión de aguas residuales</w:t>
      </w:r>
      <w:r w:rsidR="00230F92" w:rsidRPr="00E00F13">
        <w:rPr>
          <w:rFonts w:ascii="Arial" w:eastAsia="Times New Roman" w:hAnsi="Arial" w:cs="Arial"/>
          <w:sz w:val="24"/>
          <w:szCs w:val="24"/>
          <w:lang w:val="es-ES" w:eastAsia="es-ES_tradnl"/>
        </w:rPr>
        <w:t>. Esto supera</w:t>
      </w:r>
      <w:r w:rsidRPr="00E00F13">
        <w:rPr>
          <w:rFonts w:ascii="Arial" w:eastAsia="Times New Roman" w:hAnsi="Arial" w:cs="Arial"/>
          <w:sz w:val="24"/>
          <w:szCs w:val="24"/>
          <w:lang w:val="es-ES" w:eastAsia="es-ES_tradnl"/>
        </w:rPr>
        <w:t xml:space="preserve"> las limitaciones para el uso de biosólidos generados en sistemas municipales de tratamiento de aguas</w:t>
      </w:r>
      <w:r w:rsidR="00230F92" w:rsidRPr="00E00F13">
        <w:rPr>
          <w:rFonts w:ascii="Arial" w:eastAsia="Times New Roman" w:hAnsi="Arial" w:cs="Arial"/>
          <w:sz w:val="24"/>
          <w:szCs w:val="24"/>
          <w:lang w:val="es-ES" w:eastAsia="es-ES_tradnl"/>
        </w:rPr>
        <w:t xml:space="preserve"> y</w:t>
      </w:r>
      <w:r w:rsidRPr="00E00F13">
        <w:rPr>
          <w:rFonts w:ascii="Arial" w:eastAsia="Times New Roman" w:hAnsi="Arial" w:cs="Arial"/>
          <w:sz w:val="24"/>
          <w:szCs w:val="24"/>
          <w:lang w:val="es-ES" w:eastAsia="es-ES_tradnl"/>
        </w:rPr>
        <w:t xml:space="preserve"> </w:t>
      </w:r>
      <w:r w:rsidR="00230F92" w:rsidRPr="00E00F13">
        <w:rPr>
          <w:rFonts w:ascii="Arial" w:eastAsia="Times New Roman" w:hAnsi="Arial" w:cs="Arial"/>
          <w:sz w:val="24"/>
          <w:szCs w:val="24"/>
          <w:lang w:val="es-ES" w:eastAsia="es-ES_tradnl"/>
        </w:rPr>
        <w:t>fomenta</w:t>
      </w:r>
      <w:r w:rsidRPr="00E00F13">
        <w:rPr>
          <w:rFonts w:ascii="Arial" w:eastAsia="Times New Roman" w:hAnsi="Arial" w:cs="Arial"/>
          <w:sz w:val="24"/>
          <w:szCs w:val="24"/>
          <w:lang w:val="es-ES" w:eastAsia="es-ES_tradnl"/>
        </w:rPr>
        <w:t xml:space="preserve"> su uso para sustituir gradualmente los insumos químicos en la recuperación, restauración y mejoramiento de suelos degradados. Bajo esta lógica</w:t>
      </w:r>
      <w:r w:rsidR="00230F92" w:rsidRPr="00E00F13">
        <w:rPr>
          <w:rFonts w:ascii="Arial" w:eastAsia="Times New Roman" w:hAnsi="Arial" w:cs="Arial"/>
          <w:sz w:val="24"/>
          <w:szCs w:val="24"/>
          <w:lang w:val="es-ES" w:eastAsia="es-ES_tradnl"/>
        </w:rPr>
        <w:t>,</w:t>
      </w:r>
      <w:r w:rsidRPr="00E00F13">
        <w:rPr>
          <w:rFonts w:ascii="Arial" w:eastAsia="Times New Roman" w:hAnsi="Arial" w:cs="Arial"/>
          <w:sz w:val="24"/>
          <w:szCs w:val="24"/>
          <w:lang w:val="es-ES" w:eastAsia="es-ES_tradnl"/>
        </w:rPr>
        <w:t xml:space="preserve"> no s</w:t>
      </w:r>
      <w:r w:rsidR="00230F92" w:rsidRPr="00E00F13">
        <w:rPr>
          <w:rFonts w:ascii="Arial" w:eastAsia="Times New Roman" w:hAnsi="Arial" w:cs="Arial"/>
          <w:sz w:val="24"/>
          <w:szCs w:val="24"/>
          <w:lang w:val="es-ES" w:eastAsia="es-ES_tradnl"/>
        </w:rPr>
        <w:t>o</w:t>
      </w:r>
      <w:r w:rsidRPr="00E00F13">
        <w:rPr>
          <w:rFonts w:ascii="Arial" w:eastAsia="Times New Roman" w:hAnsi="Arial" w:cs="Arial"/>
          <w:sz w:val="24"/>
          <w:szCs w:val="24"/>
          <w:lang w:val="es-ES" w:eastAsia="es-ES_tradnl"/>
        </w:rPr>
        <w:t xml:space="preserve">lo se trata el agua </w:t>
      </w:r>
      <w:r w:rsidR="00230F92" w:rsidRPr="00E00F13">
        <w:rPr>
          <w:rFonts w:ascii="Arial" w:eastAsia="Times New Roman" w:hAnsi="Arial" w:cs="Arial"/>
          <w:sz w:val="24"/>
          <w:szCs w:val="24"/>
          <w:lang w:val="es-ES" w:eastAsia="es-ES_tradnl"/>
        </w:rPr>
        <w:t>para</w:t>
      </w:r>
      <w:r w:rsidRPr="00E00F13">
        <w:rPr>
          <w:rFonts w:ascii="Arial" w:eastAsia="Times New Roman" w:hAnsi="Arial" w:cs="Arial"/>
          <w:sz w:val="24"/>
          <w:szCs w:val="24"/>
          <w:lang w:val="es-ES" w:eastAsia="es-ES_tradnl"/>
        </w:rPr>
        <w:t xml:space="preserve"> cumplir con objetivos mínimos de calidad </w:t>
      </w:r>
      <w:r w:rsidR="00230F92" w:rsidRPr="00E00F13">
        <w:rPr>
          <w:rFonts w:ascii="Arial" w:eastAsia="Times New Roman" w:hAnsi="Arial" w:cs="Arial"/>
          <w:sz w:val="24"/>
          <w:szCs w:val="24"/>
          <w:lang w:val="es-ES" w:eastAsia="es-ES_tradnl"/>
        </w:rPr>
        <w:t>–</w:t>
      </w:r>
      <w:r w:rsidRPr="00E00F13">
        <w:rPr>
          <w:rFonts w:ascii="Arial" w:eastAsia="Times New Roman" w:hAnsi="Arial" w:cs="Arial"/>
          <w:sz w:val="24"/>
          <w:szCs w:val="24"/>
          <w:lang w:val="es-ES" w:eastAsia="es-ES_tradnl"/>
        </w:rPr>
        <w:t>como se venía haciendo</w:t>
      </w:r>
      <w:r w:rsidR="00230F92" w:rsidRPr="00E00F13">
        <w:rPr>
          <w:rFonts w:ascii="Arial" w:eastAsia="Times New Roman" w:hAnsi="Arial" w:cs="Arial"/>
          <w:sz w:val="24"/>
          <w:szCs w:val="24"/>
          <w:lang w:val="es-ES" w:eastAsia="es-ES_tradnl"/>
        </w:rPr>
        <w:t>–</w:t>
      </w:r>
      <w:r w:rsidRPr="00E00F13">
        <w:rPr>
          <w:rFonts w:ascii="Arial" w:eastAsia="Times New Roman" w:hAnsi="Arial" w:cs="Arial"/>
          <w:sz w:val="24"/>
          <w:szCs w:val="24"/>
          <w:lang w:val="es-ES" w:eastAsia="es-ES_tradnl"/>
        </w:rPr>
        <w:t>, sino también con el fin de que los productos resultantes de este proceso sean utilizados en actividades agrícolas, en la restauración de suelos, como insumo para fertilizantes, entre otros, en lugar de su disposición como residuo</w:t>
      </w:r>
      <w:r w:rsidR="00E87EC1" w:rsidRPr="00E00F13">
        <w:rPr>
          <w:rFonts w:ascii="Arial" w:eastAsia="Times New Roman" w:hAnsi="Arial" w:cs="Arial"/>
          <w:sz w:val="24"/>
          <w:szCs w:val="24"/>
          <w:lang w:val="es-ES" w:eastAsia="es-ES_tradnl"/>
        </w:rPr>
        <w:t xml:space="preserve"> (MVCT. Decreto 0774 de 2025).</w:t>
      </w:r>
      <w:r w:rsidRPr="00E00F13">
        <w:rPr>
          <w:rFonts w:ascii="Arial" w:eastAsia="Times New Roman" w:hAnsi="Arial" w:cs="Arial"/>
          <w:sz w:val="24"/>
          <w:szCs w:val="24"/>
          <w:vertAlign w:val="superscript"/>
          <w:lang w:val="es-ES" w:eastAsia="es-ES_tradnl"/>
        </w:rPr>
        <w:footnoteReference w:id="11"/>
      </w:r>
    </w:p>
    <w:p w14:paraId="4017A5E2" w14:textId="77777777" w:rsidR="00894805" w:rsidRDefault="00894805" w:rsidP="0038391E">
      <w:pPr>
        <w:spacing w:after="0" w:line="360" w:lineRule="auto"/>
        <w:jc w:val="both"/>
        <w:rPr>
          <w:rFonts w:ascii="Arial" w:eastAsia="Times New Roman" w:hAnsi="Arial" w:cs="Arial"/>
          <w:sz w:val="24"/>
          <w:szCs w:val="24"/>
          <w:lang w:val="es-ES" w:eastAsia="es-ES_tradnl"/>
        </w:rPr>
      </w:pPr>
    </w:p>
    <w:p w14:paraId="67D548E0" w14:textId="5E80B4FF" w:rsidR="00894805" w:rsidRPr="00E00F13" w:rsidRDefault="00894805" w:rsidP="0038391E">
      <w:pPr>
        <w:spacing w:after="0" w:line="360" w:lineRule="auto"/>
        <w:jc w:val="both"/>
        <w:rPr>
          <w:rFonts w:ascii="Arial" w:eastAsia="Times New Roman" w:hAnsi="Arial" w:cs="Arial"/>
          <w:sz w:val="24"/>
          <w:szCs w:val="24"/>
          <w:lang w:val="es-ES" w:eastAsia="es-ES_tradnl"/>
        </w:rPr>
      </w:pPr>
      <w:r w:rsidRPr="00894805">
        <w:rPr>
          <w:rFonts w:ascii="Arial" w:eastAsia="Times New Roman" w:hAnsi="Arial" w:cs="Arial"/>
          <w:noProof/>
          <w:sz w:val="24"/>
          <w:szCs w:val="24"/>
          <w:lang w:eastAsia="es-ES_tradnl"/>
        </w:rPr>
        <w:lastRenderedPageBreak/>
        <w:drawing>
          <wp:inline distT="0" distB="0" distL="0" distR="0" wp14:anchorId="0AAC900E" wp14:editId="31A953A3">
            <wp:extent cx="5612130" cy="3156585"/>
            <wp:effectExtent l="0" t="0" r="1270" b="5715"/>
            <wp:docPr id="1105227491" name="Imagen 3">
              <a:extLst xmlns:a="http://schemas.openxmlformats.org/drawingml/2006/main">
                <a:ext uri="{FF2B5EF4-FFF2-40B4-BE49-F238E27FC236}">
                  <a16:creationId xmlns:a16="http://schemas.microsoft.com/office/drawing/2014/main" id="{D92A87F3-021E-A5A8-45E6-C9B141F9D56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a:extLst>
                        <a:ext uri="{FF2B5EF4-FFF2-40B4-BE49-F238E27FC236}">
                          <a16:creationId xmlns:a16="http://schemas.microsoft.com/office/drawing/2014/main" id="{D92A87F3-021E-A5A8-45E6-C9B141F9D567}"/>
                        </a:ext>
                      </a:extLst>
                    </pic:cNvPr>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612130" cy="3156585"/>
                    </a:xfrm>
                    <a:prstGeom prst="rect">
                      <a:avLst/>
                    </a:prstGeom>
                  </pic:spPr>
                </pic:pic>
              </a:graphicData>
            </a:graphic>
          </wp:inline>
        </w:drawing>
      </w:r>
    </w:p>
    <w:p w14:paraId="27CB1068" w14:textId="77777777" w:rsidR="00C56DE2" w:rsidRPr="00E00F13" w:rsidRDefault="00C56DE2" w:rsidP="0038391E">
      <w:pPr>
        <w:spacing w:after="0" w:line="360" w:lineRule="auto"/>
        <w:jc w:val="both"/>
        <w:rPr>
          <w:rFonts w:ascii="Arial" w:eastAsia="Times New Roman" w:hAnsi="Arial" w:cs="Arial"/>
          <w:sz w:val="24"/>
          <w:szCs w:val="24"/>
          <w:lang w:val="es-ES" w:eastAsia="es-ES_tradnl"/>
        </w:rPr>
      </w:pPr>
    </w:p>
    <w:p w14:paraId="58C11C80" w14:textId="7340B685" w:rsidR="0092665C" w:rsidRPr="00E00F13" w:rsidRDefault="00CD492D" w:rsidP="00C56DE2">
      <w:pPr>
        <w:pStyle w:val="Ttulo3"/>
        <w:rPr>
          <w:rFonts w:eastAsia="Times New Roman"/>
          <w:color w:val="auto"/>
          <w:lang w:val="es-ES" w:eastAsia="es-ES_tradnl"/>
        </w:rPr>
      </w:pPr>
      <w:r w:rsidRPr="00E00F13">
        <w:rPr>
          <w:rFonts w:eastAsia="Times New Roman"/>
          <w:color w:val="auto"/>
          <w:lang w:val="es-ES" w:eastAsia="es-ES_tradnl"/>
        </w:rPr>
        <w:tab/>
      </w:r>
      <w:bookmarkStart w:id="154" w:name="_Toc234242877"/>
      <w:r w:rsidR="00C56DE2" w:rsidRPr="00E00F13">
        <w:rPr>
          <w:rFonts w:eastAsia="Times New Roman"/>
          <w:color w:val="auto"/>
          <w:lang w:val="es-ES" w:eastAsia="es-ES_tradnl"/>
        </w:rPr>
        <w:t xml:space="preserve">El cambio de paradigma </w:t>
      </w:r>
      <w:r w:rsidR="0092665C" w:rsidRPr="00E00F13">
        <w:rPr>
          <w:rFonts w:eastAsia="Times New Roman"/>
          <w:color w:val="auto"/>
          <w:lang w:val="es-ES" w:eastAsia="es-ES_tradnl"/>
        </w:rPr>
        <w:t>desde la experiencia ambiental</w:t>
      </w:r>
      <w:bookmarkEnd w:id="154"/>
    </w:p>
    <w:p w14:paraId="036F3910" w14:textId="6A7BECAE" w:rsidR="0092665C" w:rsidRPr="00E00F13" w:rsidRDefault="0092665C" w:rsidP="00997CFF">
      <w:p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 xml:space="preserve">El cambio de paradigma se resume en la adopción de un enfoque integral que pone el ambiente en el centro de las decisiones, articulando la sostenibilidad con la equidad y la gestión del riesgo. En ese sentido, el agua es el centro del ordenamiento del territorio, se pasa de una lógica de producción, consumo y disposición final (lineal) a una de </w:t>
      </w:r>
      <w:r w:rsidR="009B336B" w:rsidRPr="00E00F13">
        <w:rPr>
          <w:rFonts w:ascii="Arial" w:eastAsia="Times New Roman" w:hAnsi="Arial" w:cs="Arial"/>
          <w:sz w:val="24"/>
          <w:szCs w:val="24"/>
          <w:lang w:val="es-ES" w:eastAsia="es-ES_tradnl"/>
        </w:rPr>
        <w:t>construcción sostenible basada en el análisis de ciclo de vida de la construcción, y en la que se incorpora la justicia ambiental y la inclusión socioeconómica</w:t>
      </w:r>
      <w:r w:rsidRPr="00E00F13">
        <w:rPr>
          <w:rFonts w:ascii="Arial" w:eastAsia="Times New Roman" w:hAnsi="Arial" w:cs="Arial"/>
          <w:sz w:val="24"/>
          <w:szCs w:val="24"/>
          <w:lang w:val="es-ES" w:eastAsia="es-ES_tradnl"/>
        </w:rPr>
        <w:t xml:space="preserve">. </w:t>
      </w:r>
    </w:p>
    <w:p w14:paraId="2F33BE68" w14:textId="77777777" w:rsidR="00997CFF" w:rsidRPr="00E00F13" w:rsidRDefault="00997CFF" w:rsidP="00997CFF">
      <w:pPr>
        <w:spacing w:after="0" w:line="360" w:lineRule="auto"/>
        <w:jc w:val="both"/>
        <w:rPr>
          <w:rFonts w:ascii="Arial" w:eastAsia="Times New Roman" w:hAnsi="Arial" w:cs="Arial"/>
          <w:sz w:val="24"/>
          <w:szCs w:val="24"/>
          <w:lang w:val="es-ES" w:eastAsia="es-ES_tradnl"/>
        </w:rPr>
      </w:pPr>
    </w:p>
    <w:p w14:paraId="5CECD721" w14:textId="11DBC1A0" w:rsidR="0092665C" w:rsidRPr="00E00F13" w:rsidRDefault="0092665C" w:rsidP="00997CFF">
      <w:p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 xml:space="preserve">Este cambio de paradigma implica pasar de políticas fragmentadas (sector ambiente vs. </w:t>
      </w:r>
      <w:r w:rsidR="001976F5" w:rsidRPr="00E00F13">
        <w:rPr>
          <w:rFonts w:ascii="Arial" w:eastAsia="Times New Roman" w:hAnsi="Arial" w:cs="Arial"/>
          <w:sz w:val="24"/>
          <w:szCs w:val="24"/>
          <w:lang w:val="es-ES" w:eastAsia="es-ES_tradnl"/>
        </w:rPr>
        <w:t>s</w:t>
      </w:r>
      <w:r w:rsidRPr="00E00F13">
        <w:rPr>
          <w:rFonts w:ascii="Arial" w:eastAsia="Times New Roman" w:hAnsi="Arial" w:cs="Arial"/>
          <w:sz w:val="24"/>
          <w:szCs w:val="24"/>
          <w:lang w:val="es-ES" w:eastAsia="es-ES_tradnl"/>
        </w:rPr>
        <w:t xml:space="preserve">ector vivienda) y homogéneas (con soluciones iguales para territorios disímiles) a un enfoque territorial, en el que se une la gestión del territorio con la gestión del ambiente y en </w:t>
      </w:r>
      <w:r w:rsidR="001976F5" w:rsidRPr="00E00F13">
        <w:rPr>
          <w:rFonts w:ascii="Arial" w:eastAsia="Times New Roman" w:hAnsi="Arial" w:cs="Arial"/>
          <w:sz w:val="24"/>
          <w:szCs w:val="24"/>
          <w:lang w:val="es-ES" w:eastAsia="es-ES_tradnl"/>
        </w:rPr>
        <w:t>el</w:t>
      </w:r>
      <w:r w:rsidRPr="00E00F13">
        <w:rPr>
          <w:rFonts w:ascii="Arial" w:eastAsia="Times New Roman" w:hAnsi="Arial" w:cs="Arial"/>
          <w:sz w:val="24"/>
          <w:szCs w:val="24"/>
          <w:lang w:val="es-ES" w:eastAsia="es-ES_tradnl"/>
        </w:rPr>
        <w:t xml:space="preserve"> que la biodiversidad, el agua y las comunidades</w:t>
      </w:r>
      <w:r w:rsidR="001976F5" w:rsidRPr="00E00F13">
        <w:rPr>
          <w:rFonts w:ascii="Arial" w:eastAsia="Times New Roman" w:hAnsi="Arial" w:cs="Arial"/>
          <w:sz w:val="24"/>
          <w:szCs w:val="24"/>
          <w:lang w:val="es-ES" w:eastAsia="es-ES_tradnl"/>
        </w:rPr>
        <w:t xml:space="preserve"> </w:t>
      </w:r>
      <w:r w:rsidRPr="00E00F13">
        <w:rPr>
          <w:rFonts w:ascii="Arial" w:eastAsia="Times New Roman" w:hAnsi="Arial" w:cs="Arial"/>
          <w:sz w:val="24"/>
          <w:szCs w:val="24"/>
          <w:lang w:val="es-ES" w:eastAsia="es-ES_tradnl"/>
        </w:rPr>
        <w:t xml:space="preserve">son el centro del desarrollo productivo y territorial. </w:t>
      </w:r>
    </w:p>
    <w:p w14:paraId="369FD0F8" w14:textId="77777777" w:rsidR="00997CFF" w:rsidRPr="00E00F13" w:rsidRDefault="00997CFF" w:rsidP="00997CFF">
      <w:pPr>
        <w:spacing w:after="0" w:line="360" w:lineRule="auto"/>
        <w:jc w:val="both"/>
        <w:rPr>
          <w:rFonts w:ascii="Arial" w:eastAsia="Times New Roman" w:hAnsi="Arial" w:cs="Arial"/>
          <w:sz w:val="24"/>
          <w:szCs w:val="24"/>
          <w:lang w:val="es-ES" w:eastAsia="es-ES_tradnl"/>
        </w:rPr>
      </w:pPr>
    </w:p>
    <w:p w14:paraId="0505EF4C" w14:textId="35C2A120" w:rsidR="0092665C" w:rsidRPr="00E00F13" w:rsidRDefault="0092665C" w:rsidP="00997CFF">
      <w:p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Este enfoque diferenciado reconoce que cada hábitat y cada territorio tiene condiciones ambientales, culturales y sociales propias</w:t>
      </w:r>
      <w:r w:rsidR="001976F5" w:rsidRPr="00E00F13">
        <w:rPr>
          <w:rFonts w:ascii="Arial" w:eastAsia="Times New Roman" w:hAnsi="Arial" w:cs="Arial"/>
          <w:sz w:val="24"/>
          <w:szCs w:val="24"/>
          <w:lang w:val="es-ES" w:eastAsia="es-ES_tradnl"/>
        </w:rPr>
        <w:t>,</w:t>
      </w:r>
      <w:r w:rsidRPr="00E00F13">
        <w:rPr>
          <w:rFonts w:ascii="Arial" w:eastAsia="Times New Roman" w:hAnsi="Arial" w:cs="Arial"/>
          <w:sz w:val="24"/>
          <w:szCs w:val="24"/>
          <w:lang w:val="es-ES" w:eastAsia="es-ES_tradnl"/>
        </w:rPr>
        <w:t xml:space="preserve"> y desde allí es que se planea su gestión. Se abandona la visión sectorial del ambiente como un insumo aislado e </w:t>
      </w:r>
      <w:r w:rsidRPr="00E00F13">
        <w:rPr>
          <w:rFonts w:ascii="Arial" w:eastAsia="Times New Roman" w:hAnsi="Arial" w:cs="Arial"/>
          <w:sz w:val="24"/>
          <w:szCs w:val="24"/>
          <w:lang w:val="es-ES" w:eastAsia="es-ES_tradnl"/>
        </w:rPr>
        <w:lastRenderedPageBreak/>
        <w:t>incluso como una traba para el desarrollo, para entenderlo como una condición estructurante del territorio, donde vivienda, agua, sostenibilidad y cultura son interdependientes.</w:t>
      </w:r>
    </w:p>
    <w:p w14:paraId="06AC0F83" w14:textId="77777777" w:rsidR="00997CFF" w:rsidRPr="00E00F13" w:rsidRDefault="00997CFF" w:rsidP="00997CFF">
      <w:pPr>
        <w:spacing w:after="0" w:line="360" w:lineRule="auto"/>
        <w:jc w:val="both"/>
        <w:rPr>
          <w:rFonts w:ascii="Arial" w:eastAsia="Times New Roman" w:hAnsi="Arial" w:cs="Arial"/>
          <w:sz w:val="24"/>
          <w:szCs w:val="24"/>
          <w:lang w:val="es-ES" w:eastAsia="es-ES_tradnl"/>
        </w:rPr>
      </w:pPr>
    </w:p>
    <w:p w14:paraId="4FB9F613" w14:textId="2C209CA0" w:rsidR="0092665C" w:rsidRPr="00E00F13" w:rsidRDefault="0092665C" w:rsidP="00997CFF">
      <w:p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Se parte del hecho de que el actual ordenamiento del territorio conduce a procesos ecológicamente insostenibles, obligando a repensar la lógica de la urbanización y los métodos de producción.</w:t>
      </w:r>
      <w:r w:rsidRPr="00E00F13">
        <w:rPr>
          <w:rFonts w:ascii="Arial" w:eastAsia="Times New Roman" w:hAnsi="Arial" w:cs="Arial"/>
          <w:sz w:val="24"/>
          <w:szCs w:val="24"/>
          <w:vertAlign w:val="superscript"/>
          <w:lang w:val="es-ES" w:eastAsia="es-ES_tradnl"/>
        </w:rPr>
        <w:footnoteReference w:id="12"/>
      </w:r>
      <w:r w:rsidRPr="00E00F13">
        <w:rPr>
          <w:rFonts w:ascii="Arial" w:eastAsia="Times New Roman" w:hAnsi="Arial" w:cs="Arial"/>
          <w:sz w:val="24"/>
          <w:szCs w:val="24"/>
          <w:lang w:val="es-ES" w:eastAsia="es-ES_tradnl"/>
        </w:rPr>
        <w:t xml:space="preserve"> </w:t>
      </w:r>
    </w:p>
    <w:p w14:paraId="7A257A7E" w14:textId="77777777" w:rsidR="00997CFF" w:rsidRPr="00E00F13" w:rsidRDefault="00997CFF" w:rsidP="00997CFF">
      <w:pPr>
        <w:spacing w:after="0" w:line="360" w:lineRule="auto"/>
        <w:jc w:val="both"/>
        <w:rPr>
          <w:rFonts w:ascii="Arial" w:eastAsia="Times New Roman" w:hAnsi="Arial" w:cs="Arial"/>
          <w:sz w:val="24"/>
          <w:szCs w:val="24"/>
          <w:lang w:val="es-ES" w:eastAsia="es-ES_tradnl"/>
        </w:rPr>
      </w:pPr>
    </w:p>
    <w:p w14:paraId="2C220AF9" w14:textId="0AD921D9" w:rsidR="0092665C" w:rsidRPr="00E00F13" w:rsidRDefault="0092665C" w:rsidP="00997CFF">
      <w:p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La lógica del cambio se basa en ordenar el territorio alrededor del agua</w:t>
      </w:r>
      <w:r w:rsidR="00303C9E" w:rsidRPr="00E00F13">
        <w:rPr>
          <w:rFonts w:ascii="Arial" w:eastAsia="Times New Roman" w:hAnsi="Arial" w:cs="Arial"/>
          <w:sz w:val="24"/>
          <w:szCs w:val="24"/>
          <w:lang w:val="es-ES" w:eastAsia="es-ES_tradnl"/>
        </w:rPr>
        <w:t xml:space="preserve"> y en </w:t>
      </w:r>
      <w:r w:rsidRPr="00E00F13">
        <w:rPr>
          <w:rFonts w:ascii="Arial" w:eastAsia="Times New Roman" w:hAnsi="Arial" w:cs="Arial"/>
          <w:sz w:val="24"/>
          <w:szCs w:val="24"/>
          <w:lang w:val="es-ES" w:eastAsia="es-ES_tradnl"/>
        </w:rPr>
        <w:t>proteger y conservar la biodiversidad y los suelos rurales</w:t>
      </w:r>
      <w:r w:rsidR="00303C9E" w:rsidRPr="00E00F13">
        <w:rPr>
          <w:rFonts w:ascii="Arial" w:eastAsia="Times New Roman" w:hAnsi="Arial" w:cs="Arial"/>
          <w:sz w:val="24"/>
          <w:szCs w:val="24"/>
          <w:lang w:val="es-ES" w:eastAsia="es-ES_tradnl"/>
        </w:rPr>
        <w:t xml:space="preserve">. De esta </w:t>
      </w:r>
      <w:r w:rsidRPr="00E00F13">
        <w:rPr>
          <w:rFonts w:ascii="Arial" w:eastAsia="Times New Roman" w:hAnsi="Arial" w:cs="Arial"/>
          <w:sz w:val="24"/>
          <w:szCs w:val="24"/>
          <w:lang w:val="es-ES" w:eastAsia="es-ES_tradnl"/>
        </w:rPr>
        <w:t>manera se promueve, por ejemplo, la compra de vivienda usada</w:t>
      </w:r>
      <w:r w:rsidR="00303C9E" w:rsidRPr="00E00F13">
        <w:rPr>
          <w:rFonts w:ascii="Arial" w:eastAsia="Times New Roman" w:hAnsi="Arial" w:cs="Arial"/>
          <w:sz w:val="24"/>
          <w:szCs w:val="24"/>
          <w:lang w:val="es-ES" w:eastAsia="es-ES_tradnl"/>
        </w:rPr>
        <w:t>,</w:t>
      </w:r>
      <w:r w:rsidRPr="00E00F13">
        <w:rPr>
          <w:rFonts w:ascii="Arial" w:eastAsia="Times New Roman" w:hAnsi="Arial" w:cs="Arial"/>
          <w:sz w:val="24"/>
          <w:szCs w:val="24"/>
          <w:lang w:val="es-ES" w:eastAsia="es-ES_tradnl"/>
        </w:rPr>
        <w:t xml:space="preserve"> aprovechando el tejido urbano existente para satisfacer las necesidades de vivienda y concentrando la población en zonas que ya cuentan con infraestructura y servicios públicos. As</w:t>
      </w:r>
      <w:r w:rsidR="00303C9E" w:rsidRPr="00E00F13">
        <w:rPr>
          <w:rFonts w:ascii="Arial" w:eastAsia="Times New Roman" w:hAnsi="Arial" w:cs="Arial"/>
          <w:sz w:val="24"/>
          <w:szCs w:val="24"/>
          <w:lang w:val="es-ES" w:eastAsia="es-ES_tradnl"/>
        </w:rPr>
        <w:t>i</w:t>
      </w:r>
      <w:r w:rsidRPr="00E00F13">
        <w:rPr>
          <w:rFonts w:ascii="Arial" w:eastAsia="Times New Roman" w:hAnsi="Arial" w:cs="Arial"/>
          <w:sz w:val="24"/>
          <w:szCs w:val="24"/>
          <w:lang w:val="es-ES" w:eastAsia="es-ES_tradnl"/>
        </w:rPr>
        <w:t xml:space="preserve">mismo, se evita la expansión urbana sobre áreas de expansión que pudieran ser utilizadas tradicionalmente con fines rurales, y cuyo crecimiento </w:t>
      </w:r>
      <w:r w:rsidR="00303C9E" w:rsidRPr="00E00F13">
        <w:rPr>
          <w:rFonts w:ascii="Arial" w:eastAsia="Times New Roman" w:hAnsi="Arial" w:cs="Arial"/>
          <w:sz w:val="24"/>
          <w:szCs w:val="24"/>
          <w:lang w:val="es-ES" w:eastAsia="es-ES_tradnl"/>
        </w:rPr>
        <w:t>podría</w:t>
      </w:r>
      <w:r w:rsidRPr="00E00F13">
        <w:rPr>
          <w:rFonts w:ascii="Arial" w:eastAsia="Times New Roman" w:hAnsi="Arial" w:cs="Arial"/>
          <w:sz w:val="24"/>
          <w:szCs w:val="24"/>
          <w:lang w:val="es-ES" w:eastAsia="es-ES_tradnl"/>
        </w:rPr>
        <w:t xml:space="preserve"> presionar el cambio de uso de ecosistemas.  El fomento de programas que se concentraban en la vivienda nueva generó un aumento del suelo urbano y un cambio de uso del suelo que significó la pérdida de servicios ecosistémicos</w:t>
      </w:r>
      <w:r w:rsidR="0097221E" w:rsidRPr="00E00F13">
        <w:rPr>
          <w:rFonts w:ascii="Arial" w:eastAsia="Times New Roman" w:hAnsi="Arial" w:cs="Arial"/>
          <w:sz w:val="24"/>
          <w:szCs w:val="24"/>
          <w:lang w:val="es-ES" w:eastAsia="es-ES_tradnl"/>
        </w:rPr>
        <w:t>.</w:t>
      </w:r>
      <w:r w:rsidRPr="00E00F13">
        <w:rPr>
          <w:rFonts w:ascii="Arial" w:eastAsia="Times New Roman" w:hAnsi="Arial" w:cs="Arial"/>
          <w:sz w:val="24"/>
          <w:szCs w:val="24"/>
          <w:vertAlign w:val="superscript"/>
          <w:lang w:val="es-ES" w:eastAsia="es-ES_tradnl"/>
        </w:rPr>
        <w:footnoteReference w:id="13"/>
      </w:r>
    </w:p>
    <w:p w14:paraId="46F42EDD" w14:textId="77777777" w:rsidR="00997CFF" w:rsidRPr="00E00F13" w:rsidRDefault="00997CFF" w:rsidP="00997CFF">
      <w:pPr>
        <w:spacing w:after="0" w:line="360" w:lineRule="auto"/>
        <w:jc w:val="both"/>
        <w:rPr>
          <w:rFonts w:ascii="Arial" w:eastAsia="Times New Roman" w:hAnsi="Arial" w:cs="Arial"/>
          <w:sz w:val="24"/>
          <w:szCs w:val="24"/>
          <w:lang w:val="es-ES" w:eastAsia="es-ES_tradnl"/>
        </w:rPr>
      </w:pPr>
    </w:p>
    <w:p w14:paraId="310BC4A8" w14:textId="634C00CE" w:rsidR="0092665C" w:rsidRPr="00E00F13" w:rsidRDefault="0092665C" w:rsidP="00997CFF">
      <w:p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Bajo este nuevo paradigma se priorizan las intervenciones en suelo previamente habilitado y se diseñan intervenciones que incorporen el ciclo de vida, internalicen los costos ambientales y sociales y reduzcan externalidades</w:t>
      </w:r>
      <w:r w:rsidR="00997CFF" w:rsidRPr="00E00F13">
        <w:rPr>
          <w:rFonts w:ascii="Arial" w:eastAsia="Times New Roman" w:hAnsi="Arial" w:cs="Arial"/>
          <w:sz w:val="24"/>
          <w:szCs w:val="24"/>
          <w:lang w:val="es-ES" w:eastAsia="es-ES_tradnl"/>
        </w:rPr>
        <w:t>,</w:t>
      </w:r>
      <w:r w:rsidRPr="00E00F13">
        <w:rPr>
          <w:rFonts w:ascii="Arial" w:eastAsia="Times New Roman" w:hAnsi="Arial" w:cs="Arial"/>
          <w:sz w:val="24"/>
          <w:szCs w:val="24"/>
          <w:lang w:val="es-ES" w:eastAsia="es-ES_tradnl"/>
        </w:rPr>
        <w:t xml:space="preserve"> como la contaminación hídrica y la generación de residuos. Esto incluye articular la adaptación al cambio climático, la gestión del riesgo, la economía circular y la participación comunitaria, promoviendo soluciones ajustadas a la vulnerabilidad real y a las dinámicas locales.</w:t>
      </w:r>
    </w:p>
    <w:p w14:paraId="2B841E79" w14:textId="20B6B47F" w:rsidR="0092665C" w:rsidRPr="00E00F13" w:rsidRDefault="0092665C" w:rsidP="00997CFF">
      <w:p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En conjunto, este nuevo enfoque busca mejorar la salud pública, fortalecer la resiliencia y distribuir las inversiones de manera más justa, reconociendo el hábitat como un ecosistema integral y vivo.</w:t>
      </w:r>
    </w:p>
    <w:p w14:paraId="1C37284F" w14:textId="77777777" w:rsidR="00997CFF" w:rsidRPr="00E00F13" w:rsidRDefault="00997CFF" w:rsidP="00997CFF">
      <w:pPr>
        <w:spacing w:after="0" w:line="360" w:lineRule="auto"/>
        <w:jc w:val="both"/>
        <w:rPr>
          <w:rFonts w:ascii="Arial" w:eastAsia="Times New Roman" w:hAnsi="Arial" w:cs="Arial"/>
          <w:b/>
          <w:bCs/>
          <w:sz w:val="24"/>
          <w:szCs w:val="24"/>
          <w:lang w:val="es-ES" w:eastAsia="es-ES_tradnl"/>
        </w:rPr>
      </w:pPr>
    </w:p>
    <w:p w14:paraId="3225BEFD" w14:textId="4E7E4376" w:rsidR="00C56DE2" w:rsidRPr="00E00F13" w:rsidRDefault="0092665C" w:rsidP="00997CFF">
      <w:p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lastRenderedPageBreak/>
        <w:t>El paradigma se amplía para incorporar la justicia ambiental, buscando la distribución equitativa de los beneficios de la conservación y la reducción de las desigualdades generadas por la contaminación. Esto implica, por ejemplo, la inclusión e inserción socioeconómica de poblaciones vulnerables, como los recicladores de oficio, en el marco del servicio público de aseo y la economía circular (Programa Basura Cero).</w:t>
      </w:r>
    </w:p>
    <w:p w14:paraId="5CEED930" w14:textId="77777777" w:rsidR="00997CFF" w:rsidRPr="00E00F13" w:rsidRDefault="00997CFF" w:rsidP="00997CFF">
      <w:pPr>
        <w:spacing w:after="0" w:line="360" w:lineRule="auto"/>
        <w:jc w:val="both"/>
        <w:rPr>
          <w:rFonts w:ascii="Arial" w:eastAsia="Times New Roman" w:hAnsi="Arial" w:cs="Arial"/>
          <w:sz w:val="24"/>
          <w:szCs w:val="24"/>
          <w:lang w:val="es-ES" w:eastAsia="es-ES_tradnl"/>
        </w:rPr>
      </w:pPr>
    </w:p>
    <w:p w14:paraId="12266F66" w14:textId="14A70B66" w:rsidR="00C56DE2" w:rsidRPr="00E00F13" w:rsidRDefault="00CD492D" w:rsidP="00C56DE2">
      <w:pPr>
        <w:pStyle w:val="Ttulo3"/>
        <w:rPr>
          <w:rFonts w:eastAsia="Times New Roman"/>
          <w:color w:val="auto"/>
          <w:lang w:val="es-ES" w:eastAsia="es-ES_tradnl"/>
        </w:rPr>
      </w:pPr>
      <w:r w:rsidRPr="00E00F13">
        <w:rPr>
          <w:rFonts w:eastAsia="Times New Roman"/>
          <w:color w:val="auto"/>
          <w:lang w:val="es-ES" w:eastAsia="es-ES_tradnl"/>
        </w:rPr>
        <w:tab/>
      </w:r>
      <w:bookmarkStart w:id="155" w:name="_Toc234242878"/>
      <w:r w:rsidR="00C56DE2" w:rsidRPr="00E00F13">
        <w:rPr>
          <w:rFonts w:eastAsia="Times New Roman"/>
          <w:color w:val="auto"/>
          <w:lang w:val="es-ES" w:eastAsia="es-ES_tradnl"/>
        </w:rPr>
        <w:t>El enfoque ambiental en los nuevos programas y esquema normativo del MVCT</w:t>
      </w:r>
      <w:bookmarkEnd w:id="155"/>
    </w:p>
    <w:p w14:paraId="1592DD1C" w14:textId="5264DB27" w:rsidR="0092665C" w:rsidRPr="00E00F13" w:rsidRDefault="0092665C" w:rsidP="006D7057">
      <w:p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El ordenamiento territorial alrededor del agua y la gestión integral del hábitat permea la mayoría de los programas y las reglamentaciones que ha venido adoptando el Ministerio de manera reciente, como se muestra a continuación:</w:t>
      </w:r>
    </w:p>
    <w:p w14:paraId="02383ACB" w14:textId="77777777" w:rsidR="006D7057" w:rsidRPr="00E00F13" w:rsidRDefault="006D7057" w:rsidP="006D7057">
      <w:pPr>
        <w:spacing w:after="0" w:line="360" w:lineRule="auto"/>
        <w:jc w:val="both"/>
        <w:rPr>
          <w:rFonts w:ascii="Arial" w:eastAsia="Times New Roman" w:hAnsi="Arial" w:cs="Arial"/>
          <w:sz w:val="24"/>
          <w:szCs w:val="24"/>
          <w:lang w:val="es-ES" w:eastAsia="es-ES_tradnl"/>
        </w:rPr>
      </w:pPr>
    </w:p>
    <w:p w14:paraId="7CAB52C8" w14:textId="2597C201" w:rsidR="00902401" w:rsidRPr="00E00F13" w:rsidRDefault="00902401" w:rsidP="006D7057">
      <w:pPr>
        <w:spacing w:after="0" w:line="360" w:lineRule="auto"/>
        <w:jc w:val="both"/>
        <w:rPr>
          <w:rFonts w:ascii="Arial" w:eastAsia="Times New Roman" w:hAnsi="Arial" w:cs="Arial"/>
          <w:b/>
          <w:bCs/>
          <w:sz w:val="24"/>
          <w:szCs w:val="24"/>
          <w:lang w:val="es-ES" w:eastAsia="es-ES_tradnl"/>
        </w:rPr>
      </w:pPr>
      <w:r w:rsidRPr="00E00F13">
        <w:rPr>
          <w:rFonts w:ascii="Arial" w:eastAsia="Times New Roman" w:hAnsi="Arial" w:cs="Arial"/>
          <w:b/>
          <w:bCs/>
          <w:sz w:val="24"/>
          <w:szCs w:val="24"/>
          <w:lang w:val="es-ES" w:eastAsia="es-ES_tradnl"/>
        </w:rPr>
        <w:t>Tabla. El enfoque ambiental en los nuevos programas y decretos</w:t>
      </w:r>
    </w:p>
    <w:tbl>
      <w:tblPr>
        <w:tblStyle w:val="Tablaconcuadrcula4-nfasis11"/>
        <w:tblW w:w="8541" w:type="dxa"/>
        <w:tblLook w:val="04A0" w:firstRow="1" w:lastRow="0" w:firstColumn="1" w:lastColumn="0" w:noHBand="0" w:noVBand="1"/>
      </w:tblPr>
      <w:tblGrid>
        <w:gridCol w:w="1555"/>
        <w:gridCol w:w="6986"/>
      </w:tblGrid>
      <w:tr w:rsidR="0092665C" w:rsidRPr="00E00F13" w14:paraId="6DB47D7B" w14:textId="77777777" w:rsidTr="0092665C">
        <w:trPr>
          <w:cnfStyle w:val="100000000000" w:firstRow="1" w:lastRow="0" w:firstColumn="0" w:lastColumn="0" w:oddVBand="0" w:evenVBand="0" w:oddHBand="0" w:evenHBand="0" w:firstRowFirstColumn="0" w:firstRowLastColumn="0" w:lastRowFirstColumn="0" w:lastRowLastColumn="0"/>
          <w:trHeight w:val="680"/>
        </w:trPr>
        <w:tc>
          <w:tcPr>
            <w:cnfStyle w:val="001000000000" w:firstRow="0" w:lastRow="0" w:firstColumn="1" w:lastColumn="0" w:oddVBand="0" w:evenVBand="0" w:oddHBand="0" w:evenHBand="0" w:firstRowFirstColumn="0" w:firstRowLastColumn="0" w:lastRowFirstColumn="0" w:lastRowLastColumn="0"/>
            <w:tcW w:w="1555" w:type="dxa"/>
            <w:noWrap/>
            <w:hideMark/>
          </w:tcPr>
          <w:p w14:paraId="3E393EE8" w14:textId="77777777" w:rsidR="0092665C" w:rsidRPr="00E00F13" w:rsidRDefault="0092665C" w:rsidP="0092665C">
            <w:pPr>
              <w:jc w:val="center"/>
              <w:rPr>
                <w:rFonts w:ascii="Aptos Narrow" w:eastAsia="Times New Roman" w:hAnsi="Aptos Narrow" w:cs="Times New Roman"/>
                <w:color w:val="auto"/>
                <w:sz w:val="20"/>
                <w:szCs w:val="20"/>
                <w:lang w:val="es-ES" w:eastAsia="es-ES_tradnl"/>
              </w:rPr>
            </w:pPr>
            <w:r w:rsidRPr="00E00F13">
              <w:rPr>
                <w:rFonts w:ascii="Aptos Narrow" w:eastAsia="Times New Roman" w:hAnsi="Aptos Narrow" w:cs="Times New Roman"/>
                <w:color w:val="auto"/>
                <w:sz w:val="20"/>
                <w:szCs w:val="20"/>
                <w:lang w:val="es-ES" w:eastAsia="es-ES_tradnl"/>
              </w:rPr>
              <w:t>NOMBRE</w:t>
            </w:r>
          </w:p>
        </w:tc>
        <w:tc>
          <w:tcPr>
            <w:tcW w:w="6986" w:type="dxa"/>
            <w:noWrap/>
            <w:hideMark/>
          </w:tcPr>
          <w:p w14:paraId="352F2BEA" w14:textId="77777777" w:rsidR="0092665C" w:rsidRPr="00E00F13" w:rsidRDefault="0092665C" w:rsidP="0092665C">
            <w:pPr>
              <w:jc w:val="center"/>
              <w:cnfStyle w:val="100000000000" w:firstRow="1" w:lastRow="0" w:firstColumn="0" w:lastColumn="0" w:oddVBand="0" w:evenVBand="0" w:oddHBand="0" w:evenHBand="0" w:firstRowFirstColumn="0" w:firstRowLastColumn="0" w:lastRowFirstColumn="0" w:lastRowLastColumn="0"/>
              <w:rPr>
                <w:rFonts w:ascii="Aptos Narrow" w:eastAsia="Times New Roman" w:hAnsi="Aptos Narrow" w:cs="Times New Roman"/>
                <w:color w:val="auto"/>
                <w:sz w:val="20"/>
                <w:szCs w:val="20"/>
                <w:lang w:val="es-ES" w:eastAsia="es-ES_tradnl"/>
              </w:rPr>
            </w:pPr>
            <w:r w:rsidRPr="00E00F13">
              <w:rPr>
                <w:rFonts w:ascii="Aptos Narrow" w:eastAsia="Times New Roman" w:hAnsi="Aptos Narrow" w:cs="Times New Roman"/>
                <w:color w:val="auto"/>
                <w:sz w:val="20"/>
                <w:szCs w:val="20"/>
                <w:lang w:val="es-ES" w:eastAsia="es-ES_tradnl"/>
              </w:rPr>
              <w:t>TEMA RELACIONADO CON EL ORDENAMIENTO TERRITORIAL ALREDEDOR DEL AGUA Y LA GESTIÓN INTEGRAL DEL HÁBITAT</w:t>
            </w:r>
          </w:p>
        </w:tc>
      </w:tr>
      <w:tr w:rsidR="0092665C" w:rsidRPr="00E00F13" w14:paraId="269C1F8B" w14:textId="77777777" w:rsidTr="0092665C">
        <w:trPr>
          <w:cnfStyle w:val="000000100000" w:firstRow="0" w:lastRow="0" w:firstColumn="0" w:lastColumn="0" w:oddVBand="0" w:evenVBand="0" w:oddHBand="1" w:evenHBand="0" w:firstRowFirstColumn="0" w:firstRowLastColumn="0" w:lastRowFirstColumn="0" w:lastRowLastColumn="0"/>
          <w:trHeight w:val="433"/>
        </w:trPr>
        <w:tc>
          <w:tcPr>
            <w:cnfStyle w:val="001000000000" w:firstRow="0" w:lastRow="0" w:firstColumn="1" w:lastColumn="0" w:oddVBand="0" w:evenVBand="0" w:oddHBand="0" w:evenHBand="0" w:firstRowFirstColumn="0" w:firstRowLastColumn="0" w:lastRowFirstColumn="0" w:lastRowLastColumn="0"/>
            <w:tcW w:w="1555" w:type="dxa"/>
            <w:vMerge w:val="restart"/>
            <w:hideMark/>
          </w:tcPr>
          <w:p w14:paraId="403ED0D8" w14:textId="77777777" w:rsidR="0092665C" w:rsidRPr="00E00F13" w:rsidRDefault="0092665C" w:rsidP="0092665C">
            <w:pPr>
              <w:rPr>
                <w:rFonts w:ascii="Aptos Narrow" w:eastAsia="Times New Roman" w:hAnsi="Aptos Narrow" w:cs="Times New Roman"/>
                <w:sz w:val="20"/>
                <w:szCs w:val="20"/>
                <w:lang w:val="es-ES" w:eastAsia="es-ES_tradnl"/>
              </w:rPr>
            </w:pPr>
            <w:r w:rsidRPr="00E00F13">
              <w:rPr>
                <w:rFonts w:ascii="Aptos Narrow" w:eastAsia="Times New Roman" w:hAnsi="Aptos Narrow" w:cs="Times New Roman"/>
                <w:sz w:val="20"/>
                <w:szCs w:val="20"/>
                <w:lang w:val="es-ES" w:eastAsia="es-ES_tradnl"/>
              </w:rPr>
              <w:t xml:space="preserve">Decreto 1470 de 2024 – Barrios y Veredas de Paz </w:t>
            </w:r>
          </w:p>
          <w:p w14:paraId="44DEBD5E" w14:textId="77777777" w:rsidR="0092665C" w:rsidRPr="00E00F13" w:rsidRDefault="0092665C" w:rsidP="0092665C">
            <w:pPr>
              <w:rPr>
                <w:rFonts w:ascii="Aptos Narrow" w:eastAsia="Times New Roman" w:hAnsi="Aptos Narrow" w:cs="Times New Roman"/>
                <w:sz w:val="20"/>
                <w:szCs w:val="20"/>
                <w:lang w:val="es-ES" w:eastAsia="es-ES_tradnl"/>
              </w:rPr>
            </w:pPr>
            <w:r w:rsidRPr="00E00F13">
              <w:rPr>
                <w:rFonts w:ascii="Aptos Narrow" w:eastAsia="Times New Roman" w:hAnsi="Aptos Narrow" w:cs="Times New Roman"/>
                <w:sz w:val="20"/>
                <w:szCs w:val="20"/>
                <w:lang w:val="es-ES" w:eastAsia="es-ES_tradnl"/>
              </w:rPr>
              <w:t xml:space="preserve"> </w:t>
            </w:r>
          </w:p>
          <w:p w14:paraId="3013A341" w14:textId="77777777" w:rsidR="0092665C" w:rsidRPr="00E00F13" w:rsidRDefault="0092665C" w:rsidP="0092665C">
            <w:pPr>
              <w:rPr>
                <w:rFonts w:ascii="Aptos Narrow" w:eastAsia="Times New Roman" w:hAnsi="Aptos Narrow" w:cs="Times New Roman"/>
                <w:sz w:val="20"/>
                <w:szCs w:val="20"/>
                <w:lang w:val="es-ES" w:eastAsia="es-ES_tradnl"/>
              </w:rPr>
            </w:pPr>
          </w:p>
        </w:tc>
        <w:tc>
          <w:tcPr>
            <w:tcW w:w="6986" w:type="dxa"/>
            <w:hideMark/>
          </w:tcPr>
          <w:p w14:paraId="7C6AC1DC" w14:textId="77777777" w:rsidR="0092665C" w:rsidRPr="00E00F13" w:rsidRDefault="0092665C" w:rsidP="0092665C">
            <w:pPr>
              <w:jc w:val="both"/>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18"/>
                <w:szCs w:val="18"/>
                <w:lang w:val="es-ES" w:eastAsia="es-ES_tradnl"/>
              </w:rPr>
            </w:pPr>
            <w:r w:rsidRPr="00E00F13">
              <w:rPr>
                <w:rFonts w:ascii="Aptos Narrow" w:eastAsia="Times New Roman" w:hAnsi="Aptos Narrow" w:cs="Times New Roman"/>
                <w:sz w:val="18"/>
                <w:szCs w:val="18"/>
                <w:lang w:val="es-ES" w:eastAsia="es-ES_tradnl"/>
              </w:rPr>
              <w:t>Un objetivo fundamental del programa es la recuperación de la calidad ambiental y urbanística de los asentamientos. El PGIH requiere identificar los elementos ambientales o de la estructura ecológica principal y los requisitos para adelantar procesos de rehabilitación, recuperación o restauración ecológica y paisajística.</w:t>
            </w:r>
          </w:p>
        </w:tc>
      </w:tr>
      <w:tr w:rsidR="0092665C" w:rsidRPr="00E00F13" w14:paraId="18170532" w14:textId="77777777">
        <w:trPr>
          <w:trHeight w:val="71"/>
        </w:trPr>
        <w:tc>
          <w:tcPr>
            <w:cnfStyle w:val="001000000000" w:firstRow="0" w:lastRow="0" w:firstColumn="1" w:lastColumn="0" w:oddVBand="0" w:evenVBand="0" w:oddHBand="0" w:evenHBand="0" w:firstRowFirstColumn="0" w:firstRowLastColumn="0" w:lastRowFirstColumn="0" w:lastRowLastColumn="0"/>
            <w:tcW w:w="1555" w:type="dxa"/>
            <w:vMerge/>
            <w:hideMark/>
          </w:tcPr>
          <w:p w14:paraId="4E72CC78" w14:textId="77777777" w:rsidR="0092665C" w:rsidRPr="00E00F13" w:rsidRDefault="0092665C" w:rsidP="0092665C">
            <w:pPr>
              <w:rPr>
                <w:rFonts w:ascii="Aptos Narrow" w:eastAsia="Times New Roman" w:hAnsi="Aptos Narrow" w:cs="Times New Roman"/>
                <w:sz w:val="20"/>
                <w:szCs w:val="20"/>
                <w:lang w:val="es-ES" w:eastAsia="es-ES_tradnl"/>
              </w:rPr>
            </w:pPr>
          </w:p>
        </w:tc>
        <w:tc>
          <w:tcPr>
            <w:tcW w:w="6986" w:type="dxa"/>
            <w:hideMark/>
          </w:tcPr>
          <w:p w14:paraId="251B018B" w14:textId="77777777" w:rsidR="0092665C" w:rsidRPr="00E00F13" w:rsidRDefault="0092665C" w:rsidP="0092665C">
            <w:pPr>
              <w:jc w:val="both"/>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18"/>
                <w:szCs w:val="18"/>
                <w:lang w:val="es-ES" w:eastAsia="es-ES_tradnl"/>
              </w:rPr>
            </w:pPr>
            <w:r w:rsidRPr="00E00F13">
              <w:rPr>
                <w:rFonts w:ascii="Aptos Narrow" w:eastAsia="Times New Roman" w:hAnsi="Aptos Narrow" w:cs="Times New Roman"/>
                <w:sz w:val="18"/>
                <w:szCs w:val="18"/>
                <w:lang w:val="es-ES" w:eastAsia="es-ES_tradnl"/>
              </w:rPr>
              <w:t>El programa busca soluciones integrales a las deficiencias habitacionales, articulando acciones en materia de abastecimiento de agua potable, saneamiento básico, gestión de residuos. En el proceso de legalización urbanística, el acto administrativo debe definir las gestiones para garantizar la prestación de servicios públicos domiciliarios (acueducto, alcantarillado, energía y aseo) o la implementación de un esquema diferencial en áreas de difícil gestión.</w:t>
            </w:r>
          </w:p>
        </w:tc>
      </w:tr>
      <w:tr w:rsidR="0092665C" w:rsidRPr="00E00F13" w14:paraId="20EBF3A8" w14:textId="77777777" w:rsidTr="0092665C">
        <w:trPr>
          <w:cnfStyle w:val="000000100000" w:firstRow="0" w:lastRow="0" w:firstColumn="0" w:lastColumn="0" w:oddVBand="0" w:evenVBand="0" w:oddHBand="1" w:evenHBand="0" w:firstRowFirstColumn="0" w:firstRowLastColumn="0" w:lastRowFirstColumn="0" w:lastRowLastColumn="0"/>
          <w:trHeight w:val="71"/>
        </w:trPr>
        <w:tc>
          <w:tcPr>
            <w:cnfStyle w:val="001000000000" w:firstRow="0" w:lastRow="0" w:firstColumn="1" w:lastColumn="0" w:oddVBand="0" w:evenVBand="0" w:oddHBand="0" w:evenHBand="0" w:firstRowFirstColumn="0" w:firstRowLastColumn="0" w:lastRowFirstColumn="0" w:lastRowLastColumn="0"/>
            <w:tcW w:w="1555" w:type="dxa"/>
            <w:vMerge/>
            <w:hideMark/>
          </w:tcPr>
          <w:p w14:paraId="462EFE85" w14:textId="77777777" w:rsidR="0092665C" w:rsidRPr="00E00F13" w:rsidRDefault="0092665C" w:rsidP="0092665C">
            <w:pPr>
              <w:rPr>
                <w:rFonts w:ascii="Aptos Narrow" w:eastAsia="Times New Roman" w:hAnsi="Aptos Narrow" w:cs="Times New Roman"/>
                <w:sz w:val="20"/>
                <w:szCs w:val="20"/>
                <w:lang w:val="es-ES" w:eastAsia="es-ES_tradnl"/>
              </w:rPr>
            </w:pPr>
          </w:p>
        </w:tc>
        <w:tc>
          <w:tcPr>
            <w:tcW w:w="6986" w:type="dxa"/>
            <w:hideMark/>
          </w:tcPr>
          <w:p w14:paraId="13E7065E" w14:textId="77777777" w:rsidR="0092665C" w:rsidRPr="00E00F13" w:rsidRDefault="0092665C" w:rsidP="0092665C">
            <w:pPr>
              <w:jc w:val="both"/>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18"/>
                <w:szCs w:val="18"/>
                <w:lang w:val="es-ES" w:eastAsia="es-ES_tradnl"/>
              </w:rPr>
            </w:pPr>
            <w:r w:rsidRPr="00E00F13">
              <w:rPr>
                <w:rFonts w:ascii="Aptos Narrow" w:eastAsia="Times New Roman" w:hAnsi="Aptos Narrow" w:cs="Times New Roman"/>
                <w:sz w:val="18"/>
                <w:szCs w:val="18"/>
                <w:lang w:val="es-ES" w:eastAsia="es-ES_tradnl"/>
              </w:rPr>
              <w:t xml:space="preserve">Las intervenciones contempladas deben adoptar medidas activas y pasivas para permitir el uso eficiente del agua y la energía, esto es, identificando las particularidades de cada territorio y planeando su desarrollo con base en esto. </w:t>
            </w:r>
          </w:p>
        </w:tc>
      </w:tr>
      <w:tr w:rsidR="0092665C" w:rsidRPr="00E00F13" w14:paraId="3E5176FB" w14:textId="77777777">
        <w:trPr>
          <w:trHeight w:val="46"/>
        </w:trPr>
        <w:tc>
          <w:tcPr>
            <w:cnfStyle w:val="001000000000" w:firstRow="0" w:lastRow="0" w:firstColumn="1" w:lastColumn="0" w:oddVBand="0" w:evenVBand="0" w:oddHBand="0" w:evenHBand="0" w:firstRowFirstColumn="0" w:firstRowLastColumn="0" w:lastRowFirstColumn="0" w:lastRowLastColumn="0"/>
            <w:tcW w:w="1555" w:type="dxa"/>
            <w:vMerge/>
            <w:hideMark/>
          </w:tcPr>
          <w:p w14:paraId="16EF2DA7" w14:textId="77777777" w:rsidR="0092665C" w:rsidRPr="00E00F13" w:rsidRDefault="0092665C" w:rsidP="0092665C">
            <w:pPr>
              <w:rPr>
                <w:rFonts w:ascii="Aptos Narrow" w:eastAsia="Times New Roman" w:hAnsi="Aptos Narrow" w:cs="Times New Roman"/>
                <w:sz w:val="20"/>
                <w:szCs w:val="20"/>
                <w:lang w:val="es-ES" w:eastAsia="es-ES_tradnl"/>
              </w:rPr>
            </w:pPr>
          </w:p>
        </w:tc>
        <w:tc>
          <w:tcPr>
            <w:tcW w:w="6986" w:type="dxa"/>
            <w:hideMark/>
          </w:tcPr>
          <w:p w14:paraId="70B72D4B" w14:textId="77777777" w:rsidR="0092665C" w:rsidRPr="00E00F13" w:rsidRDefault="0092665C" w:rsidP="0092665C">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18"/>
                <w:szCs w:val="18"/>
                <w:lang w:val="es-ES" w:eastAsia="es-ES_tradnl"/>
              </w:rPr>
            </w:pPr>
            <w:r w:rsidRPr="00E00F13">
              <w:rPr>
                <w:rFonts w:ascii="Aptos Narrow" w:eastAsia="Times New Roman" w:hAnsi="Aptos Narrow" w:cs="Times New Roman"/>
                <w:sz w:val="18"/>
                <w:szCs w:val="18"/>
                <w:lang w:val="es-ES" w:eastAsia="es-ES_tradnl"/>
              </w:rPr>
              <w:t xml:space="preserve">Se promoverán mecanismos para la economía popular y el turismo sostenible basados en un modelo de economía circular. Si bien esto puede estar relacionado con otros elementos, su abordaje integral y el aprovechamiento de los servicios ecosistémicos asociado al turismo como atractivo que potencie el desarrollo del </w:t>
            </w:r>
            <w:proofErr w:type="gramStart"/>
            <w:r w:rsidRPr="00E00F13">
              <w:rPr>
                <w:rFonts w:ascii="Aptos Narrow" w:eastAsia="Times New Roman" w:hAnsi="Aptos Narrow" w:cs="Times New Roman"/>
                <w:sz w:val="18"/>
                <w:szCs w:val="18"/>
                <w:lang w:val="es-ES" w:eastAsia="es-ES_tradnl"/>
              </w:rPr>
              <w:t>territorio,</w:t>
            </w:r>
            <w:proofErr w:type="gramEnd"/>
            <w:r w:rsidRPr="00E00F13">
              <w:rPr>
                <w:rFonts w:ascii="Aptos Narrow" w:eastAsia="Times New Roman" w:hAnsi="Aptos Narrow" w:cs="Times New Roman"/>
                <w:sz w:val="18"/>
                <w:szCs w:val="18"/>
                <w:lang w:val="es-ES" w:eastAsia="es-ES_tradnl"/>
              </w:rPr>
              <w:t xml:space="preserve"> amerita su abordaje como parte de este elemento.</w:t>
            </w:r>
          </w:p>
        </w:tc>
      </w:tr>
      <w:tr w:rsidR="0092665C" w:rsidRPr="00E00F13" w14:paraId="352AD893" w14:textId="77777777" w:rsidTr="0092665C">
        <w:trPr>
          <w:cnfStyle w:val="000000100000" w:firstRow="0" w:lastRow="0" w:firstColumn="0" w:lastColumn="0" w:oddVBand="0" w:evenVBand="0" w:oddHBand="1" w:evenHBand="0" w:firstRowFirstColumn="0" w:firstRowLastColumn="0" w:lastRowFirstColumn="0" w:lastRowLastColumn="0"/>
          <w:trHeight w:val="1275"/>
        </w:trPr>
        <w:tc>
          <w:tcPr>
            <w:cnfStyle w:val="001000000000" w:firstRow="0" w:lastRow="0" w:firstColumn="1" w:lastColumn="0" w:oddVBand="0" w:evenVBand="0" w:oddHBand="0" w:evenHBand="0" w:firstRowFirstColumn="0" w:firstRowLastColumn="0" w:lastRowFirstColumn="0" w:lastRowLastColumn="0"/>
            <w:tcW w:w="1555" w:type="dxa"/>
            <w:vMerge/>
            <w:hideMark/>
          </w:tcPr>
          <w:p w14:paraId="564E41D7" w14:textId="77777777" w:rsidR="0092665C" w:rsidRPr="00E00F13" w:rsidRDefault="0092665C" w:rsidP="0092665C">
            <w:pPr>
              <w:rPr>
                <w:rFonts w:ascii="Aptos Narrow" w:eastAsia="Times New Roman" w:hAnsi="Aptos Narrow" w:cs="Times New Roman"/>
                <w:sz w:val="20"/>
                <w:szCs w:val="20"/>
                <w:lang w:val="es-ES" w:eastAsia="es-ES_tradnl"/>
              </w:rPr>
            </w:pPr>
          </w:p>
        </w:tc>
        <w:tc>
          <w:tcPr>
            <w:tcW w:w="6986" w:type="dxa"/>
            <w:hideMark/>
          </w:tcPr>
          <w:p w14:paraId="1340B9F6" w14:textId="57239172" w:rsidR="0092665C" w:rsidRPr="00E00F13" w:rsidRDefault="0092665C" w:rsidP="0092665C">
            <w:pPr>
              <w:jc w:val="both"/>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18"/>
                <w:szCs w:val="18"/>
                <w:lang w:val="es-ES" w:eastAsia="es-ES_tradnl"/>
              </w:rPr>
            </w:pPr>
            <w:r w:rsidRPr="00E00F13">
              <w:rPr>
                <w:rFonts w:ascii="Aptos Narrow" w:eastAsia="Times New Roman" w:hAnsi="Aptos Narrow" w:cs="Times New Roman"/>
                <w:sz w:val="18"/>
                <w:szCs w:val="18"/>
                <w:lang w:val="es-ES" w:eastAsia="es-ES_tradnl"/>
              </w:rPr>
              <w:t xml:space="preserve">El programa Barrios de Paz </w:t>
            </w:r>
            <w:r w:rsidR="006D7057" w:rsidRPr="00E00F13">
              <w:rPr>
                <w:rFonts w:ascii="Aptos Narrow" w:eastAsia="Times New Roman" w:hAnsi="Aptos Narrow" w:cs="Times New Roman"/>
                <w:sz w:val="18"/>
                <w:szCs w:val="18"/>
                <w:lang w:val="es-ES" w:eastAsia="es-ES_tradnl"/>
              </w:rPr>
              <w:t>n</w:t>
            </w:r>
            <w:r w:rsidRPr="00E00F13">
              <w:rPr>
                <w:rFonts w:ascii="Aptos Narrow" w:eastAsia="Times New Roman" w:hAnsi="Aptos Narrow" w:cs="Times New Roman"/>
                <w:sz w:val="18"/>
                <w:szCs w:val="18"/>
                <w:lang w:val="es-ES" w:eastAsia="es-ES_tradnl"/>
              </w:rPr>
              <w:t>o podrá estructurarse ni ejecutarse sobre suelos de protección o zonas en las que se presenten riesgos no mitigables.</w:t>
            </w:r>
            <w:r w:rsidR="006D7057" w:rsidRPr="00E00F13">
              <w:rPr>
                <w:rFonts w:ascii="Aptos Narrow" w:eastAsia="Times New Roman" w:hAnsi="Aptos Narrow" w:cs="Times New Roman"/>
                <w:sz w:val="18"/>
                <w:szCs w:val="18"/>
                <w:lang w:val="es-ES" w:eastAsia="es-ES_tradnl"/>
              </w:rPr>
              <w:t xml:space="preserve"> </w:t>
            </w:r>
            <w:r w:rsidRPr="00E00F13">
              <w:rPr>
                <w:rFonts w:ascii="Aptos Narrow" w:eastAsia="Times New Roman" w:hAnsi="Aptos Narrow" w:cs="Times New Roman"/>
                <w:sz w:val="18"/>
                <w:szCs w:val="18"/>
                <w:lang w:val="es-ES" w:eastAsia="es-ES_tradnl"/>
              </w:rPr>
              <w:t xml:space="preserve">Un objetivo clave es garantizar que las intervenciones adopten medidas tendientes al manejo del riesgo mitigable. El PGIH debe incluir la incorporación de la gestión del riesgo en los proyectos viabilizados. Uno de los requisitos para la Legalización y Estudios de Riesgo es la identificación de los elementos de las zonas de </w:t>
            </w:r>
            <w:proofErr w:type="gramStart"/>
            <w:r w:rsidRPr="00E00F13">
              <w:rPr>
                <w:rFonts w:ascii="Aptos Narrow" w:eastAsia="Times New Roman" w:hAnsi="Aptos Narrow" w:cs="Times New Roman"/>
                <w:sz w:val="18"/>
                <w:szCs w:val="18"/>
                <w:lang w:val="es-ES" w:eastAsia="es-ES_tradnl"/>
              </w:rPr>
              <w:t>protección ambiental y lineamientos ambientales</w:t>
            </w:r>
            <w:proofErr w:type="gramEnd"/>
            <w:r w:rsidRPr="00E00F13">
              <w:rPr>
                <w:rFonts w:ascii="Aptos Narrow" w:eastAsia="Times New Roman" w:hAnsi="Aptos Narrow" w:cs="Times New Roman"/>
                <w:sz w:val="18"/>
                <w:szCs w:val="18"/>
                <w:lang w:val="es-ES" w:eastAsia="es-ES_tradnl"/>
              </w:rPr>
              <w:t xml:space="preserve">, y la identificación de las </w:t>
            </w:r>
            <w:r w:rsidR="006D7057" w:rsidRPr="00E00F13">
              <w:rPr>
                <w:rFonts w:ascii="Aptos Narrow" w:eastAsia="Times New Roman" w:hAnsi="Aptos Narrow" w:cs="Times New Roman"/>
                <w:sz w:val="18"/>
                <w:szCs w:val="18"/>
                <w:lang w:val="es-ES" w:eastAsia="es-ES_tradnl"/>
              </w:rPr>
              <w:t>z</w:t>
            </w:r>
            <w:r w:rsidRPr="00E00F13">
              <w:rPr>
                <w:rFonts w:ascii="Aptos Narrow" w:eastAsia="Times New Roman" w:hAnsi="Aptos Narrow" w:cs="Times New Roman"/>
                <w:sz w:val="18"/>
                <w:szCs w:val="18"/>
                <w:lang w:val="es-ES" w:eastAsia="es-ES_tradnl"/>
              </w:rPr>
              <w:t xml:space="preserve">onas de amenaza y riesgo, requiriendo el estudio de amenaza, riesgo y/o vulnerabilidad por inundación y remoción en masa (incluidos riesgos tecnológicos), con el nivel de detalle necesario para categorizar el riesgo y determinar las medidas de mitigación. </w:t>
            </w:r>
          </w:p>
        </w:tc>
      </w:tr>
      <w:tr w:rsidR="0092665C" w:rsidRPr="00E00F13" w14:paraId="34222B83" w14:textId="77777777">
        <w:trPr>
          <w:trHeight w:val="890"/>
        </w:trPr>
        <w:tc>
          <w:tcPr>
            <w:cnfStyle w:val="001000000000" w:firstRow="0" w:lastRow="0" w:firstColumn="1" w:lastColumn="0" w:oddVBand="0" w:evenVBand="0" w:oddHBand="0" w:evenHBand="0" w:firstRowFirstColumn="0" w:firstRowLastColumn="0" w:lastRowFirstColumn="0" w:lastRowLastColumn="0"/>
            <w:tcW w:w="1555" w:type="dxa"/>
            <w:hideMark/>
          </w:tcPr>
          <w:p w14:paraId="47C360CF" w14:textId="77777777" w:rsidR="0092665C" w:rsidRPr="00E00F13" w:rsidRDefault="0092665C" w:rsidP="0092665C">
            <w:pPr>
              <w:jc w:val="center"/>
              <w:rPr>
                <w:rFonts w:ascii="Aptos Narrow" w:eastAsia="Times New Roman" w:hAnsi="Aptos Narrow" w:cs="Times New Roman"/>
                <w:sz w:val="20"/>
                <w:szCs w:val="20"/>
                <w:lang w:val="es-ES" w:eastAsia="es-ES_tradnl"/>
              </w:rPr>
            </w:pPr>
            <w:r w:rsidRPr="00E00F13">
              <w:rPr>
                <w:rFonts w:ascii="Aptos Narrow" w:eastAsia="Times New Roman" w:hAnsi="Aptos Narrow" w:cs="Times New Roman"/>
                <w:sz w:val="20"/>
                <w:szCs w:val="20"/>
                <w:lang w:val="es-ES" w:eastAsia="es-ES_tradnl"/>
              </w:rPr>
              <w:t>Decreto 0584 de 2025 -Vivienda Nueva en SAI</w:t>
            </w:r>
          </w:p>
        </w:tc>
        <w:tc>
          <w:tcPr>
            <w:tcW w:w="6986" w:type="dxa"/>
            <w:hideMark/>
          </w:tcPr>
          <w:p w14:paraId="2D65C423" w14:textId="57B36BF0" w:rsidR="0092665C" w:rsidRPr="00E00F13" w:rsidRDefault="0092665C" w:rsidP="0092665C">
            <w:pPr>
              <w:jc w:val="both"/>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18"/>
                <w:szCs w:val="18"/>
                <w:lang w:val="es-ES" w:eastAsia="es-ES_tradnl"/>
              </w:rPr>
            </w:pPr>
            <w:r w:rsidRPr="00E00F13">
              <w:rPr>
                <w:rFonts w:ascii="Aptos Narrow" w:eastAsia="Times New Roman" w:hAnsi="Aptos Narrow" w:cs="Times New Roman"/>
                <w:sz w:val="18"/>
                <w:szCs w:val="18"/>
                <w:lang w:val="es-ES" w:eastAsia="es-ES_tradnl"/>
              </w:rPr>
              <w:t xml:space="preserve">Reconoce las condiciones diferenciales para atender programas de vivienda nueva en San Andrés y Providencia (materialidad, recursos y participación de organizaciones sociales). La modificación tarifaria surge en respuesta a la orden séptima de la Corte Constitucional en el fallo T-333 de 2022, la cual exigió convocar a la comunidad raizal para adelantar un proceso de consulta sobre la reconstrucción integral de las islas de Providencia y Santa Catalina. En el </w:t>
            </w:r>
            <w:r w:rsidRPr="00E00F13">
              <w:rPr>
                <w:rFonts w:ascii="Aptos Narrow" w:eastAsia="Times New Roman" w:hAnsi="Aptos Narrow" w:cs="Times New Roman"/>
                <w:sz w:val="18"/>
                <w:szCs w:val="18"/>
                <w:lang w:val="es-ES" w:eastAsia="es-ES_tradnl"/>
              </w:rPr>
              <w:lastRenderedPageBreak/>
              <w:t>marco de estas mesas se realizó un estudio técnico que analizó los determinantes técnicos, sociales y ambientales. Dicho estudio</w:t>
            </w:r>
            <w:r w:rsidR="006D7057" w:rsidRPr="00E00F13">
              <w:rPr>
                <w:rFonts w:ascii="Aptos Narrow" w:eastAsia="Times New Roman" w:hAnsi="Aptos Narrow" w:cs="Times New Roman"/>
                <w:sz w:val="18"/>
                <w:szCs w:val="18"/>
                <w:lang w:val="es-ES" w:eastAsia="es-ES_tradnl"/>
              </w:rPr>
              <w:t xml:space="preserve"> </w:t>
            </w:r>
            <w:r w:rsidRPr="00E00F13">
              <w:rPr>
                <w:rFonts w:ascii="Aptos Narrow" w:eastAsia="Times New Roman" w:hAnsi="Aptos Narrow" w:cs="Times New Roman"/>
                <w:sz w:val="18"/>
                <w:szCs w:val="18"/>
                <w:lang w:val="es-ES" w:eastAsia="es-ES_tradnl"/>
              </w:rPr>
              <w:t xml:space="preserve">incluyó la tipología de vivienda étnico cultural y las especificaciones técnicas especiales y arrojó como resultado un nuevo valor para la VIS </w:t>
            </w:r>
            <w:r w:rsidR="006D7057" w:rsidRPr="00E00F13">
              <w:rPr>
                <w:rFonts w:ascii="Aptos Narrow" w:eastAsia="Times New Roman" w:hAnsi="Aptos Narrow" w:cs="Times New Roman"/>
                <w:sz w:val="18"/>
                <w:szCs w:val="18"/>
                <w:lang w:val="es-ES" w:eastAsia="es-ES_tradnl"/>
              </w:rPr>
              <w:t>r</w:t>
            </w:r>
            <w:r w:rsidRPr="00E00F13">
              <w:rPr>
                <w:rFonts w:ascii="Aptos Narrow" w:eastAsia="Times New Roman" w:hAnsi="Aptos Narrow" w:cs="Times New Roman"/>
                <w:sz w:val="18"/>
                <w:szCs w:val="18"/>
                <w:lang w:val="es-ES" w:eastAsia="es-ES_tradnl"/>
              </w:rPr>
              <w:t xml:space="preserve">ural. Los objetivos de la consulta con la comunidad raizal incluyeron la necesidad de </w:t>
            </w:r>
            <w:r w:rsidR="006D7057" w:rsidRPr="00E00F13">
              <w:rPr>
                <w:rFonts w:ascii="Aptos Narrow" w:eastAsia="Times New Roman" w:hAnsi="Aptos Narrow" w:cs="Times New Roman"/>
                <w:sz w:val="18"/>
                <w:szCs w:val="18"/>
                <w:lang w:val="es-ES" w:eastAsia="es-ES_tradnl"/>
              </w:rPr>
              <w:t>«</w:t>
            </w:r>
            <w:r w:rsidRPr="00E00F13">
              <w:rPr>
                <w:rFonts w:ascii="Aptos Narrow" w:eastAsia="Times New Roman" w:hAnsi="Aptos Narrow" w:cs="Times New Roman"/>
                <w:sz w:val="18"/>
                <w:szCs w:val="18"/>
                <w:lang w:val="es-ES" w:eastAsia="es-ES_tradnl"/>
              </w:rPr>
              <w:t>reconstruir mejor</w:t>
            </w:r>
            <w:r w:rsidR="006D7057" w:rsidRPr="00E00F13">
              <w:rPr>
                <w:rFonts w:ascii="Aptos Narrow" w:eastAsia="Times New Roman" w:hAnsi="Aptos Narrow" w:cs="Times New Roman"/>
                <w:sz w:val="18"/>
                <w:szCs w:val="18"/>
                <w:lang w:val="es-ES" w:eastAsia="es-ES_tradnl"/>
              </w:rPr>
              <w:t>»</w:t>
            </w:r>
            <w:r w:rsidRPr="00E00F13">
              <w:rPr>
                <w:rFonts w:ascii="Aptos Narrow" w:eastAsia="Times New Roman" w:hAnsi="Aptos Narrow" w:cs="Times New Roman"/>
                <w:sz w:val="18"/>
                <w:szCs w:val="18"/>
                <w:lang w:val="es-ES" w:eastAsia="es-ES_tradnl"/>
              </w:rPr>
              <w:t xml:space="preserve"> y fortalecer la resiliencia de las islas de Providencia y Santa Catalina ante los efectos futuros del cambio climático con base en las particularidades ambientales de las islas.</w:t>
            </w:r>
          </w:p>
        </w:tc>
      </w:tr>
      <w:tr w:rsidR="0092665C" w:rsidRPr="00E00F13" w14:paraId="393B80F4" w14:textId="77777777" w:rsidTr="0092665C">
        <w:trPr>
          <w:cnfStyle w:val="000000100000" w:firstRow="0" w:lastRow="0" w:firstColumn="0" w:lastColumn="0" w:oddVBand="0" w:evenVBand="0" w:oddHBand="1" w:evenHBand="0" w:firstRowFirstColumn="0" w:firstRowLastColumn="0" w:lastRowFirstColumn="0" w:lastRowLastColumn="0"/>
          <w:trHeight w:val="365"/>
        </w:trPr>
        <w:tc>
          <w:tcPr>
            <w:cnfStyle w:val="001000000000" w:firstRow="0" w:lastRow="0" w:firstColumn="1" w:lastColumn="0" w:oddVBand="0" w:evenVBand="0" w:oddHBand="0" w:evenHBand="0" w:firstRowFirstColumn="0" w:firstRowLastColumn="0" w:lastRowFirstColumn="0" w:lastRowLastColumn="0"/>
            <w:tcW w:w="1555" w:type="dxa"/>
            <w:hideMark/>
          </w:tcPr>
          <w:p w14:paraId="1DEC0E4B" w14:textId="2472C184" w:rsidR="0092665C" w:rsidRPr="00E00F13" w:rsidRDefault="0092665C" w:rsidP="0092665C">
            <w:pPr>
              <w:rPr>
                <w:rFonts w:ascii="Aptos Narrow" w:eastAsia="Times New Roman" w:hAnsi="Aptos Narrow" w:cs="Times New Roman"/>
                <w:sz w:val="20"/>
                <w:szCs w:val="20"/>
                <w:lang w:val="es-ES" w:eastAsia="es-ES_tradnl"/>
              </w:rPr>
            </w:pPr>
            <w:r w:rsidRPr="00E00F13">
              <w:rPr>
                <w:rFonts w:ascii="Aptos Narrow" w:eastAsia="Times New Roman" w:hAnsi="Aptos Narrow" w:cs="Times New Roman"/>
                <w:sz w:val="20"/>
                <w:szCs w:val="20"/>
                <w:lang w:val="es-ES" w:eastAsia="es-ES_tradnl"/>
              </w:rPr>
              <w:lastRenderedPageBreak/>
              <w:t>Decreto 0585 de 2025</w:t>
            </w:r>
            <w:r w:rsidR="006D7057" w:rsidRPr="00E00F13">
              <w:rPr>
                <w:rFonts w:ascii="Aptos Narrow" w:eastAsia="Times New Roman" w:hAnsi="Aptos Narrow" w:cs="Times New Roman"/>
                <w:sz w:val="20"/>
                <w:szCs w:val="20"/>
                <w:lang w:val="es-ES" w:eastAsia="es-ES_tradnl"/>
              </w:rPr>
              <w:t xml:space="preserve"> </w:t>
            </w:r>
            <w:r w:rsidRPr="00E00F13">
              <w:rPr>
                <w:rFonts w:ascii="Aptos Narrow" w:eastAsia="Times New Roman" w:hAnsi="Aptos Narrow" w:cs="Times New Roman"/>
                <w:sz w:val="20"/>
                <w:szCs w:val="20"/>
                <w:lang w:val="es-ES" w:eastAsia="es-ES_tradnl"/>
              </w:rPr>
              <w:t>- Vivienda nueva por autogestión comunitaria y delegada</w:t>
            </w:r>
          </w:p>
        </w:tc>
        <w:tc>
          <w:tcPr>
            <w:tcW w:w="6986" w:type="dxa"/>
            <w:hideMark/>
          </w:tcPr>
          <w:p w14:paraId="03ED1496" w14:textId="5AAF789D" w:rsidR="0092665C" w:rsidRPr="00E00F13" w:rsidRDefault="0092665C" w:rsidP="0092665C">
            <w:pPr>
              <w:jc w:val="both"/>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18"/>
                <w:szCs w:val="18"/>
                <w:lang w:val="es-ES" w:eastAsia="es-ES_tradnl"/>
              </w:rPr>
            </w:pPr>
            <w:r w:rsidRPr="00E00F13">
              <w:rPr>
                <w:rFonts w:ascii="Aptos Narrow" w:eastAsia="Times New Roman" w:hAnsi="Aptos Narrow" w:cs="Times New Roman"/>
                <w:sz w:val="18"/>
                <w:szCs w:val="18"/>
                <w:lang w:val="es-ES" w:eastAsia="es-ES_tradnl"/>
              </w:rPr>
              <w:t xml:space="preserve">El concepto mismo de Autogestión de Vivienda establece que el desarrollo de proyectos (urbanos </w:t>
            </w:r>
            <w:r w:rsidR="006D7057" w:rsidRPr="00E00F13">
              <w:rPr>
                <w:rFonts w:ascii="Aptos Narrow" w:eastAsia="Times New Roman" w:hAnsi="Aptos Narrow" w:cs="Times New Roman"/>
                <w:sz w:val="18"/>
                <w:szCs w:val="18"/>
                <w:lang w:val="es-ES" w:eastAsia="es-ES_tradnl"/>
              </w:rPr>
              <w:t>y</w:t>
            </w:r>
            <w:r w:rsidRPr="00E00F13">
              <w:rPr>
                <w:rFonts w:ascii="Aptos Narrow" w:eastAsia="Times New Roman" w:hAnsi="Aptos Narrow" w:cs="Times New Roman"/>
                <w:sz w:val="18"/>
                <w:szCs w:val="18"/>
                <w:lang w:val="es-ES" w:eastAsia="es-ES_tradnl"/>
              </w:rPr>
              <w:t xml:space="preserve"> rurales) debe realizarse </w:t>
            </w:r>
            <w:r w:rsidR="006D7057" w:rsidRPr="00E00F13">
              <w:rPr>
                <w:rFonts w:ascii="Aptos Narrow" w:eastAsia="Times New Roman" w:hAnsi="Aptos Narrow" w:cs="Times New Roman"/>
                <w:sz w:val="18"/>
                <w:szCs w:val="18"/>
                <w:lang w:val="es-ES" w:eastAsia="es-ES_tradnl"/>
              </w:rPr>
              <w:t>«</w:t>
            </w:r>
            <w:r w:rsidRPr="00E00F13">
              <w:rPr>
                <w:rFonts w:ascii="Aptos Narrow" w:eastAsia="Times New Roman" w:hAnsi="Aptos Narrow" w:cs="Times New Roman"/>
                <w:sz w:val="18"/>
                <w:szCs w:val="18"/>
                <w:lang w:val="es-ES" w:eastAsia="es-ES_tradnl"/>
              </w:rPr>
              <w:t>dando cumplimiento a las normas aplicables</w:t>
            </w:r>
            <w:r w:rsidR="006D7057" w:rsidRPr="00E00F13">
              <w:rPr>
                <w:rFonts w:ascii="Aptos Narrow" w:eastAsia="Times New Roman" w:hAnsi="Aptos Narrow" w:cs="Times New Roman"/>
                <w:sz w:val="18"/>
                <w:szCs w:val="18"/>
                <w:lang w:val="es-ES" w:eastAsia="es-ES_tradnl"/>
              </w:rPr>
              <w:t>»</w:t>
            </w:r>
            <w:r w:rsidRPr="00E00F13">
              <w:rPr>
                <w:rFonts w:ascii="Aptos Narrow" w:eastAsia="Times New Roman" w:hAnsi="Aptos Narrow" w:cs="Times New Roman"/>
                <w:sz w:val="18"/>
                <w:szCs w:val="18"/>
                <w:lang w:val="es-ES" w:eastAsia="es-ES_tradnl"/>
              </w:rPr>
              <w:t>. Esto asegura que la iniciativa comunitaria se integre dentro del marco legal territorial incluyendo la exclusión de la construcción de vivienda en áreas de importancia ambiental o en zonas de riesgo.</w:t>
            </w:r>
          </w:p>
        </w:tc>
      </w:tr>
      <w:tr w:rsidR="0092665C" w:rsidRPr="00E00F13" w14:paraId="6D5F63F7" w14:textId="77777777">
        <w:trPr>
          <w:trHeight w:val="992"/>
        </w:trPr>
        <w:tc>
          <w:tcPr>
            <w:cnfStyle w:val="001000000000" w:firstRow="0" w:lastRow="0" w:firstColumn="1" w:lastColumn="0" w:oddVBand="0" w:evenVBand="0" w:oddHBand="0" w:evenHBand="0" w:firstRowFirstColumn="0" w:firstRowLastColumn="0" w:lastRowFirstColumn="0" w:lastRowLastColumn="0"/>
            <w:tcW w:w="1555" w:type="dxa"/>
            <w:vMerge w:val="restart"/>
            <w:hideMark/>
          </w:tcPr>
          <w:p w14:paraId="3ACEEEE7" w14:textId="18B2F521" w:rsidR="0092665C" w:rsidRPr="00E00F13" w:rsidRDefault="0092665C" w:rsidP="0092665C">
            <w:pPr>
              <w:rPr>
                <w:rFonts w:ascii="Aptos Narrow" w:eastAsia="Times New Roman" w:hAnsi="Aptos Narrow" w:cs="Times New Roman"/>
                <w:sz w:val="20"/>
                <w:szCs w:val="20"/>
                <w:lang w:val="es-ES" w:eastAsia="es-ES_tradnl"/>
              </w:rPr>
            </w:pPr>
            <w:r w:rsidRPr="00E00F13">
              <w:rPr>
                <w:rFonts w:ascii="Aptos Narrow" w:eastAsia="Times New Roman" w:hAnsi="Aptos Narrow" w:cs="Times New Roman"/>
                <w:sz w:val="20"/>
                <w:szCs w:val="20"/>
                <w:lang w:val="es-ES" w:eastAsia="es-ES_tradnl"/>
              </w:rPr>
              <w:t>Decreto 0775 de julio de 2025</w:t>
            </w:r>
            <w:r w:rsidR="006D7057" w:rsidRPr="00E00F13">
              <w:rPr>
                <w:rFonts w:ascii="Aptos Narrow" w:eastAsia="Times New Roman" w:hAnsi="Aptos Narrow" w:cs="Times New Roman"/>
                <w:sz w:val="20"/>
                <w:szCs w:val="20"/>
                <w:lang w:val="es-ES" w:eastAsia="es-ES_tradnl"/>
              </w:rPr>
              <w:t xml:space="preserve"> </w:t>
            </w:r>
            <w:r w:rsidRPr="00E00F13">
              <w:rPr>
                <w:rFonts w:ascii="Aptos Narrow" w:eastAsia="Times New Roman" w:hAnsi="Aptos Narrow" w:cs="Times New Roman"/>
                <w:sz w:val="20"/>
                <w:szCs w:val="20"/>
                <w:lang w:val="es-ES" w:eastAsia="es-ES_tradnl"/>
              </w:rPr>
              <w:t>- Vivienda usada y otros</w:t>
            </w:r>
          </w:p>
          <w:p w14:paraId="2FAFDABA" w14:textId="77777777" w:rsidR="0092665C" w:rsidRPr="00E00F13" w:rsidRDefault="0092665C" w:rsidP="0092665C">
            <w:pPr>
              <w:rPr>
                <w:rFonts w:ascii="Aptos Narrow" w:eastAsia="Times New Roman" w:hAnsi="Aptos Narrow" w:cs="Times New Roman"/>
                <w:sz w:val="20"/>
                <w:szCs w:val="20"/>
                <w:lang w:val="es-ES" w:eastAsia="es-ES_tradnl"/>
              </w:rPr>
            </w:pPr>
          </w:p>
        </w:tc>
        <w:tc>
          <w:tcPr>
            <w:tcW w:w="6986" w:type="dxa"/>
            <w:hideMark/>
          </w:tcPr>
          <w:p w14:paraId="0866DE00" w14:textId="6176A637" w:rsidR="0092665C" w:rsidRPr="00E00F13" w:rsidRDefault="0092665C" w:rsidP="0092665C">
            <w:pPr>
              <w:jc w:val="both"/>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18"/>
                <w:szCs w:val="18"/>
                <w:lang w:val="es-ES" w:eastAsia="es-ES_tradnl"/>
              </w:rPr>
            </w:pPr>
            <w:r w:rsidRPr="00E00F13">
              <w:rPr>
                <w:rFonts w:ascii="Aptos Narrow" w:eastAsia="Times New Roman" w:hAnsi="Aptos Narrow" w:cs="Times New Roman"/>
                <w:sz w:val="18"/>
                <w:szCs w:val="18"/>
                <w:lang w:val="es-ES" w:eastAsia="es-ES_tradnl"/>
              </w:rPr>
              <w:t xml:space="preserve">Se promueve la compra de vivienda usada como una medida que contribuye al cumplimiento de los Objetivos de Desarrollo Sostenible (ODS) en materia de hábitat, promoviendo el aprovechamiento del tejido urbano existente para satisfacer las necesidades de vivienda y concentrando la población en zonas que ya cuentan con infraestructura y servicios públicos. Así mismo, se evita la expansión urbana sobre áreas de expansión que pudieran ser utilizadas tradicionalmente con fines rurales, y cuyo crecimiento a su vez, pueda presionar el cambio de uso de ecosistemas. El fomento de programas anteriores que se concentraban en la vivienda nueva generó un aumento de las áreas urbanizadas, cuyo cambio de uso del suelo significa la pérdida de servicios ecosistémicos. </w:t>
            </w:r>
          </w:p>
        </w:tc>
      </w:tr>
      <w:tr w:rsidR="0092665C" w:rsidRPr="00E00F13" w14:paraId="3C40E730" w14:textId="77777777" w:rsidTr="0092665C">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1555" w:type="dxa"/>
            <w:vMerge/>
            <w:hideMark/>
          </w:tcPr>
          <w:p w14:paraId="7F8ADCE2" w14:textId="77777777" w:rsidR="0092665C" w:rsidRPr="00E00F13" w:rsidRDefault="0092665C" w:rsidP="0092665C">
            <w:pPr>
              <w:rPr>
                <w:rFonts w:ascii="Aptos Narrow" w:eastAsia="Times New Roman" w:hAnsi="Aptos Narrow" w:cs="Times New Roman"/>
                <w:sz w:val="20"/>
                <w:szCs w:val="20"/>
                <w:lang w:val="es-ES" w:eastAsia="es-ES_tradnl"/>
              </w:rPr>
            </w:pPr>
          </w:p>
        </w:tc>
        <w:tc>
          <w:tcPr>
            <w:tcW w:w="6986" w:type="dxa"/>
            <w:hideMark/>
          </w:tcPr>
          <w:p w14:paraId="0D48C882" w14:textId="41D5CE66" w:rsidR="0092665C" w:rsidRPr="00E00F13" w:rsidRDefault="0092665C" w:rsidP="0092665C">
            <w:pPr>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18"/>
                <w:szCs w:val="18"/>
                <w:lang w:val="es-ES" w:eastAsia="es-ES_tradnl"/>
              </w:rPr>
            </w:pPr>
            <w:r w:rsidRPr="00E00F13">
              <w:rPr>
                <w:rFonts w:ascii="Aptos Narrow" w:eastAsia="Times New Roman" w:hAnsi="Aptos Narrow" w:cs="Times New Roman"/>
                <w:sz w:val="18"/>
                <w:szCs w:val="18"/>
                <w:lang w:val="es-ES" w:eastAsia="es-ES_tradnl"/>
              </w:rPr>
              <w:t xml:space="preserve">La modalidad de </w:t>
            </w:r>
            <w:r w:rsidR="006D7057" w:rsidRPr="00E00F13">
              <w:rPr>
                <w:rFonts w:ascii="Aptos Narrow" w:eastAsia="Times New Roman" w:hAnsi="Aptos Narrow" w:cs="Times New Roman"/>
                <w:sz w:val="18"/>
                <w:szCs w:val="18"/>
                <w:lang w:val="es-ES" w:eastAsia="es-ES_tradnl"/>
              </w:rPr>
              <w:t>m</w:t>
            </w:r>
            <w:r w:rsidRPr="00E00F13">
              <w:rPr>
                <w:rFonts w:ascii="Aptos Narrow" w:eastAsia="Times New Roman" w:hAnsi="Aptos Narrow" w:cs="Times New Roman"/>
                <w:sz w:val="18"/>
                <w:szCs w:val="18"/>
                <w:lang w:val="es-ES" w:eastAsia="es-ES_tradnl"/>
              </w:rPr>
              <w:t>ejoramiento de vivienda tiene como objeto mejorar las condiciones sanitarias satisfactorias de la vivienda, incluyendo la habilitación o instalación de redes hidráulicas y sanitarias que no s</w:t>
            </w:r>
            <w:r w:rsidR="006D7057" w:rsidRPr="00E00F13">
              <w:rPr>
                <w:rFonts w:ascii="Aptos Narrow" w:eastAsia="Times New Roman" w:hAnsi="Aptos Narrow" w:cs="Times New Roman"/>
                <w:sz w:val="18"/>
                <w:szCs w:val="18"/>
                <w:lang w:val="es-ES" w:eastAsia="es-ES_tradnl"/>
              </w:rPr>
              <w:t>o</w:t>
            </w:r>
            <w:r w:rsidRPr="00E00F13">
              <w:rPr>
                <w:rFonts w:ascii="Aptos Narrow" w:eastAsia="Times New Roman" w:hAnsi="Aptos Narrow" w:cs="Times New Roman"/>
                <w:sz w:val="18"/>
                <w:szCs w:val="18"/>
                <w:lang w:val="es-ES" w:eastAsia="es-ES_tradnl"/>
              </w:rPr>
              <w:t xml:space="preserve">lo buscan progresivamente alcanzar las condiciones de habitabilidad de la vivienda, sino que también aportan al cumplimiento de objetivos de calidad de agua en tanto la conexión a las redes de alcantarillado permiten a su vez la disposición y el tratamiento de las aguas servidas. </w:t>
            </w:r>
          </w:p>
        </w:tc>
      </w:tr>
      <w:tr w:rsidR="0092665C" w:rsidRPr="00E00F13" w14:paraId="671EF9B9" w14:textId="77777777">
        <w:trPr>
          <w:trHeight w:val="671"/>
        </w:trPr>
        <w:tc>
          <w:tcPr>
            <w:cnfStyle w:val="001000000000" w:firstRow="0" w:lastRow="0" w:firstColumn="1" w:lastColumn="0" w:oddVBand="0" w:evenVBand="0" w:oddHBand="0" w:evenHBand="0" w:firstRowFirstColumn="0" w:firstRowLastColumn="0" w:lastRowFirstColumn="0" w:lastRowLastColumn="0"/>
            <w:tcW w:w="1555" w:type="dxa"/>
            <w:vMerge/>
            <w:hideMark/>
          </w:tcPr>
          <w:p w14:paraId="20F1EC9D" w14:textId="77777777" w:rsidR="0092665C" w:rsidRPr="00E00F13" w:rsidRDefault="0092665C" w:rsidP="0092665C">
            <w:pPr>
              <w:rPr>
                <w:rFonts w:ascii="Aptos Narrow" w:eastAsia="Times New Roman" w:hAnsi="Aptos Narrow" w:cs="Times New Roman"/>
                <w:sz w:val="20"/>
                <w:szCs w:val="20"/>
                <w:lang w:val="es-ES" w:eastAsia="es-ES_tradnl"/>
              </w:rPr>
            </w:pPr>
          </w:p>
        </w:tc>
        <w:tc>
          <w:tcPr>
            <w:tcW w:w="6986" w:type="dxa"/>
            <w:hideMark/>
          </w:tcPr>
          <w:p w14:paraId="7C0F0425" w14:textId="77777777" w:rsidR="0092665C" w:rsidRPr="00E00F13" w:rsidRDefault="0092665C" w:rsidP="0092665C">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18"/>
                <w:szCs w:val="18"/>
                <w:lang w:val="es-ES" w:eastAsia="es-ES_tradnl"/>
              </w:rPr>
            </w:pPr>
            <w:r w:rsidRPr="00E00F13">
              <w:rPr>
                <w:rFonts w:ascii="Aptos Narrow" w:eastAsia="Times New Roman" w:hAnsi="Aptos Narrow" w:cs="Times New Roman"/>
                <w:sz w:val="18"/>
                <w:szCs w:val="18"/>
                <w:lang w:val="es-ES" w:eastAsia="es-ES_tradnl"/>
              </w:rPr>
              <w:t>La norma establece restricciones claras sobre la ubicación de las soluciones de vivienda para prevenir la ocupación de zonas vulnerables o ambientalmente sensibles, particularmente en las modalidades de Construcción en Sitio Propio y Mejoramiento de Vivienda.</w:t>
            </w:r>
            <w:r w:rsidRPr="00E00F13">
              <w:rPr>
                <w:rFonts w:ascii="Aptos Narrow" w:eastAsia="Times New Roman" w:hAnsi="Aptos Narrow" w:cs="Times New Roman"/>
                <w:sz w:val="18"/>
                <w:szCs w:val="18"/>
                <w:lang w:val="es-ES" w:eastAsia="es-ES_tradnl"/>
              </w:rPr>
              <w:br/>
              <w:t>Las viviendas no pueden encontrarse ubicadas en:</w:t>
            </w:r>
            <w:r w:rsidRPr="00E00F13">
              <w:rPr>
                <w:rFonts w:ascii="Aptos Narrow" w:eastAsia="Times New Roman" w:hAnsi="Aptos Narrow" w:cs="Times New Roman"/>
                <w:sz w:val="18"/>
                <w:szCs w:val="18"/>
                <w:lang w:val="es-ES" w:eastAsia="es-ES_tradnl"/>
              </w:rPr>
              <w:br/>
              <w:t>• Zonas de alto riesgo no mitigable.</w:t>
            </w:r>
            <w:r w:rsidRPr="00E00F13">
              <w:rPr>
                <w:rFonts w:ascii="Aptos Narrow" w:eastAsia="Times New Roman" w:hAnsi="Aptos Narrow" w:cs="Times New Roman"/>
                <w:sz w:val="18"/>
                <w:szCs w:val="18"/>
                <w:lang w:val="es-ES" w:eastAsia="es-ES_tradnl"/>
              </w:rPr>
              <w:br/>
              <w:t>• Zonas de protección de recursos naturales.</w:t>
            </w:r>
          </w:p>
        </w:tc>
      </w:tr>
      <w:tr w:rsidR="0092665C" w:rsidRPr="00E00F13" w14:paraId="7DF361CD" w14:textId="77777777" w:rsidTr="0092665C">
        <w:trPr>
          <w:cnfStyle w:val="000000100000" w:firstRow="0" w:lastRow="0" w:firstColumn="0" w:lastColumn="0" w:oddVBand="0" w:evenVBand="0" w:oddHBand="1" w:evenHBand="0" w:firstRowFirstColumn="0" w:firstRowLastColumn="0" w:lastRowFirstColumn="0" w:lastRowLastColumn="0"/>
          <w:trHeight w:val="951"/>
        </w:trPr>
        <w:tc>
          <w:tcPr>
            <w:cnfStyle w:val="001000000000" w:firstRow="0" w:lastRow="0" w:firstColumn="1" w:lastColumn="0" w:oddVBand="0" w:evenVBand="0" w:oddHBand="0" w:evenHBand="0" w:firstRowFirstColumn="0" w:firstRowLastColumn="0" w:lastRowFirstColumn="0" w:lastRowLastColumn="0"/>
            <w:tcW w:w="1555" w:type="dxa"/>
            <w:vMerge w:val="restart"/>
            <w:hideMark/>
          </w:tcPr>
          <w:p w14:paraId="2A5F18D5" w14:textId="77777777" w:rsidR="0092665C" w:rsidRPr="00E00F13" w:rsidRDefault="0092665C" w:rsidP="0092665C">
            <w:pPr>
              <w:rPr>
                <w:rFonts w:ascii="Aptos Narrow" w:eastAsia="Times New Roman" w:hAnsi="Aptos Narrow" w:cs="Times New Roman"/>
                <w:sz w:val="20"/>
                <w:szCs w:val="20"/>
                <w:lang w:val="es-ES" w:eastAsia="es-ES_tradnl"/>
              </w:rPr>
            </w:pPr>
            <w:r w:rsidRPr="00E00F13">
              <w:rPr>
                <w:rFonts w:ascii="Aptos Narrow" w:eastAsia="Times New Roman" w:hAnsi="Aptos Narrow" w:cs="Times New Roman"/>
                <w:sz w:val="20"/>
                <w:szCs w:val="20"/>
                <w:lang w:val="es-ES" w:eastAsia="es-ES_tradnl"/>
              </w:rPr>
              <w:t>Decreto 1166 de 2025- Mejoramiento de vivienda, vivienda</w:t>
            </w:r>
            <w:r w:rsidRPr="00E00F13">
              <w:rPr>
                <w:rFonts w:ascii="Aptos Narrow" w:eastAsia="Times New Roman" w:hAnsi="Aptos Narrow" w:cs="Times New Roman"/>
                <w:sz w:val="20"/>
                <w:szCs w:val="20"/>
                <w:lang w:val="es-ES" w:eastAsia="es-ES_tradnl"/>
              </w:rPr>
              <w:br/>
              <w:t xml:space="preserve">progresiva o construcción en sitio propio </w:t>
            </w:r>
          </w:p>
        </w:tc>
        <w:tc>
          <w:tcPr>
            <w:tcW w:w="6986" w:type="dxa"/>
            <w:hideMark/>
          </w:tcPr>
          <w:p w14:paraId="1D486911" w14:textId="77777777" w:rsidR="0092665C" w:rsidRPr="00E00F13" w:rsidRDefault="0092665C" w:rsidP="0092665C">
            <w:pPr>
              <w:jc w:val="both"/>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18"/>
                <w:szCs w:val="18"/>
                <w:lang w:val="es-ES" w:eastAsia="es-ES_tradnl"/>
              </w:rPr>
            </w:pPr>
            <w:r w:rsidRPr="00E00F13">
              <w:rPr>
                <w:rFonts w:ascii="Aptos Narrow" w:eastAsia="Times New Roman" w:hAnsi="Aptos Narrow" w:cs="Times New Roman"/>
                <w:sz w:val="18"/>
                <w:szCs w:val="18"/>
                <w:lang w:val="es-ES" w:eastAsia="es-ES_tradnl"/>
              </w:rPr>
              <w:t xml:space="preserve">La norma establece restricciones claras e indica que las viviendas objeto de la aplicación de esta norma no podrán estar ubicadas en zonas de riesgo no mitigable o zonas de protección ambiental, garantizando que los recursos del SFV se dirijan exclusivamente a viviendas ubicadas en áreas aptas, evitando la consolidación de asentamientos en ecosistemas estratégicos o áreas de amenaza. </w:t>
            </w:r>
          </w:p>
        </w:tc>
      </w:tr>
      <w:tr w:rsidR="0092665C" w:rsidRPr="00E00F13" w14:paraId="3EE1C33B" w14:textId="77777777">
        <w:trPr>
          <w:trHeight w:val="46"/>
        </w:trPr>
        <w:tc>
          <w:tcPr>
            <w:cnfStyle w:val="001000000000" w:firstRow="0" w:lastRow="0" w:firstColumn="1" w:lastColumn="0" w:oddVBand="0" w:evenVBand="0" w:oddHBand="0" w:evenHBand="0" w:firstRowFirstColumn="0" w:firstRowLastColumn="0" w:lastRowFirstColumn="0" w:lastRowLastColumn="0"/>
            <w:tcW w:w="1555" w:type="dxa"/>
            <w:vMerge/>
            <w:hideMark/>
          </w:tcPr>
          <w:p w14:paraId="7CFBF140" w14:textId="77777777" w:rsidR="0092665C" w:rsidRPr="00E00F13" w:rsidRDefault="0092665C" w:rsidP="0092665C">
            <w:pPr>
              <w:rPr>
                <w:rFonts w:ascii="Aptos Narrow" w:eastAsia="Times New Roman" w:hAnsi="Aptos Narrow" w:cs="Times New Roman"/>
                <w:sz w:val="20"/>
                <w:szCs w:val="20"/>
                <w:lang w:val="es-ES" w:eastAsia="es-ES_tradnl"/>
              </w:rPr>
            </w:pPr>
          </w:p>
        </w:tc>
        <w:tc>
          <w:tcPr>
            <w:tcW w:w="6986" w:type="dxa"/>
            <w:hideMark/>
          </w:tcPr>
          <w:p w14:paraId="68632726" w14:textId="52BD09DD" w:rsidR="0092665C" w:rsidRPr="00E00F13" w:rsidRDefault="0092665C" w:rsidP="0092665C">
            <w:pPr>
              <w:jc w:val="both"/>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18"/>
                <w:szCs w:val="18"/>
                <w:lang w:val="es-ES" w:eastAsia="es-ES_tradnl"/>
              </w:rPr>
            </w:pPr>
            <w:r w:rsidRPr="00E00F13">
              <w:rPr>
                <w:rFonts w:ascii="Aptos Narrow" w:eastAsia="Times New Roman" w:hAnsi="Aptos Narrow" w:cs="Times New Roman"/>
                <w:sz w:val="18"/>
                <w:szCs w:val="18"/>
                <w:lang w:val="es-ES" w:eastAsia="es-ES_tradnl"/>
              </w:rPr>
              <w:t>La norma exige que las intervenciones (mejoramiento, progresiva o construcción en sitio propio) cumplan con las normas técnicas de construcción aplicables, incluyendo el Reglamento Colombiano de Construcción Sismo Resistente (NSR-10)</w:t>
            </w:r>
            <w:r w:rsidR="00F81D40" w:rsidRPr="00E00F13">
              <w:rPr>
                <w:rFonts w:ascii="Aptos Narrow" w:eastAsia="Times New Roman" w:hAnsi="Aptos Narrow" w:cs="Times New Roman"/>
                <w:sz w:val="18"/>
                <w:szCs w:val="18"/>
                <w:lang w:val="es-ES" w:eastAsia="es-ES_tradnl"/>
              </w:rPr>
              <w:t>.</w:t>
            </w:r>
            <w:r w:rsidRPr="00E00F13">
              <w:rPr>
                <w:rFonts w:ascii="Aptos Narrow" w:eastAsia="Times New Roman" w:hAnsi="Aptos Narrow" w:cs="Times New Roman"/>
                <w:sz w:val="18"/>
                <w:szCs w:val="18"/>
                <w:lang w:val="es-ES" w:eastAsia="es-ES_tradnl"/>
              </w:rPr>
              <w:t xml:space="preserve"> Se utiliza el Decreto 1401 de 2023 (corregido por el Decreto 1580 de 2023) como herramienta para que las entidades otorgantes puedan verificar que el diseño y la realización de los mejoramientos de vivienda busquen disminuir progresivamente la vulnerabilidad sísmica de las edificaciones en mampostería. Este enfoque asegura que la política de vivienda no solo reduzca el déficit habitacional, sino que también promueva la resiliencia de las estructuras y la sostenibilidad territorial. </w:t>
            </w:r>
          </w:p>
        </w:tc>
      </w:tr>
      <w:tr w:rsidR="0092665C" w:rsidRPr="00E00F13" w14:paraId="575A56F6" w14:textId="77777777" w:rsidTr="0092665C">
        <w:trPr>
          <w:cnfStyle w:val="000000100000" w:firstRow="0" w:lastRow="0" w:firstColumn="0" w:lastColumn="0" w:oddVBand="0" w:evenVBand="0" w:oddHBand="1" w:evenHBand="0" w:firstRowFirstColumn="0" w:firstRowLastColumn="0" w:lastRowFirstColumn="0" w:lastRowLastColumn="0"/>
          <w:trHeight w:val="901"/>
        </w:trPr>
        <w:tc>
          <w:tcPr>
            <w:cnfStyle w:val="001000000000" w:firstRow="0" w:lastRow="0" w:firstColumn="1" w:lastColumn="0" w:oddVBand="0" w:evenVBand="0" w:oddHBand="0" w:evenHBand="0" w:firstRowFirstColumn="0" w:firstRowLastColumn="0" w:lastRowFirstColumn="0" w:lastRowLastColumn="0"/>
            <w:tcW w:w="1555" w:type="dxa"/>
            <w:hideMark/>
          </w:tcPr>
          <w:p w14:paraId="760B93E2" w14:textId="77777777" w:rsidR="0092665C" w:rsidRPr="00E00F13" w:rsidRDefault="0092665C" w:rsidP="0092665C">
            <w:pPr>
              <w:rPr>
                <w:rFonts w:ascii="Aptos Narrow" w:eastAsia="Times New Roman" w:hAnsi="Aptos Narrow" w:cs="Times New Roman"/>
                <w:sz w:val="20"/>
                <w:szCs w:val="20"/>
                <w:lang w:val="es-ES" w:eastAsia="es-ES_tradnl"/>
              </w:rPr>
            </w:pPr>
            <w:r w:rsidRPr="00E00F13">
              <w:rPr>
                <w:rFonts w:ascii="Aptos Narrow" w:eastAsia="Times New Roman" w:hAnsi="Aptos Narrow" w:cs="Times New Roman"/>
                <w:sz w:val="20"/>
                <w:szCs w:val="20"/>
                <w:lang w:val="es-ES" w:eastAsia="es-ES_tradnl"/>
              </w:rPr>
              <w:t>Decreto 0670 de 2025 -Basura Cero</w:t>
            </w:r>
          </w:p>
        </w:tc>
        <w:tc>
          <w:tcPr>
            <w:tcW w:w="6986" w:type="dxa"/>
            <w:hideMark/>
          </w:tcPr>
          <w:p w14:paraId="3535430F" w14:textId="77777777" w:rsidR="0092665C" w:rsidRPr="00E00F13" w:rsidRDefault="0092665C" w:rsidP="0092665C">
            <w:pPr>
              <w:jc w:val="both"/>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18"/>
                <w:szCs w:val="18"/>
                <w:lang w:val="es-ES" w:eastAsia="es-ES_tradnl"/>
              </w:rPr>
            </w:pPr>
            <w:r w:rsidRPr="00E00F13">
              <w:rPr>
                <w:rFonts w:ascii="Aptos Narrow" w:eastAsia="Times New Roman" w:hAnsi="Aptos Narrow" w:cs="Times New Roman"/>
                <w:sz w:val="18"/>
                <w:szCs w:val="18"/>
                <w:lang w:val="es-ES" w:eastAsia="es-ES_tradnl"/>
              </w:rPr>
              <w:t>Se exige que los Parques Tecnológicos y Ambientales (PTA) se construyan respetando las determinantes ambientales y la protección de los ecosistemas. Además, se fomenta la reducción, reutilización y reciclaje de residuos en áreas de protección ambiental o áreas del Sistema Nacional de Áreas Protegidas (SINAP)</w:t>
            </w:r>
          </w:p>
        </w:tc>
      </w:tr>
      <w:tr w:rsidR="0092665C" w:rsidRPr="00E00F13" w14:paraId="5CE75882" w14:textId="77777777" w:rsidTr="00F81D40">
        <w:trPr>
          <w:trHeight w:val="711"/>
        </w:trPr>
        <w:tc>
          <w:tcPr>
            <w:cnfStyle w:val="001000000000" w:firstRow="0" w:lastRow="0" w:firstColumn="1" w:lastColumn="0" w:oddVBand="0" w:evenVBand="0" w:oddHBand="0" w:evenHBand="0" w:firstRowFirstColumn="0" w:firstRowLastColumn="0" w:lastRowFirstColumn="0" w:lastRowLastColumn="0"/>
            <w:tcW w:w="1555" w:type="dxa"/>
            <w:vMerge w:val="restart"/>
            <w:hideMark/>
          </w:tcPr>
          <w:p w14:paraId="3FC70444" w14:textId="77777777" w:rsidR="0092665C" w:rsidRPr="00E00F13" w:rsidRDefault="0092665C" w:rsidP="0092665C">
            <w:pPr>
              <w:rPr>
                <w:rFonts w:ascii="Aptos Narrow" w:eastAsia="Times New Roman" w:hAnsi="Aptos Narrow" w:cs="Times New Roman"/>
                <w:sz w:val="20"/>
                <w:szCs w:val="20"/>
                <w:lang w:val="es-ES" w:eastAsia="es-ES_tradnl"/>
              </w:rPr>
            </w:pPr>
            <w:r w:rsidRPr="00E00F13">
              <w:rPr>
                <w:rFonts w:ascii="Aptos Narrow" w:eastAsia="Times New Roman" w:hAnsi="Aptos Narrow" w:cs="Times New Roman"/>
                <w:sz w:val="20"/>
                <w:szCs w:val="20"/>
                <w:lang w:val="es-ES" w:eastAsia="es-ES_tradnl"/>
              </w:rPr>
              <w:t xml:space="preserve">Decreto 0776 de 2025- Mínimo vital de agua </w:t>
            </w:r>
          </w:p>
        </w:tc>
        <w:tc>
          <w:tcPr>
            <w:tcW w:w="6986" w:type="dxa"/>
            <w:hideMark/>
          </w:tcPr>
          <w:p w14:paraId="50FB89EE" w14:textId="77777777" w:rsidR="0092665C" w:rsidRPr="00E00F13" w:rsidRDefault="0092665C" w:rsidP="0092665C">
            <w:pPr>
              <w:jc w:val="both"/>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18"/>
                <w:szCs w:val="18"/>
                <w:lang w:val="es-ES" w:eastAsia="es-ES_tradnl"/>
              </w:rPr>
            </w:pPr>
            <w:r w:rsidRPr="00E00F13">
              <w:rPr>
                <w:rFonts w:ascii="Aptos Narrow" w:eastAsia="Times New Roman" w:hAnsi="Aptos Narrow" w:cs="Times New Roman"/>
                <w:sz w:val="18"/>
                <w:szCs w:val="18"/>
                <w:lang w:val="es-ES" w:eastAsia="es-ES_tradnl"/>
              </w:rPr>
              <w:t>El decreto establece lineamientos para garantizar el mínimo vital de agua y saneamiento a población vulnerable, definiendo medios alternos y estrategias para asegurar el acceso efectivo a agua apta para consumo humano y a saneamiento básico en todo el país.</w:t>
            </w:r>
          </w:p>
        </w:tc>
      </w:tr>
      <w:tr w:rsidR="0092665C" w:rsidRPr="00E00F13" w14:paraId="7BF06B43" w14:textId="77777777" w:rsidTr="0092665C">
        <w:trPr>
          <w:cnfStyle w:val="000000100000" w:firstRow="0" w:lastRow="0" w:firstColumn="0" w:lastColumn="0" w:oddVBand="0" w:evenVBand="0" w:oddHBand="1" w:evenHBand="0" w:firstRowFirstColumn="0" w:firstRowLastColumn="0" w:lastRowFirstColumn="0" w:lastRowLastColumn="0"/>
          <w:trHeight w:val="46"/>
        </w:trPr>
        <w:tc>
          <w:tcPr>
            <w:cnfStyle w:val="001000000000" w:firstRow="0" w:lastRow="0" w:firstColumn="1" w:lastColumn="0" w:oddVBand="0" w:evenVBand="0" w:oddHBand="0" w:evenHBand="0" w:firstRowFirstColumn="0" w:firstRowLastColumn="0" w:lastRowFirstColumn="0" w:lastRowLastColumn="0"/>
            <w:tcW w:w="1555" w:type="dxa"/>
            <w:vMerge/>
            <w:hideMark/>
          </w:tcPr>
          <w:p w14:paraId="323B6664" w14:textId="77777777" w:rsidR="0092665C" w:rsidRPr="00E00F13" w:rsidRDefault="0092665C" w:rsidP="0092665C">
            <w:pPr>
              <w:rPr>
                <w:rFonts w:ascii="Aptos Narrow" w:eastAsia="Times New Roman" w:hAnsi="Aptos Narrow" w:cs="Times New Roman"/>
                <w:sz w:val="20"/>
                <w:szCs w:val="20"/>
                <w:lang w:val="es-ES" w:eastAsia="es-ES_tradnl"/>
              </w:rPr>
            </w:pPr>
          </w:p>
        </w:tc>
        <w:tc>
          <w:tcPr>
            <w:tcW w:w="6986" w:type="dxa"/>
            <w:hideMark/>
          </w:tcPr>
          <w:p w14:paraId="2BD3EB23" w14:textId="77777777" w:rsidR="0092665C" w:rsidRPr="00E00F13" w:rsidRDefault="0092665C" w:rsidP="0092665C">
            <w:pPr>
              <w:jc w:val="both"/>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18"/>
                <w:szCs w:val="18"/>
                <w:lang w:val="es-ES" w:eastAsia="es-ES_tradnl"/>
              </w:rPr>
            </w:pPr>
            <w:r w:rsidRPr="00E00F13">
              <w:rPr>
                <w:rFonts w:ascii="Aptos Narrow" w:eastAsia="Times New Roman" w:hAnsi="Aptos Narrow" w:cs="Times New Roman"/>
                <w:sz w:val="18"/>
                <w:szCs w:val="18"/>
                <w:lang w:val="es-ES" w:eastAsia="es-ES_tradnl"/>
              </w:rPr>
              <w:t>El decreto promueve la cultura del agua y el uso eficiente del recurso, e impulsa la capacitación a beneficiarios del mínimo vital para un consumo responsable ligado al ciclo hídrico y la crisis climática.</w:t>
            </w:r>
          </w:p>
        </w:tc>
      </w:tr>
      <w:tr w:rsidR="0092665C" w:rsidRPr="00E00F13" w14:paraId="3472DFDD" w14:textId="77777777" w:rsidTr="00F81D40">
        <w:trPr>
          <w:trHeight w:val="2304"/>
        </w:trPr>
        <w:tc>
          <w:tcPr>
            <w:cnfStyle w:val="001000000000" w:firstRow="0" w:lastRow="0" w:firstColumn="1" w:lastColumn="0" w:oddVBand="0" w:evenVBand="0" w:oddHBand="0" w:evenHBand="0" w:firstRowFirstColumn="0" w:firstRowLastColumn="0" w:lastRowFirstColumn="0" w:lastRowLastColumn="0"/>
            <w:tcW w:w="1555" w:type="dxa"/>
            <w:hideMark/>
          </w:tcPr>
          <w:p w14:paraId="514FE977" w14:textId="77777777" w:rsidR="0092665C" w:rsidRPr="00E00F13" w:rsidRDefault="0092665C" w:rsidP="0092665C">
            <w:pPr>
              <w:rPr>
                <w:rFonts w:ascii="Aptos Narrow" w:eastAsia="Times New Roman" w:hAnsi="Aptos Narrow" w:cs="Times New Roman"/>
                <w:sz w:val="20"/>
                <w:szCs w:val="20"/>
                <w:lang w:val="es-ES" w:eastAsia="es-ES_tradnl"/>
              </w:rPr>
            </w:pPr>
            <w:r w:rsidRPr="00E00F13">
              <w:rPr>
                <w:rFonts w:ascii="Aptos Narrow" w:eastAsia="Times New Roman" w:hAnsi="Aptos Narrow" w:cs="Times New Roman"/>
                <w:sz w:val="20"/>
                <w:szCs w:val="20"/>
                <w:lang w:val="es-ES" w:eastAsia="es-ES_tradnl"/>
              </w:rPr>
              <w:lastRenderedPageBreak/>
              <w:t>Resolución 194 de 2025 y su Anexo 1: Guía de construcción</w:t>
            </w:r>
            <w:r w:rsidRPr="00E00F13">
              <w:rPr>
                <w:rFonts w:ascii="Aptos Narrow" w:eastAsia="Times New Roman" w:hAnsi="Aptos Narrow" w:cs="Times New Roman"/>
                <w:sz w:val="20"/>
                <w:szCs w:val="20"/>
                <w:lang w:val="es-ES" w:eastAsia="es-ES_tradnl"/>
              </w:rPr>
              <w:br/>
              <w:t>sostenible para el ahorro de agua y energía en edificaciones (obra nueva)</w:t>
            </w:r>
          </w:p>
        </w:tc>
        <w:tc>
          <w:tcPr>
            <w:tcW w:w="6986" w:type="dxa"/>
            <w:hideMark/>
          </w:tcPr>
          <w:p w14:paraId="01BC6B74" w14:textId="77777777" w:rsidR="0092665C" w:rsidRPr="00E00F13" w:rsidRDefault="0092665C" w:rsidP="0092665C">
            <w:pPr>
              <w:jc w:val="both"/>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18"/>
                <w:szCs w:val="18"/>
                <w:lang w:val="es-ES" w:eastAsia="es-ES_tradnl"/>
              </w:rPr>
            </w:pPr>
            <w:r w:rsidRPr="00E00F13">
              <w:rPr>
                <w:rFonts w:ascii="Aptos Narrow" w:eastAsia="Times New Roman" w:hAnsi="Aptos Narrow" w:cs="Times New Roman"/>
                <w:sz w:val="18"/>
                <w:szCs w:val="18"/>
                <w:lang w:val="es-ES" w:eastAsia="es-ES_tradnl"/>
              </w:rPr>
              <w:t>Con esta guía se busca reducir el uso de agua potable, promoviendo la conservación de recursos hídricos y la resiliencia climática.</w:t>
            </w:r>
          </w:p>
        </w:tc>
      </w:tr>
    </w:tbl>
    <w:p w14:paraId="7794DE06" w14:textId="77777777" w:rsidR="00AE20BE" w:rsidRPr="00E00F13" w:rsidRDefault="00AE20BE" w:rsidP="00AE20BE">
      <w:pPr>
        <w:spacing w:after="0" w:line="360" w:lineRule="auto"/>
        <w:jc w:val="both"/>
        <w:rPr>
          <w:rFonts w:ascii="Arial" w:eastAsia="Times New Roman" w:hAnsi="Arial" w:cs="Arial"/>
          <w:sz w:val="24"/>
          <w:szCs w:val="24"/>
          <w:lang w:val="es-ES" w:eastAsia="es-ES_tradnl"/>
        </w:rPr>
      </w:pPr>
    </w:p>
    <w:p w14:paraId="3602E6E6" w14:textId="54ECAE33" w:rsidR="0092665C" w:rsidRPr="00E00F13" w:rsidRDefault="0092665C" w:rsidP="00AE20BE">
      <w:p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 xml:space="preserve">Con relación a la gestión del cambio climático y la construcción sostenible, </w:t>
      </w:r>
      <w:r w:rsidR="00A116E2" w:rsidRPr="00E00F13">
        <w:rPr>
          <w:rFonts w:ascii="Arial" w:eastAsia="Times New Roman" w:hAnsi="Arial" w:cs="Arial"/>
          <w:sz w:val="24"/>
          <w:szCs w:val="24"/>
          <w:lang w:val="es-ES" w:eastAsia="es-ES_tradnl"/>
        </w:rPr>
        <w:t xml:space="preserve">algunas de </w:t>
      </w:r>
      <w:r w:rsidRPr="00E00F13">
        <w:rPr>
          <w:rFonts w:ascii="Arial" w:eastAsia="Times New Roman" w:hAnsi="Arial" w:cs="Arial"/>
          <w:sz w:val="24"/>
          <w:szCs w:val="24"/>
          <w:lang w:val="es-ES" w:eastAsia="es-ES_tradnl"/>
        </w:rPr>
        <w:t>las reglamentaciones abordan de manera transversal estas dos temáticas, como se muestra</w:t>
      </w:r>
      <w:r w:rsidR="00A116E2" w:rsidRPr="00E00F13">
        <w:rPr>
          <w:rFonts w:ascii="Arial" w:eastAsia="Times New Roman" w:hAnsi="Arial" w:cs="Arial"/>
          <w:sz w:val="24"/>
          <w:szCs w:val="24"/>
          <w:lang w:val="es-ES" w:eastAsia="es-ES_tradnl"/>
        </w:rPr>
        <w:t xml:space="preserve"> en la tabla</w:t>
      </w:r>
      <w:r w:rsidRPr="00E00F13">
        <w:rPr>
          <w:rFonts w:ascii="Arial" w:eastAsia="Times New Roman" w:hAnsi="Arial" w:cs="Arial"/>
          <w:sz w:val="24"/>
          <w:szCs w:val="24"/>
          <w:lang w:val="es-ES" w:eastAsia="es-ES_tradnl"/>
        </w:rPr>
        <w:t xml:space="preserve"> a continuación</w:t>
      </w:r>
      <w:r w:rsidR="00997CFF" w:rsidRPr="00E00F13">
        <w:rPr>
          <w:rFonts w:ascii="Arial" w:eastAsia="Times New Roman" w:hAnsi="Arial" w:cs="Arial"/>
          <w:sz w:val="24"/>
          <w:szCs w:val="24"/>
          <w:lang w:val="es-ES" w:eastAsia="es-ES_tradnl"/>
        </w:rPr>
        <w:t>. S</w:t>
      </w:r>
      <w:r w:rsidRPr="00E00F13">
        <w:rPr>
          <w:rFonts w:ascii="Arial" w:eastAsia="Times New Roman" w:hAnsi="Arial" w:cs="Arial"/>
          <w:sz w:val="24"/>
          <w:szCs w:val="24"/>
          <w:lang w:val="es-ES" w:eastAsia="es-ES_tradnl"/>
        </w:rPr>
        <w:t>in embargo, es de resaltar la Resolución 194 de 2025 y su Anexo 1: Guía de construcción sostenible para el ahorro de agua y energía en edificaciones (obra nueva)</w:t>
      </w:r>
      <w:r w:rsidR="00997CFF" w:rsidRPr="00E00F13">
        <w:rPr>
          <w:rFonts w:ascii="Arial" w:eastAsia="Times New Roman" w:hAnsi="Arial" w:cs="Arial"/>
          <w:sz w:val="24"/>
          <w:szCs w:val="24"/>
          <w:lang w:val="es-ES" w:eastAsia="es-ES_tradnl"/>
        </w:rPr>
        <w:t>,</w:t>
      </w:r>
      <w:r w:rsidRPr="00E00F13">
        <w:rPr>
          <w:rFonts w:ascii="Arial" w:eastAsia="Times New Roman" w:hAnsi="Arial" w:cs="Arial"/>
          <w:sz w:val="24"/>
          <w:szCs w:val="24"/>
          <w:lang w:val="es-ES" w:eastAsia="es-ES_tradnl"/>
        </w:rPr>
        <w:t xml:space="preserve"> que se concentra en este punto en particular. </w:t>
      </w:r>
    </w:p>
    <w:p w14:paraId="0B41056F" w14:textId="77777777" w:rsidR="00997CFF" w:rsidRPr="00E00F13" w:rsidRDefault="00997CFF" w:rsidP="00AE20BE">
      <w:pPr>
        <w:spacing w:after="0" w:line="360" w:lineRule="auto"/>
        <w:jc w:val="both"/>
        <w:rPr>
          <w:rFonts w:ascii="Arial" w:eastAsia="Times New Roman" w:hAnsi="Arial" w:cs="Arial"/>
          <w:sz w:val="24"/>
          <w:szCs w:val="24"/>
          <w:lang w:val="es-ES" w:eastAsia="es-ES_tradnl"/>
        </w:rPr>
      </w:pPr>
    </w:p>
    <w:p w14:paraId="242FC81D" w14:textId="2A8C5348" w:rsidR="00902401" w:rsidRPr="00E00F13" w:rsidRDefault="00902401" w:rsidP="00AE20BE">
      <w:pPr>
        <w:spacing w:after="0" w:line="360" w:lineRule="auto"/>
        <w:jc w:val="both"/>
        <w:rPr>
          <w:rFonts w:ascii="Arial" w:eastAsia="Times New Roman" w:hAnsi="Arial" w:cs="Arial"/>
          <w:b/>
          <w:bCs/>
          <w:sz w:val="24"/>
          <w:szCs w:val="24"/>
          <w:lang w:val="es-ES" w:eastAsia="es-ES_tradnl"/>
        </w:rPr>
      </w:pPr>
      <w:r w:rsidRPr="00E00F13">
        <w:rPr>
          <w:rFonts w:ascii="Arial" w:eastAsia="Times New Roman" w:hAnsi="Arial" w:cs="Arial"/>
          <w:b/>
          <w:bCs/>
          <w:sz w:val="24"/>
          <w:szCs w:val="24"/>
          <w:lang w:val="es-ES" w:eastAsia="es-ES_tradnl"/>
        </w:rPr>
        <w:t xml:space="preserve">Tabla. </w:t>
      </w:r>
      <w:r w:rsidR="00A928C0" w:rsidRPr="00E00F13">
        <w:rPr>
          <w:rFonts w:ascii="Arial" w:eastAsia="Times New Roman" w:hAnsi="Arial" w:cs="Arial"/>
          <w:b/>
          <w:bCs/>
          <w:sz w:val="24"/>
          <w:szCs w:val="24"/>
          <w:lang w:val="es-ES" w:eastAsia="es-ES_tradnl"/>
        </w:rPr>
        <w:t>Gestión del cambio climático y construcción sostenible en el marco normativo del MVCT</w:t>
      </w:r>
    </w:p>
    <w:tbl>
      <w:tblPr>
        <w:tblStyle w:val="Tablaconcuadrcula4-nfasis11"/>
        <w:tblW w:w="8785" w:type="dxa"/>
        <w:tblLook w:val="04A0" w:firstRow="1" w:lastRow="0" w:firstColumn="1" w:lastColumn="0" w:noHBand="0" w:noVBand="1"/>
      </w:tblPr>
      <w:tblGrid>
        <w:gridCol w:w="1672"/>
        <w:gridCol w:w="7113"/>
      </w:tblGrid>
      <w:tr w:rsidR="0092665C" w:rsidRPr="00E00F13" w14:paraId="77C188E9" w14:textId="77777777" w:rsidTr="0092665C">
        <w:trPr>
          <w:cnfStyle w:val="100000000000" w:firstRow="1" w:lastRow="0" w:firstColumn="0" w:lastColumn="0" w:oddVBand="0" w:evenVBand="0" w:oddHBand="0" w:evenHBand="0" w:firstRowFirstColumn="0" w:firstRowLastColumn="0" w:lastRowFirstColumn="0" w:lastRowLastColumn="0"/>
          <w:trHeight w:val="680"/>
        </w:trPr>
        <w:tc>
          <w:tcPr>
            <w:cnfStyle w:val="001000000000" w:firstRow="0" w:lastRow="0" w:firstColumn="1" w:lastColumn="0" w:oddVBand="0" w:evenVBand="0" w:oddHBand="0" w:evenHBand="0" w:firstRowFirstColumn="0" w:firstRowLastColumn="0" w:lastRowFirstColumn="0" w:lastRowLastColumn="0"/>
            <w:tcW w:w="1672" w:type="dxa"/>
            <w:noWrap/>
            <w:hideMark/>
          </w:tcPr>
          <w:p w14:paraId="2860C638" w14:textId="77777777" w:rsidR="0092665C" w:rsidRPr="00E00F13" w:rsidRDefault="0092665C" w:rsidP="0092665C">
            <w:pPr>
              <w:jc w:val="center"/>
              <w:rPr>
                <w:rFonts w:ascii="Aptos Narrow" w:eastAsia="Times New Roman" w:hAnsi="Aptos Narrow" w:cs="Times New Roman"/>
                <w:color w:val="auto"/>
                <w:sz w:val="20"/>
                <w:szCs w:val="20"/>
                <w:lang w:val="es-ES" w:eastAsia="es-ES_tradnl"/>
              </w:rPr>
            </w:pPr>
            <w:r w:rsidRPr="00E00F13">
              <w:rPr>
                <w:rFonts w:ascii="Aptos Narrow" w:eastAsia="Times New Roman" w:hAnsi="Aptos Narrow" w:cs="Times New Roman"/>
                <w:color w:val="auto"/>
                <w:sz w:val="20"/>
                <w:szCs w:val="20"/>
                <w:lang w:val="es-ES" w:eastAsia="es-ES_tradnl"/>
              </w:rPr>
              <w:t>NOMBRE</w:t>
            </w:r>
          </w:p>
        </w:tc>
        <w:tc>
          <w:tcPr>
            <w:tcW w:w="7113" w:type="dxa"/>
            <w:noWrap/>
            <w:hideMark/>
          </w:tcPr>
          <w:p w14:paraId="23A122D2" w14:textId="77777777" w:rsidR="0092665C" w:rsidRPr="00E00F13" w:rsidRDefault="0092665C" w:rsidP="0092665C">
            <w:pPr>
              <w:jc w:val="center"/>
              <w:cnfStyle w:val="100000000000" w:firstRow="1" w:lastRow="0" w:firstColumn="0" w:lastColumn="0" w:oddVBand="0" w:evenVBand="0" w:oddHBand="0" w:evenHBand="0" w:firstRowFirstColumn="0" w:firstRowLastColumn="0" w:lastRowFirstColumn="0" w:lastRowLastColumn="0"/>
              <w:rPr>
                <w:rFonts w:ascii="Aptos Narrow" w:eastAsia="Times New Roman" w:hAnsi="Aptos Narrow" w:cs="Times New Roman"/>
                <w:color w:val="auto"/>
                <w:sz w:val="20"/>
                <w:szCs w:val="20"/>
                <w:lang w:val="es-ES" w:eastAsia="es-ES_tradnl"/>
              </w:rPr>
            </w:pPr>
            <w:r w:rsidRPr="00E00F13">
              <w:rPr>
                <w:rFonts w:ascii="Aptos Narrow" w:eastAsia="Times New Roman" w:hAnsi="Aptos Narrow" w:cs="Times New Roman"/>
                <w:color w:val="auto"/>
                <w:sz w:val="20"/>
                <w:szCs w:val="20"/>
                <w:lang w:val="es-ES" w:eastAsia="es-ES_tradnl"/>
              </w:rPr>
              <w:t>TEMÁTICA AMBIENTAL INTRODUCIDA</w:t>
            </w:r>
          </w:p>
        </w:tc>
      </w:tr>
      <w:tr w:rsidR="0092665C" w:rsidRPr="00E00F13" w14:paraId="588720F1" w14:textId="77777777" w:rsidTr="0092665C">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1672" w:type="dxa"/>
            <w:hideMark/>
          </w:tcPr>
          <w:p w14:paraId="56AE3C71" w14:textId="77777777" w:rsidR="0092665C" w:rsidRPr="00E00F13" w:rsidRDefault="0092665C" w:rsidP="0092665C">
            <w:pPr>
              <w:rPr>
                <w:rFonts w:ascii="Aptos Narrow" w:eastAsia="Times New Roman" w:hAnsi="Aptos Narrow" w:cs="Times New Roman"/>
                <w:sz w:val="20"/>
                <w:szCs w:val="20"/>
                <w:lang w:val="es-ES" w:eastAsia="es-ES_tradnl"/>
              </w:rPr>
            </w:pPr>
            <w:r w:rsidRPr="00E00F13">
              <w:rPr>
                <w:rFonts w:ascii="Aptos Narrow" w:eastAsia="Times New Roman" w:hAnsi="Aptos Narrow" w:cs="Times New Roman"/>
                <w:sz w:val="20"/>
                <w:szCs w:val="20"/>
                <w:lang w:val="es-ES" w:eastAsia="es-ES_tradnl"/>
              </w:rPr>
              <w:t>Decreto 1381 de 2024 – Actividad de aprovechamiento</w:t>
            </w:r>
          </w:p>
        </w:tc>
        <w:tc>
          <w:tcPr>
            <w:tcW w:w="7113" w:type="dxa"/>
            <w:hideMark/>
          </w:tcPr>
          <w:p w14:paraId="7551A72B" w14:textId="610405AC" w:rsidR="0092665C" w:rsidRPr="00E00F13" w:rsidRDefault="0092665C" w:rsidP="0092665C">
            <w:pPr>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18"/>
                <w:szCs w:val="18"/>
                <w:lang w:val="es-ES" w:eastAsia="es-ES_tradnl"/>
              </w:rPr>
            </w:pPr>
            <w:r w:rsidRPr="00E00F13">
              <w:rPr>
                <w:rFonts w:ascii="Aptos Narrow" w:eastAsia="Times New Roman" w:hAnsi="Aptos Narrow" w:cs="Times New Roman"/>
                <w:sz w:val="18"/>
                <w:szCs w:val="18"/>
                <w:lang w:val="es-ES" w:eastAsia="es-ES_tradnl"/>
              </w:rPr>
              <w:t>El decreto busca modificar el esquema operativo y el proceso de formalización para fomentar el aprovechamiento de los residuos a nivel nacional, entendiéndolo como una estrategia para la mitigación del cambio climático y de la economía circular</w:t>
            </w:r>
            <w:r w:rsidR="00AE20BE" w:rsidRPr="00E00F13">
              <w:rPr>
                <w:rFonts w:ascii="Aptos Narrow" w:eastAsia="Times New Roman" w:hAnsi="Aptos Narrow" w:cs="Times New Roman"/>
                <w:sz w:val="18"/>
                <w:szCs w:val="18"/>
                <w:lang w:val="es-ES" w:eastAsia="es-ES_tradnl"/>
              </w:rPr>
              <w:t>.</w:t>
            </w:r>
          </w:p>
        </w:tc>
      </w:tr>
      <w:tr w:rsidR="0092665C" w:rsidRPr="00E00F13" w14:paraId="5730B2A7" w14:textId="77777777">
        <w:trPr>
          <w:trHeight w:val="551"/>
        </w:trPr>
        <w:tc>
          <w:tcPr>
            <w:cnfStyle w:val="001000000000" w:firstRow="0" w:lastRow="0" w:firstColumn="1" w:lastColumn="0" w:oddVBand="0" w:evenVBand="0" w:oddHBand="0" w:evenHBand="0" w:firstRowFirstColumn="0" w:firstRowLastColumn="0" w:lastRowFirstColumn="0" w:lastRowLastColumn="0"/>
            <w:tcW w:w="1672" w:type="dxa"/>
            <w:vMerge w:val="restart"/>
            <w:hideMark/>
          </w:tcPr>
          <w:p w14:paraId="5307B55C" w14:textId="77777777" w:rsidR="0092665C" w:rsidRPr="00E00F13" w:rsidRDefault="0092665C" w:rsidP="0092665C">
            <w:pPr>
              <w:rPr>
                <w:rFonts w:ascii="Aptos Narrow" w:eastAsia="Times New Roman" w:hAnsi="Aptos Narrow" w:cs="Times New Roman"/>
                <w:sz w:val="20"/>
                <w:szCs w:val="20"/>
                <w:lang w:val="es-ES" w:eastAsia="es-ES_tradnl"/>
              </w:rPr>
            </w:pPr>
            <w:r w:rsidRPr="00E00F13">
              <w:rPr>
                <w:rFonts w:ascii="Aptos Narrow" w:eastAsia="Times New Roman" w:hAnsi="Aptos Narrow" w:cs="Times New Roman"/>
                <w:sz w:val="20"/>
                <w:szCs w:val="20"/>
                <w:lang w:val="es-ES" w:eastAsia="es-ES_tradnl"/>
              </w:rPr>
              <w:t xml:space="preserve">Decreto 1470 de 2024 – Barrios y Veredas de Paz </w:t>
            </w:r>
          </w:p>
        </w:tc>
        <w:tc>
          <w:tcPr>
            <w:tcW w:w="7113" w:type="dxa"/>
            <w:hideMark/>
          </w:tcPr>
          <w:p w14:paraId="69C57544" w14:textId="77777777" w:rsidR="0092665C" w:rsidRPr="00E00F13" w:rsidRDefault="0092665C" w:rsidP="00AE20BE">
            <w:pPr>
              <w:jc w:val="both"/>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18"/>
                <w:szCs w:val="18"/>
                <w:lang w:val="es-ES" w:eastAsia="es-ES_tradnl"/>
              </w:rPr>
            </w:pPr>
            <w:r w:rsidRPr="00E00F13">
              <w:rPr>
                <w:rFonts w:ascii="Aptos Narrow" w:eastAsia="Times New Roman" w:hAnsi="Aptos Narrow" w:cs="Times New Roman"/>
                <w:sz w:val="18"/>
                <w:szCs w:val="18"/>
                <w:lang w:val="es-ES" w:eastAsia="es-ES_tradnl"/>
              </w:rPr>
              <w:t xml:space="preserve">El Plan de Gestión Integral del Hábitat (PGIH) (instrumento central de planificación del programa) debe facilitar el acceso a bienes y servicios con criterios de sostenibilidad económica y ambiental, adaptación y mitigación del cambio climático. Esto significa </w:t>
            </w:r>
            <w:proofErr w:type="gramStart"/>
            <w:r w:rsidRPr="00E00F13">
              <w:rPr>
                <w:rFonts w:ascii="Aptos Narrow" w:eastAsia="Times New Roman" w:hAnsi="Aptos Narrow" w:cs="Times New Roman"/>
                <w:sz w:val="18"/>
                <w:szCs w:val="18"/>
                <w:lang w:val="es-ES" w:eastAsia="es-ES_tradnl"/>
              </w:rPr>
              <w:t>que</w:t>
            </w:r>
            <w:proofErr w:type="gramEnd"/>
            <w:r w:rsidRPr="00E00F13">
              <w:rPr>
                <w:rFonts w:ascii="Aptos Narrow" w:eastAsia="Times New Roman" w:hAnsi="Aptos Narrow" w:cs="Times New Roman"/>
                <w:sz w:val="18"/>
                <w:szCs w:val="18"/>
                <w:lang w:val="es-ES" w:eastAsia="es-ES_tradnl"/>
              </w:rPr>
              <w:t xml:space="preserve"> a la hora de definir las gestiones a realizar en el territorio, tendrá que considerarse este elemento de manera transversal. </w:t>
            </w:r>
          </w:p>
        </w:tc>
      </w:tr>
      <w:tr w:rsidR="0092665C" w:rsidRPr="00E00F13" w14:paraId="3851172A" w14:textId="77777777" w:rsidTr="0092665C">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1672" w:type="dxa"/>
            <w:vMerge/>
            <w:hideMark/>
          </w:tcPr>
          <w:p w14:paraId="0242A1AA" w14:textId="77777777" w:rsidR="0092665C" w:rsidRPr="00E00F13" w:rsidRDefault="0092665C" w:rsidP="0092665C">
            <w:pPr>
              <w:rPr>
                <w:rFonts w:ascii="Aptos Narrow" w:eastAsia="Times New Roman" w:hAnsi="Aptos Narrow" w:cs="Times New Roman"/>
                <w:sz w:val="20"/>
                <w:szCs w:val="20"/>
                <w:lang w:val="es-ES" w:eastAsia="es-ES_tradnl"/>
              </w:rPr>
            </w:pPr>
          </w:p>
        </w:tc>
        <w:tc>
          <w:tcPr>
            <w:tcW w:w="7113" w:type="dxa"/>
            <w:hideMark/>
          </w:tcPr>
          <w:p w14:paraId="5140A6F0" w14:textId="6B240C98" w:rsidR="0092665C" w:rsidRPr="00E00F13" w:rsidRDefault="0092665C" w:rsidP="0092665C">
            <w:pPr>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18"/>
                <w:szCs w:val="18"/>
                <w:lang w:val="es-ES" w:eastAsia="es-ES_tradnl"/>
              </w:rPr>
            </w:pPr>
            <w:r w:rsidRPr="00E00F13">
              <w:rPr>
                <w:rFonts w:ascii="Aptos Narrow" w:eastAsia="Times New Roman" w:hAnsi="Aptos Narrow" w:cs="Times New Roman"/>
                <w:sz w:val="18"/>
                <w:szCs w:val="18"/>
                <w:lang w:val="es-ES" w:eastAsia="es-ES_tradnl"/>
              </w:rPr>
              <w:t>Las intervenciones contempladas deben adoptar medidas que promuevan la infraestructura verde</w:t>
            </w:r>
            <w:r w:rsidR="00AE20BE" w:rsidRPr="00E00F13">
              <w:rPr>
                <w:rFonts w:ascii="Aptos Narrow" w:eastAsia="Times New Roman" w:hAnsi="Aptos Narrow" w:cs="Times New Roman"/>
                <w:sz w:val="18"/>
                <w:szCs w:val="18"/>
                <w:lang w:val="es-ES" w:eastAsia="es-ES_tradnl"/>
              </w:rPr>
              <w:t>.</w:t>
            </w:r>
          </w:p>
        </w:tc>
      </w:tr>
      <w:tr w:rsidR="0092665C" w:rsidRPr="00E00F13" w14:paraId="06F64CEC" w14:textId="77777777">
        <w:trPr>
          <w:trHeight w:val="661"/>
        </w:trPr>
        <w:tc>
          <w:tcPr>
            <w:cnfStyle w:val="001000000000" w:firstRow="0" w:lastRow="0" w:firstColumn="1" w:lastColumn="0" w:oddVBand="0" w:evenVBand="0" w:oddHBand="0" w:evenHBand="0" w:firstRowFirstColumn="0" w:firstRowLastColumn="0" w:lastRowFirstColumn="0" w:lastRowLastColumn="0"/>
            <w:tcW w:w="1672" w:type="dxa"/>
            <w:hideMark/>
          </w:tcPr>
          <w:p w14:paraId="19F265CD" w14:textId="77777777" w:rsidR="0092665C" w:rsidRPr="00E00F13" w:rsidRDefault="0092665C" w:rsidP="0092665C">
            <w:pPr>
              <w:rPr>
                <w:rFonts w:ascii="Aptos Narrow" w:eastAsia="Times New Roman" w:hAnsi="Aptos Narrow" w:cs="Times New Roman"/>
                <w:sz w:val="20"/>
                <w:szCs w:val="20"/>
                <w:lang w:val="es-ES" w:eastAsia="es-ES_tradnl"/>
              </w:rPr>
            </w:pPr>
            <w:r w:rsidRPr="00E00F13">
              <w:rPr>
                <w:rFonts w:ascii="Aptos Narrow" w:eastAsia="Times New Roman" w:hAnsi="Aptos Narrow" w:cs="Times New Roman"/>
                <w:sz w:val="20"/>
                <w:szCs w:val="20"/>
                <w:lang w:val="es-ES" w:eastAsia="es-ES_tradnl"/>
              </w:rPr>
              <w:t>Decreto 0775 de julio de 2025 – Vivienda usada y otros</w:t>
            </w:r>
          </w:p>
        </w:tc>
        <w:tc>
          <w:tcPr>
            <w:tcW w:w="7113" w:type="dxa"/>
            <w:hideMark/>
          </w:tcPr>
          <w:p w14:paraId="1AE965E2" w14:textId="0A85D365" w:rsidR="0092665C" w:rsidRPr="00E00F13" w:rsidRDefault="0092665C" w:rsidP="00AE20BE">
            <w:pPr>
              <w:jc w:val="both"/>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18"/>
                <w:szCs w:val="18"/>
                <w:lang w:val="es-ES" w:eastAsia="es-ES_tradnl"/>
              </w:rPr>
            </w:pPr>
            <w:r w:rsidRPr="00E00F13">
              <w:rPr>
                <w:rFonts w:ascii="Aptos Narrow" w:eastAsia="Times New Roman" w:hAnsi="Aptos Narrow" w:cs="Times New Roman"/>
                <w:sz w:val="18"/>
                <w:szCs w:val="18"/>
                <w:lang w:val="es-ES" w:eastAsia="es-ES_tradnl"/>
              </w:rPr>
              <w:t>La norma define la Vivienda de Interés Social (VIS) como aquella que debe reunir elementos que aseguren habitabilidad y estándares de calidad y de construcción sostenible, siguiendo los lineamientos definidos por el Ministerio.</w:t>
            </w:r>
            <w:r w:rsidR="00AE20BE" w:rsidRPr="00E00F13">
              <w:rPr>
                <w:rFonts w:ascii="Aptos Narrow" w:eastAsia="Times New Roman" w:hAnsi="Aptos Narrow" w:cs="Times New Roman"/>
                <w:sz w:val="18"/>
                <w:szCs w:val="18"/>
                <w:lang w:val="es-ES" w:eastAsia="es-ES_tradnl"/>
              </w:rPr>
              <w:t xml:space="preserve"> </w:t>
            </w:r>
            <w:r w:rsidRPr="00E00F13">
              <w:rPr>
                <w:rFonts w:ascii="Aptos Narrow" w:eastAsia="Times New Roman" w:hAnsi="Aptos Narrow" w:cs="Times New Roman"/>
                <w:sz w:val="18"/>
                <w:szCs w:val="18"/>
                <w:lang w:val="es-ES" w:eastAsia="es-ES_tradnl"/>
              </w:rPr>
              <w:t>Promueve la construcción sostenible mediante eficiencia energética, recolección de aguas lluvias y uso de materiales de bajo impacto ambiental, contribuyendo</w:t>
            </w:r>
            <w:r w:rsidR="00AE20BE" w:rsidRPr="00E00F13">
              <w:rPr>
                <w:rFonts w:ascii="Aptos Narrow" w:eastAsia="Times New Roman" w:hAnsi="Aptos Narrow" w:cs="Times New Roman"/>
                <w:sz w:val="18"/>
                <w:szCs w:val="18"/>
                <w:lang w:val="es-ES" w:eastAsia="es-ES_tradnl"/>
              </w:rPr>
              <w:t xml:space="preserve"> a prevenir en</w:t>
            </w:r>
            <w:r w:rsidRPr="00E00F13">
              <w:rPr>
                <w:rFonts w:ascii="Aptos Narrow" w:eastAsia="Times New Roman" w:hAnsi="Aptos Narrow" w:cs="Times New Roman"/>
                <w:sz w:val="18"/>
                <w:szCs w:val="18"/>
                <w:lang w:val="es-ES" w:eastAsia="es-ES_tradnl"/>
              </w:rPr>
              <w:t xml:space="preserve"> territorios y viviendas resilientes riesgos climáticos.</w:t>
            </w:r>
          </w:p>
        </w:tc>
      </w:tr>
      <w:tr w:rsidR="0092665C" w:rsidRPr="00E00F13" w14:paraId="329060E8" w14:textId="77777777" w:rsidTr="0092665C">
        <w:trPr>
          <w:cnfStyle w:val="000000100000" w:firstRow="0" w:lastRow="0" w:firstColumn="0" w:lastColumn="0" w:oddVBand="0" w:evenVBand="0" w:oddHBand="1" w:evenHBand="0" w:firstRowFirstColumn="0" w:firstRowLastColumn="0" w:lastRowFirstColumn="0" w:lastRowLastColumn="0"/>
          <w:trHeight w:val="1036"/>
        </w:trPr>
        <w:tc>
          <w:tcPr>
            <w:cnfStyle w:val="001000000000" w:firstRow="0" w:lastRow="0" w:firstColumn="1" w:lastColumn="0" w:oddVBand="0" w:evenVBand="0" w:oddHBand="0" w:evenHBand="0" w:firstRowFirstColumn="0" w:firstRowLastColumn="0" w:lastRowFirstColumn="0" w:lastRowLastColumn="0"/>
            <w:tcW w:w="1672" w:type="dxa"/>
            <w:hideMark/>
          </w:tcPr>
          <w:p w14:paraId="31F1BE98" w14:textId="77777777" w:rsidR="0092665C" w:rsidRPr="00E00F13" w:rsidRDefault="0092665C" w:rsidP="0092665C">
            <w:pPr>
              <w:rPr>
                <w:rFonts w:ascii="Aptos Narrow" w:eastAsia="Times New Roman" w:hAnsi="Aptos Narrow" w:cs="Times New Roman"/>
                <w:sz w:val="20"/>
                <w:szCs w:val="20"/>
                <w:lang w:val="es-ES" w:eastAsia="es-ES_tradnl"/>
              </w:rPr>
            </w:pPr>
            <w:r w:rsidRPr="00E00F13">
              <w:rPr>
                <w:rFonts w:ascii="Aptos Narrow" w:eastAsia="Times New Roman" w:hAnsi="Aptos Narrow" w:cs="Times New Roman"/>
                <w:sz w:val="20"/>
                <w:szCs w:val="20"/>
                <w:lang w:val="es-ES" w:eastAsia="es-ES_tradnl"/>
              </w:rPr>
              <w:t>Decreto 413 de 2025 –Mejoramiento de vivienda</w:t>
            </w:r>
          </w:p>
        </w:tc>
        <w:tc>
          <w:tcPr>
            <w:tcW w:w="7113" w:type="dxa"/>
            <w:hideMark/>
          </w:tcPr>
          <w:p w14:paraId="2229A44A" w14:textId="77777777" w:rsidR="0092665C" w:rsidRPr="00E00F13" w:rsidRDefault="0092665C" w:rsidP="00AE20BE">
            <w:pPr>
              <w:jc w:val="both"/>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18"/>
                <w:szCs w:val="18"/>
                <w:lang w:val="es-ES" w:eastAsia="es-ES_tradnl"/>
              </w:rPr>
            </w:pPr>
            <w:r w:rsidRPr="00E00F13">
              <w:rPr>
                <w:rFonts w:ascii="Aptos Narrow" w:eastAsia="Times New Roman" w:hAnsi="Aptos Narrow" w:cs="Times New Roman"/>
                <w:sz w:val="18"/>
                <w:szCs w:val="18"/>
                <w:lang w:val="es-ES" w:eastAsia="es-ES_tradnl"/>
              </w:rPr>
              <w:t>Las intervenciones sobre las viviendas donde se aplique el subsidio familiar de vivienda en la modalidad de mejoramiento podrán contemplar obras orientadas a la eficiencia energética, recolección de aguas lluvias y uso de materiales de bajo impacto ambiental. Las viviendas que requieren mejoras de la calidad estructural deberán adaptar las viviendas a la variabilidad climática.</w:t>
            </w:r>
          </w:p>
        </w:tc>
      </w:tr>
      <w:tr w:rsidR="0092665C" w:rsidRPr="00E00F13" w14:paraId="22AD9A4B" w14:textId="77777777" w:rsidTr="00AE20BE">
        <w:trPr>
          <w:trHeight w:val="845"/>
        </w:trPr>
        <w:tc>
          <w:tcPr>
            <w:cnfStyle w:val="001000000000" w:firstRow="0" w:lastRow="0" w:firstColumn="1" w:lastColumn="0" w:oddVBand="0" w:evenVBand="0" w:oddHBand="0" w:evenHBand="0" w:firstRowFirstColumn="0" w:firstRowLastColumn="0" w:lastRowFirstColumn="0" w:lastRowLastColumn="0"/>
            <w:tcW w:w="1672" w:type="dxa"/>
            <w:vMerge w:val="restart"/>
            <w:hideMark/>
          </w:tcPr>
          <w:p w14:paraId="67E27CB2" w14:textId="77777777" w:rsidR="0092665C" w:rsidRPr="00E00F13" w:rsidRDefault="0092665C" w:rsidP="0092665C">
            <w:pPr>
              <w:rPr>
                <w:rFonts w:ascii="Aptos Narrow" w:eastAsia="Times New Roman" w:hAnsi="Aptos Narrow" w:cs="Times New Roman"/>
                <w:sz w:val="20"/>
                <w:szCs w:val="20"/>
                <w:lang w:val="es-ES" w:eastAsia="es-ES_tradnl"/>
              </w:rPr>
            </w:pPr>
            <w:r w:rsidRPr="00E00F13">
              <w:rPr>
                <w:rFonts w:ascii="Aptos Narrow" w:eastAsia="Times New Roman" w:hAnsi="Aptos Narrow" w:cs="Times New Roman"/>
                <w:sz w:val="20"/>
                <w:szCs w:val="20"/>
                <w:lang w:val="es-ES" w:eastAsia="es-ES_tradnl"/>
              </w:rPr>
              <w:t xml:space="preserve">Resolución 194 de 2025 y su Anexo 1: Guía de </w:t>
            </w:r>
            <w:r w:rsidRPr="00E00F13">
              <w:rPr>
                <w:rFonts w:ascii="Aptos Narrow" w:eastAsia="Times New Roman" w:hAnsi="Aptos Narrow" w:cs="Times New Roman"/>
                <w:sz w:val="20"/>
                <w:szCs w:val="20"/>
                <w:lang w:val="es-ES" w:eastAsia="es-ES_tradnl"/>
              </w:rPr>
              <w:lastRenderedPageBreak/>
              <w:t>construcción</w:t>
            </w:r>
            <w:r w:rsidRPr="00E00F13">
              <w:rPr>
                <w:rFonts w:ascii="Aptos Narrow" w:eastAsia="Times New Roman" w:hAnsi="Aptos Narrow" w:cs="Times New Roman"/>
                <w:sz w:val="20"/>
                <w:szCs w:val="20"/>
                <w:lang w:val="es-ES" w:eastAsia="es-ES_tradnl"/>
              </w:rPr>
              <w:br/>
              <w:t>sostenible para el ahorro de agua y energía en edificaciones (obra nueva)</w:t>
            </w:r>
          </w:p>
        </w:tc>
        <w:tc>
          <w:tcPr>
            <w:tcW w:w="7113" w:type="dxa"/>
            <w:hideMark/>
          </w:tcPr>
          <w:p w14:paraId="76D69F63" w14:textId="79CC4605" w:rsidR="0092665C" w:rsidRPr="00E00F13" w:rsidRDefault="000B66AF" w:rsidP="0092665C">
            <w:pPr>
              <w:jc w:val="both"/>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18"/>
                <w:szCs w:val="18"/>
                <w:lang w:val="es-ES" w:eastAsia="es-ES_tradnl"/>
              </w:rPr>
            </w:pPr>
            <w:r w:rsidRPr="00E00F13">
              <w:rPr>
                <w:rFonts w:ascii="Aptos Narrow" w:eastAsia="Times New Roman" w:hAnsi="Aptos Narrow" w:cs="Times New Roman"/>
                <w:sz w:val="18"/>
                <w:szCs w:val="18"/>
                <w:lang w:val="es-ES" w:eastAsia="es-ES_tradnl"/>
              </w:rPr>
              <w:lastRenderedPageBreak/>
              <w:t>M</w:t>
            </w:r>
            <w:r w:rsidR="0092665C" w:rsidRPr="00E00F13">
              <w:rPr>
                <w:rFonts w:ascii="Aptos Narrow" w:eastAsia="Times New Roman" w:hAnsi="Aptos Narrow" w:cs="Times New Roman"/>
                <w:sz w:val="18"/>
                <w:szCs w:val="18"/>
                <w:lang w:val="es-ES" w:eastAsia="es-ES_tradnl"/>
              </w:rPr>
              <w:t xml:space="preserve">ediante la </w:t>
            </w:r>
            <w:r w:rsidRPr="00E00F13">
              <w:rPr>
                <w:rFonts w:ascii="Aptos Narrow" w:eastAsia="Times New Roman" w:hAnsi="Aptos Narrow" w:cs="Times New Roman"/>
                <w:sz w:val="18"/>
                <w:szCs w:val="18"/>
                <w:lang w:val="es-ES" w:eastAsia="es-ES_tradnl"/>
              </w:rPr>
              <w:t>r</w:t>
            </w:r>
            <w:r w:rsidR="0092665C" w:rsidRPr="00E00F13">
              <w:rPr>
                <w:rFonts w:ascii="Aptos Narrow" w:eastAsia="Times New Roman" w:hAnsi="Aptos Narrow" w:cs="Times New Roman"/>
                <w:sz w:val="18"/>
                <w:szCs w:val="18"/>
                <w:lang w:val="es-ES" w:eastAsia="es-ES_tradnl"/>
              </w:rPr>
              <w:t xml:space="preserve">esolución </w:t>
            </w:r>
            <w:r w:rsidRPr="00E00F13">
              <w:rPr>
                <w:rFonts w:ascii="Aptos Narrow" w:eastAsia="Times New Roman" w:hAnsi="Aptos Narrow" w:cs="Times New Roman"/>
                <w:sz w:val="18"/>
                <w:szCs w:val="18"/>
                <w:lang w:val="es-ES" w:eastAsia="es-ES_tradnl"/>
              </w:rPr>
              <w:t xml:space="preserve">se adopta </w:t>
            </w:r>
            <w:r w:rsidR="0092665C" w:rsidRPr="00E00F13">
              <w:rPr>
                <w:rFonts w:ascii="Aptos Narrow" w:eastAsia="Times New Roman" w:hAnsi="Aptos Narrow" w:cs="Times New Roman"/>
                <w:sz w:val="18"/>
                <w:szCs w:val="18"/>
                <w:lang w:val="es-ES" w:eastAsia="es-ES_tradnl"/>
              </w:rPr>
              <w:t>la Guía de construcción sostenible para el ahorro de agua y energía en edificaciones que contiene la propuesta de referencia de medidas de implementación, pasivas y activas, para alcanzar el cumplimiento de los porcentajes de ahorro mínimos establecidos en la norma.</w:t>
            </w:r>
          </w:p>
        </w:tc>
      </w:tr>
      <w:tr w:rsidR="0092665C" w:rsidRPr="00E00F13" w14:paraId="73B15869" w14:textId="77777777" w:rsidTr="000B66AF">
        <w:trPr>
          <w:cnfStyle w:val="000000100000" w:firstRow="0" w:lastRow="0" w:firstColumn="0" w:lastColumn="0" w:oddVBand="0" w:evenVBand="0" w:oddHBand="1" w:evenHBand="0" w:firstRowFirstColumn="0" w:firstRowLastColumn="0" w:lastRowFirstColumn="0" w:lastRowLastColumn="0"/>
          <w:trHeight w:val="1450"/>
        </w:trPr>
        <w:tc>
          <w:tcPr>
            <w:cnfStyle w:val="001000000000" w:firstRow="0" w:lastRow="0" w:firstColumn="1" w:lastColumn="0" w:oddVBand="0" w:evenVBand="0" w:oddHBand="0" w:evenHBand="0" w:firstRowFirstColumn="0" w:firstRowLastColumn="0" w:lastRowFirstColumn="0" w:lastRowLastColumn="0"/>
            <w:tcW w:w="1672" w:type="dxa"/>
            <w:vMerge/>
            <w:hideMark/>
          </w:tcPr>
          <w:p w14:paraId="7904F680" w14:textId="77777777" w:rsidR="0092665C" w:rsidRPr="00E00F13" w:rsidRDefault="0092665C" w:rsidP="0092665C">
            <w:pPr>
              <w:rPr>
                <w:rFonts w:ascii="Aptos Narrow" w:eastAsia="Times New Roman" w:hAnsi="Aptos Narrow" w:cs="Times New Roman"/>
                <w:sz w:val="20"/>
                <w:szCs w:val="20"/>
                <w:lang w:val="es-ES" w:eastAsia="es-ES_tradnl"/>
              </w:rPr>
            </w:pPr>
          </w:p>
        </w:tc>
        <w:tc>
          <w:tcPr>
            <w:tcW w:w="7113" w:type="dxa"/>
            <w:hideMark/>
          </w:tcPr>
          <w:p w14:paraId="4E7182BC" w14:textId="2CA71D29" w:rsidR="0092665C" w:rsidRPr="00E00F13" w:rsidRDefault="0092665C" w:rsidP="0092665C">
            <w:pPr>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18"/>
                <w:szCs w:val="18"/>
                <w:lang w:val="es-ES" w:eastAsia="es-ES_tradnl"/>
              </w:rPr>
            </w:pPr>
            <w:r w:rsidRPr="00E00F13">
              <w:rPr>
                <w:rFonts w:ascii="Aptos Narrow" w:eastAsia="Times New Roman" w:hAnsi="Aptos Narrow" w:cs="Times New Roman"/>
                <w:sz w:val="18"/>
                <w:szCs w:val="18"/>
                <w:lang w:val="es-ES" w:eastAsia="es-ES_tradnl"/>
              </w:rPr>
              <w:t>Se busca reducir el consumo energético operacional, disminuyendo la dependencia en medios artificiales de enfriamiento, calefacción o iluminación. El sector de la construcción y operación de edificios fue responsable del 38 % de las emisiones globales de dióxido de carbono (CO2) relacionadas con la energía en 2015</w:t>
            </w:r>
            <w:r w:rsidR="000B66AF" w:rsidRPr="00E00F13">
              <w:rPr>
                <w:rFonts w:ascii="Aptos Narrow" w:eastAsia="Times New Roman" w:hAnsi="Aptos Narrow" w:cs="Times New Roman"/>
                <w:sz w:val="18"/>
                <w:szCs w:val="18"/>
                <w:lang w:val="es-ES" w:eastAsia="es-ES_tradnl"/>
              </w:rPr>
              <w:t>,</w:t>
            </w:r>
            <w:r w:rsidRPr="00E00F13">
              <w:rPr>
                <w:rFonts w:ascii="Aptos Narrow" w:eastAsia="Times New Roman" w:hAnsi="Aptos Narrow" w:cs="Times New Roman"/>
                <w:sz w:val="18"/>
                <w:szCs w:val="18"/>
                <w:lang w:val="es-ES" w:eastAsia="es-ES_tradnl"/>
              </w:rPr>
              <w:t xml:space="preserve"> por lo que este tema resulta fundamental. </w:t>
            </w:r>
          </w:p>
        </w:tc>
      </w:tr>
      <w:tr w:rsidR="0092665C" w:rsidRPr="00E00F13" w14:paraId="403315CC" w14:textId="77777777">
        <w:trPr>
          <w:trHeight w:val="2117"/>
        </w:trPr>
        <w:tc>
          <w:tcPr>
            <w:cnfStyle w:val="001000000000" w:firstRow="0" w:lastRow="0" w:firstColumn="1" w:lastColumn="0" w:oddVBand="0" w:evenVBand="0" w:oddHBand="0" w:evenHBand="0" w:firstRowFirstColumn="0" w:firstRowLastColumn="0" w:lastRowFirstColumn="0" w:lastRowLastColumn="0"/>
            <w:tcW w:w="1672" w:type="dxa"/>
            <w:hideMark/>
          </w:tcPr>
          <w:p w14:paraId="7599A67B" w14:textId="77777777" w:rsidR="0092665C" w:rsidRPr="00E00F13" w:rsidRDefault="0092665C" w:rsidP="0092665C">
            <w:pPr>
              <w:jc w:val="center"/>
              <w:rPr>
                <w:rFonts w:ascii="Aptos Narrow" w:eastAsia="Times New Roman" w:hAnsi="Aptos Narrow" w:cs="Times New Roman"/>
                <w:sz w:val="20"/>
                <w:szCs w:val="20"/>
                <w:lang w:val="es-ES" w:eastAsia="es-ES_tradnl"/>
              </w:rPr>
            </w:pPr>
            <w:r w:rsidRPr="00E00F13">
              <w:rPr>
                <w:rFonts w:ascii="Aptos Narrow" w:eastAsia="Times New Roman" w:hAnsi="Aptos Narrow" w:cs="Times New Roman"/>
                <w:sz w:val="20"/>
                <w:szCs w:val="20"/>
                <w:lang w:val="es-ES" w:eastAsia="es-ES_tradnl"/>
              </w:rPr>
              <w:t>Guía Técnica Criterios de Sostenibilidad para Edificaciones - Ciclo de Vida. Resolución 0534 de 2025</w:t>
            </w:r>
          </w:p>
        </w:tc>
        <w:tc>
          <w:tcPr>
            <w:tcW w:w="7113" w:type="dxa"/>
            <w:hideMark/>
          </w:tcPr>
          <w:p w14:paraId="2294C415" w14:textId="77777777" w:rsidR="0092665C" w:rsidRPr="00E00F13" w:rsidRDefault="0092665C" w:rsidP="0092665C">
            <w:pPr>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18"/>
                <w:szCs w:val="18"/>
                <w:lang w:val="es-ES" w:eastAsia="es-ES_tradnl"/>
              </w:rPr>
            </w:pPr>
            <w:r w:rsidRPr="00E00F13">
              <w:rPr>
                <w:rFonts w:ascii="Aptos Narrow" w:eastAsia="Times New Roman" w:hAnsi="Aptos Narrow" w:cs="Times New Roman"/>
                <w:sz w:val="18"/>
                <w:szCs w:val="18"/>
                <w:lang w:val="es-ES" w:eastAsia="es-ES_tradnl"/>
              </w:rPr>
              <w:t>El propósito principal es recopilar criterios de construcción sostenible aplicables a todas las etapas del ciclo de vida de las edificaciones, promoviendo el desarrollo de edificaciones bajas en carbono, resilientes y responsables con el uso eficiente de los recursos naturales.</w:t>
            </w:r>
          </w:p>
        </w:tc>
      </w:tr>
    </w:tbl>
    <w:p w14:paraId="70596448" w14:textId="77777777" w:rsidR="00937CDB" w:rsidRPr="00E00F13" w:rsidRDefault="00937CDB" w:rsidP="00937CDB">
      <w:pPr>
        <w:spacing w:after="0" w:line="360" w:lineRule="auto"/>
        <w:jc w:val="both"/>
        <w:rPr>
          <w:rFonts w:ascii="Arial" w:eastAsia="Times New Roman" w:hAnsi="Arial" w:cs="Arial"/>
          <w:sz w:val="24"/>
          <w:szCs w:val="24"/>
          <w:lang w:val="es-ES" w:eastAsia="es-ES_tradnl"/>
        </w:rPr>
      </w:pPr>
    </w:p>
    <w:p w14:paraId="02D8077C" w14:textId="3A545742" w:rsidR="0092665C" w:rsidRPr="00E00F13" w:rsidRDefault="00A116E2" w:rsidP="00937CDB">
      <w:p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S</w:t>
      </w:r>
      <w:r w:rsidR="00937CDB" w:rsidRPr="00E00F13">
        <w:rPr>
          <w:rFonts w:ascii="Arial" w:eastAsia="Times New Roman" w:hAnsi="Arial" w:cs="Arial"/>
          <w:sz w:val="24"/>
          <w:szCs w:val="24"/>
          <w:lang w:val="es-ES" w:eastAsia="es-ES_tradnl"/>
        </w:rPr>
        <w:t>obre</w:t>
      </w:r>
      <w:r w:rsidR="0092665C" w:rsidRPr="00E00F13">
        <w:rPr>
          <w:rFonts w:ascii="Arial" w:eastAsia="Times New Roman" w:hAnsi="Arial" w:cs="Arial"/>
          <w:sz w:val="24"/>
          <w:szCs w:val="24"/>
          <w:lang w:val="es-ES" w:eastAsia="es-ES_tradnl"/>
        </w:rPr>
        <w:t xml:space="preserve"> la economía circular y la gestión integral de recursos, el programa de Basura Cero </w:t>
      </w:r>
      <w:r w:rsidR="00937CDB" w:rsidRPr="00E00F13">
        <w:rPr>
          <w:rFonts w:ascii="Arial" w:eastAsia="Times New Roman" w:hAnsi="Arial" w:cs="Arial"/>
          <w:sz w:val="24"/>
          <w:szCs w:val="24"/>
          <w:lang w:val="es-ES" w:eastAsia="es-ES_tradnl"/>
        </w:rPr>
        <w:t xml:space="preserve">es </w:t>
      </w:r>
      <w:r w:rsidR="0092665C" w:rsidRPr="00E00F13">
        <w:rPr>
          <w:rFonts w:ascii="Arial" w:eastAsia="Times New Roman" w:hAnsi="Arial" w:cs="Arial"/>
          <w:sz w:val="24"/>
          <w:szCs w:val="24"/>
          <w:lang w:val="es-ES" w:eastAsia="es-ES_tradnl"/>
        </w:rPr>
        <w:t>el que contiene elementos contundente</w:t>
      </w:r>
      <w:r w:rsidR="00937CDB" w:rsidRPr="00E00F13">
        <w:rPr>
          <w:rFonts w:ascii="Arial" w:eastAsia="Times New Roman" w:hAnsi="Arial" w:cs="Arial"/>
          <w:sz w:val="24"/>
          <w:szCs w:val="24"/>
          <w:lang w:val="es-ES" w:eastAsia="es-ES_tradnl"/>
        </w:rPr>
        <w:t>s</w:t>
      </w:r>
      <w:r w:rsidR="0092665C" w:rsidRPr="00E00F13">
        <w:rPr>
          <w:rFonts w:ascii="Arial" w:eastAsia="Times New Roman" w:hAnsi="Arial" w:cs="Arial"/>
          <w:sz w:val="24"/>
          <w:szCs w:val="24"/>
          <w:lang w:val="es-ES" w:eastAsia="es-ES_tradnl"/>
        </w:rPr>
        <w:t xml:space="preserve"> en esta materia: </w:t>
      </w:r>
    </w:p>
    <w:p w14:paraId="4000999E" w14:textId="77777777" w:rsidR="00937CDB" w:rsidRPr="00E00F13" w:rsidRDefault="00937CDB" w:rsidP="00937CDB">
      <w:pPr>
        <w:spacing w:after="0" w:line="360" w:lineRule="auto"/>
        <w:jc w:val="both"/>
        <w:rPr>
          <w:rFonts w:ascii="Arial" w:eastAsia="Times New Roman" w:hAnsi="Arial" w:cs="Arial"/>
          <w:sz w:val="24"/>
          <w:szCs w:val="24"/>
          <w:lang w:val="es-ES" w:eastAsia="es-ES_tradnl"/>
        </w:rPr>
      </w:pPr>
    </w:p>
    <w:p w14:paraId="3A6E6673" w14:textId="4DF23B69" w:rsidR="00A928C0" w:rsidRPr="00E00F13" w:rsidRDefault="00902401" w:rsidP="00A928C0">
      <w:pPr>
        <w:spacing w:after="0" w:line="360" w:lineRule="auto"/>
        <w:jc w:val="both"/>
        <w:rPr>
          <w:rFonts w:ascii="Arial" w:eastAsia="Times New Roman" w:hAnsi="Arial" w:cs="Arial"/>
          <w:b/>
          <w:bCs/>
          <w:sz w:val="24"/>
          <w:szCs w:val="24"/>
          <w:lang w:val="es-ES" w:eastAsia="es-ES_tradnl"/>
        </w:rPr>
      </w:pPr>
      <w:r w:rsidRPr="00E00F13">
        <w:rPr>
          <w:rFonts w:ascii="Arial" w:eastAsia="Times New Roman" w:hAnsi="Arial" w:cs="Arial"/>
          <w:b/>
          <w:bCs/>
          <w:sz w:val="24"/>
          <w:szCs w:val="24"/>
          <w:lang w:val="es-ES" w:eastAsia="es-ES_tradnl"/>
        </w:rPr>
        <w:t xml:space="preserve">Tabla. Economía circular y gestión integral de recursos </w:t>
      </w:r>
      <w:r w:rsidR="00A928C0" w:rsidRPr="00E00F13">
        <w:rPr>
          <w:rFonts w:ascii="Arial" w:eastAsia="Times New Roman" w:hAnsi="Arial" w:cs="Arial"/>
          <w:b/>
          <w:bCs/>
          <w:sz w:val="24"/>
          <w:szCs w:val="24"/>
          <w:lang w:val="es-ES" w:eastAsia="es-ES_tradnl"/>
        </w:rPr>
        <w:t>en el marco normativo del MVCT</w:t>
      </w:r>
    </w:p>
    <w:tbl>
      <w:tblPr>
        <w:tblStyle w:val="Tablaconcuadrcula4-nfasis11"/>
        <w:tblW w:w="8400" w:type="dxa"/>
        <w:tblLook w:val="04A0" w:firstRow="1" w:lastRow="0" w:firstColumn="1" w:lastColumn="0" w:noHBand="0" w:noVBand="1"/>
      </w:tblPr>
      <w:tblGrid>
        <w:gridCol w:w="1696"/>
        <w:gridCol w:w="6704"/>
      </w:tblGrid>
      <w:tr w:rsidR="0092665C" w:rsidRPr="00E00F13" w14:paraId="4E098C8C" w14:textId="77777777" w:rsidTr="0092665C">
        <w:trPr>
          <w:cnfStyle w:val="100000000000" w:firstRow="1" w:lastRow="0" w:firstColumn="0" w:lastColumn="0" w:oddVBand="0" w:evenVBand="0" w:oddHBand="0" w:evenHBand="0" w:firstRowFirstColumn="0" w:firstRowLastColumn="0" w:lastRowFirstColumn="0" w:lastRowLastColumn="0"/>
          <w:trHeight w:val="68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34A3C164" w14:textId="77777777" w:rsidR="0092665C" w:rsidRPr="00E00F13" w:rsidRDefault="0092665C" w:rsidP="0092665C">
            <w:pPr>
              <w:jc w:val="center"/>
              <w:rPr>
                <w:rFonts w:ascii="Aptos Narrow" w:eastAsia="Times New Roman" w:hAnsi="Aptos Narrow" w:cs="Times New Roman"/>
                <w:color w:val="auto"/>
                <w:sz w:val="20"/>
                <w:szCs w:val="20"/>
                <w:lang w:val="es-ES" w:eastAsia="es-ES_tradnl"/>
              </w:rPr>
            </w:pPr>
            <w:r w:rsidRPr="00E00F13">
              <w:rPr>
                <w:rFonts w:ascii="Aptos Narrow" w:eastAsia="Times New Roman" w:hAnsi="Aptos Narrow" w:cs="Times New Roman"/>
                <w:color w:val="auto"/>
                <w:sz w:val="20"/>
                <w:szCs w:val="20"/>
                <w:lang w:val="es-ES" w:eastAsia="es-ES_tradnl"/>
              </w:rPr>
              <w:t>NOMBRE</w:t>
            </w:r>
          </w:p>
        </w:tc>
        <w:tc>
          <w:tcPr>
            <w:tcW w:w="6704" w:type="dxa"/>
            <w:noWrap/>
            <w:hideMark/>
          </w:tcPr>
          <w:p w14:paraId="093EECA8" w14:textId="77777777" w:rsidR="0092665C" w:rsidRPr="00E00F13" w:rsidRDefault="0092665C" w:rsidP="0092665C">
            <w:pPr>
              <w:jc w:val="center"/>
              <w:cnfStyle w:val="100000000000" w:firstRow="1" w:lastRow="0" w:firstColumn="0" w:lastColumn="0" w:oddVBand="0" w:evenVBand="0" w:oddHBand="0" w:evenHBand="0" w:firstRowFirstColumn="0" w:firstRowLastColumn="0" w:lastRowFirstColumn="0" w:lastRowLastColumn="0"/>
              <w:rPr>
                <w:rFonts w:ascii="Aptos Narrow" w:eastAsia="Times New Roman" w:hAnsi="Aptos Narrow" w:cs="Times New Roman"/>
                <w:color w:val="auto"/>
                <w:sz w:val="20"/>
                <w:szCs w:val="20"/>
                <w:lang w:val="es-ES" w:eastAsia="es-ES_tradnl"/>
              </w:rPr>
            </w:pPr>
            <w:r w:rsidRPr="00E00F13">
              <w:rPr>
                <w:rFonts w:ascii="Aptos Narrow" w:eastAsia="Times New Roman" w:hAnsi="Aptos Narrow" w:cs="Times New Roman"/>
                <w:color w:val="auto"/>
                <w:sz w:val="20"/>
                <w:szCs w:val="20"/>
                <w:lang w:val="es-ES" w:eastAsia="es-ES_tradnl"/>
              </w:rPr>
              <w:t>TEMÁTICA AMBIENTAL INTRODUCIDA</w:t>
            </w:r>
          </w:p>
        </w:tc>
      </w:tr>
      <w:tr w:rsidR="0092665C" w:rsidRPr="00E00F13" w14:paraId="3192313C" w14:textId="77777777" w:rsidTr="00937CDB">
        <w:trPr>
          <w:cnfStyle w:val="000000100000" w:firstRow="0" w:lastRow="0" w:firstColumn="0" w:lastColumn="0" w:oddVBand="0" w:evenVBand="0" w:oddHBand="1" w:evenHBand="0" w:firstRowFirstColumn="0" w:firstRowLastColumn="0" w:lastRowFirstColumn="0" w:lastRowLastColumn="0"/>
          <w:trHeight w:val="694"/>
        </w:trPr>
        <w:tc>
          <w:tcPr>
            <w:cnfStyle w:val="001000000000" w:firstRow="0" w:lastRow="0" w:firstColumn="1" w:lastColumn="0" w:oddVBand="0" w:evenVBand="0" w:oddHBand="0" w:evenHBand="0" w:firstRowFirstColumn="0" w:firstRowLastColumn="0" w:lastRowFirstColumn="0" w:lastRowLastColumn="0"/>
            <w:tcW w:w="1696" w:type="dxa"/>
            <w:vMerge w:val="restart"/>
            <w:hideMark/>
          </w:tcPr>
          <w:p w14:paraId="5F61B471" w14:textId="4293AFF2" w:rsidR="0092665C" w:rsidRPr="00E00F13" w:rsidRDefault="0092665C" w:rsidP="0092665C">
            <w:pPr>
              <w:rPr>
                <w:rFonts w:ascii="Aptos Narrow" w:eastAsia="Times New Roman" w:hAnsi="Aptos Narrow" w:cs="Times New Roman"/>
                <w:sz w:val="20"/>
                <w:szCs w:val="20"/>
                <w:lang w:val="es-ES" w:eastAsia="es-ES_tradnl"/>
              </w:rPr>
            </w:pPr>
            <w:r w:rsidRPr="00E00F13">
              <w:rPr>
                <w:rFonts w:ascii="Aptos Narrow" w:eastAsia="Times New Roman" w:hAnsi="Aptos Narrow" w:cs="Times New Roman"/>
                <w:sz w:val="20"/>
                <w:szCs w:val="20"/>
                <w:lang w:val="es-ES" w:eastAsia="es-ES_tradnl"/>
              </w:rPr>
              <w:t>Decreto 1381 de 2024</w:t>
            </w:r>
            <w:r w:rsidR="00937CDB" w:rsidRPr="00E00F13">
              <w:rPr>
                <w:rFonts w:ascii="Aptos Narrow" w:eastAsia="Times New Roman" w:hAnsi="Aptos Narrow" w:cs="Times New Roman"/>
                <w:sz w:val="20"/>
                <w:szCs w:val="20"/>
                <w:lang w:val="es-ES" w:eastAsia="es-ES_tradnl"/>
              </w:rPr>
              <w:t xml:space="preserve"> –</w:t>
            </w:r>
            <w:r w:rsidRPr="00E00F13">
              <w:rPr>
                <w:rFonts w:ascii="Aptos Narrow" w:eastAsia="Times New Roman" w:hAnsi="Aptos Narrow" w:cs="Times New Roman"/>
                <w:sz w:val="20"/>
                <w:szCs w:val="20"/>
                <w:lang w:val="es-ES" w:eastAsia="es-ES_tradnl"/>
              </w:rPr>
              <w:t xml:space="preserve"> Actividad de aprovechamiento</w:t>
            </w:r>
          </w:p>
          <w:p w14:paraId="42544E3C" w14:textId="77777777" w:rsidR="0092665C" w:rsidRPr="00E00F13" w:rsidRDefault="0092665C" w:rsidP="0092665C">
            <w:pPr>
              <w:rPr>
                <w:rFonts w:ascii="Aptos Narrow" w:eastAsia="Times New Roman" w:hAnsi="Aptos Narrow" w:cs="Times New Roman"/>
                <w:sz w:val="20"/>
                <w:szCs w:val="20"/>
                <w:lang w:val="es-ES" w:eastAsia="es-ES_tradnl"/>
              </w:rPr>
            </w:pPr>
          </w:p>
        </w:tc>
        <w:tc>
          <w:tcPr>
            <w:tcW w:w="6704" w:type="dxa"/>
            <w:hideMark/>
          </w:tcPr>
          <w:p w14:paraId="374A1EF3" w14:textId="26FF3DCB" w:rsidR="0092665C" w:rsidRPr="00E00F13" w:rsidRDefault="0092665C" w:rsidP="0092665C">
            <w:pPr>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18"/>
                <w:szCs w:val="18"/>
                <w:lang w:val="es-ES" w:eastAsia="es-ES_tradnl"/>
              </w:rPr>
            </w:pPr>
            <w:r w:rsidRPr="00E00F13">
              <w:rPr>
                <w:rFonts w:ascii="Aptos Narrow" w:eastAsia="Times New Roman" w:hAnsi="Aptos Narrow" w:cs="Times New Roman"/>
                <w:sz w:val="18"/>
                <w:szCs w:val="18"/>
                <w:lang w:val="es-ES" w:eastAsia="es-ES_tradnl"/>
              </w:rPr>
              <w:t>Establece como criterio orientador la transición a una economía circular en el marco del desarrollo sostenible</w:t>
            </w:r>
            <w:r w:rsidR="00937CDB" w:rsidRPr="00E00F13">
              <w:rPr>
                <w:rFonts w:ascii="Aptos Narrow" w:eastAsia="Times New Roman" w:hAnsi="Aptos Narrow" w:cs="Times New Roman"/>
                <w:sz w:val="18"/>
                <w:szCs w:val="18"/>
                <w:lang w:val="es-ES" w:eastAsia="es-ES_tradnl"/>
              </w:rPr>
              <w:t xml:space="preserve">, </w:t>
            </w:r>
            <w:r w:rsidRPr="00E00F13">
              <w:rPr>
                <w:rFonts w:ascii="Aptos Narrow" w:eastAsia="Times New Roman" w:hAnsi="Aptos Narrow" w:cs="Times New Roman"/>
                <w:sz w:val="18"/>
                <w:szCs w:val="18"/>
                <w:lang w:val="es-ES" w:eastAsia="es-ES_tradnl"/>
              </w:rPr>
              <w:t xml:space="preserve">y es justamente esto lo que promueve el aprovechamiento de residuos. </w:t>
            </w:r>
          </w:p>
        </w:tc>
      </w:tr>
      <w:tr w:rsidR="0092665C" w:rsidRPr="00E00F13" w14:paraId="56FB4173" w14:textId="77777777" w:rsidTr="00937CDB">
        <w:trPr>
          <w:trHeight w:val="1129"/>
        </w:trPr>
        <w:tc>
          <w:tcPr>
            <w:cnfStyle w:val="001000000000" w:firstRow="0" w:lastRow="0" w:firstColumn="1" w:lastColumn="0" w:oddVBand="0" w:evenVBand="0" w:oddHBand="0" w:evenHBand="0" w:firstRowFirstColumn="0" w:firstRowLastColumn="0" w:lastRowFirstColumn="0" w:lastRowLastColumn="0"/>
            <w:tcW w:w="1696" w:type="dxa"/>
            <w:vMerge/>
            <w:hideMark/>
          </w:tcPr>
          <w:p w14:paraId="5077A649" w14:textId="77777777" w:rsidR="0092665C" w:rsidRPr="00E00F13" w:rsidRDefault="0092665C" w:rsidP="0092665C">
            <w:pPr>
              <w:rPr>
                <w:rFonts w:ascii="Aptos Narrow" w:eastAsia="Times New Roman" w:hAnsi="Aptos Narrow" w:cs="Times New Roman"/>
                <w:sz w:val="20"/>
                <w:szCs w:val="20"/>
                <w:lang w:val="es-ES" w:eastAsia="es-ES_tradnl"/>
              </w:rPr>
            </w:pPr>
          </w:p>
        </w:tc>
        <w:tc>
          <w:tcPr>
            <w:tcW w:w="6704" w:type="dxa"/>
            <w:hideMark/>
          </w:tcPr>
          <w:p w14:paraId="1933100B" w14:textId="0D0CDC79" w:rsidR="0092665C" w:rsidRPr="00E00F13" w:rsidRDefault="0092665C" w:rsidP="0092665C">
            <w:pPr>
              <w:jc w:val="both"/>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18"/>
                <w:szCs w:val="18"/>
                <w:lang w:val="es-ES" w:eastAsia="es-ES_tradnl"/>
              </w:rPr>
            </w:pPr>
            <w:r w:rsidRPr="00E00F13">
              <w:rPr>
                <w:rFonts w:ascii="Aptos Narrow" w:eastAsia="Times New Roman" w:hAnsi="Aptos Narrow" w:cs="Times New Roman"/>
                <w:sz w:val="18"/>
                <w:szCs w:val="18"/>
                <w:lang w:val="es-ES" w:eastAsia="es-ES_tradnl"/>
              </w:rPr>
              <w:t xml:space="preserve">Se establece como deber de los usuarios presentar los residuos separados en la fuente, de acuerdo con el código de colores, para la recolección selectiva por los prestadores de aprovechamiento. Los municipios y las organizaciones de recicladores deben implementar campañas educativas permanentes para lograr la presentación de residuos separados y disminuir </w:t>
            </w:r>
            <w:r w:rsidR="00937CDB" w:rsidRPr="00E00F13">
              <w:rPr>
                <w:rFonts w:ascii="Aptos Narrow" w:eastAsia="Times New Roman" w:hAnsi="Aptos Narrow" w:cs="Times New Roman"/>
                <w:sz w:val="18"/>
                <w:szCs w:val="18"/>
                <w:lang w:val="es-ES" w:eastAsia="es-ES_tradnl"/>
              </w:rPr>
              <w:t>su</w:t>
            </w:r>
            <w:r w:rsidRPr="00E00F13">
              <w:rPr>
                <w:rFonts w:ascii="Aptos Narrow" w:eastAsia="Times New Roman" w:hAnsi="Aptos Narrow" w:cs="Times New Roman"/>
                <w:sz w:val="18"/>
                <w:szCs w:val="18"/>
                <w:lang w:val="es-ES" w:eastAsia="es-ES_tradnl"/>
              </w:rPr>
              <w:t xml:space="preserve"> disposición final</w:t>
            </w:r>
            <w:r w:rsidR="00937CDB" w:rsidRPr="00E00F13">
              <w:rPr>
                <w:rFonts w:ascii="Aptos Narrow" w:eastAsia="Times New Roman" w:hAnsi="Aptos Narrow" w:cs="Times New Roman"/>
                <w:sz w:val="18"/>
                <w:szCs w:val="18"/>
                <w:lang w:val="es-ES" w:eastAsia="es-ES_tradnl"/>
              </w:rPr>
              <w:t>.</w:t>
            </w:r>
          </w:p>
        </w:tc>
      </w:tr>
      <w:tr w:rsidR="0092665C" w:rsidRPr="00E00F13" w14:paraId="3B9AD3DA" w14:textId="77777777" w:rsidTr="0092665C">
        <w:trPr>
          <w:cnfStyle w:val="000000100000" w:firstRow="0" w:lastRow="0" w:firstColumn="0" w:lastColumn="0" w:oddVBand="0" w:evenVBand="0" w:oddHBand="1" w:evenHBand="0" w:firstRowFirstColumn="0" w:firstRowLastColumn="0" w:lastRowFirstColumn="0" w:lastRowLastColumn="0"/>
          <w:trHeight w:val="629"/>
        </w:trPr>
        <w:tc>
          <w:tcPr>
            <w:cnfStyle w:val="001000000000" w:firstRow="0" w:lastRow="0" w:firstColumn="1" w:lastColumn="0" w:oddVBand="0" w:evenVBand="0" w:oddHBand="0" w:evenHBand="0" w:firstRowFirstColumn="0" w:firstRowLastColumn="0" w:lastRowFirstColumn="0" w:lastRowLastColumn="0"/>
            <w:tcW w:w="1696" w:type="dxa"/>
            <w:hideMark/>
          </w:tcPr>
          <w:p w14:paraId="000AAF40" w14:textId="77777777" w:rsidR="0092665C" w:rsidRPr="00E00F13" w:rsidRDefault="0092665C" w:rsidP="0092665C">
            <w:pPr>
              <w:rPr>
                <w:rFonts w:ascii="Aptos Narrow" w:eastAsia="Times New Roman" w:hAnsi="Aptos Narrow" w:cs="Times New Roman"/>
                <w:sz w:val="20"/>
                <w:szCs w:val="20"/>
                <w:lang w:val="es-ES" w:eastAsia="es-ES_tradnl"/>
              </w:rPr>
            </w:pPr>
            <w:r w:rsidRPr="00E00F13">
              <w:rPr>
                <w:rFonts w:ascii="Aptos Narrow" w:eastAsia="Times New Roman" w:hAnsi="Aptos Narrow" w:cs="Times New Roman"/>
                <w:sz w:val="20"/>
                <w:szCs w:val="20"/>
                <w:lang w:val="es-ES" w:eastAsia="es-ES_tradnl"/>
              </w:rPr>
              <w:t xml:space="preserve">Decreto 1470 de 2024 – Barrios y Veredas de Paz </w:t>
            </w:r>
          </w:p>
        </w:tc>
        <w:tc>
          <w:tcPr>
            <w:tcW w:w="6704" w:type="dxa"/>
            <w:hideMark/>
          </w:tcPr>
          <w:p w14:paraId="34F1CEE4" w14:textId="77777777" w:rsidR="0092665C" w:rsidRPr="00E00F13" w:rsidRDefault="0092665C" w:rsidP="0092665C">
            <w:pPr>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18"/>
                <w:szCs w:val="18"/>
                <w:lang w:val="es-ES" w:eastAsia="es-ES_tradnl"/>
              </w:rPr>
            </w:pPr>
            <w:r w:rsidRPr="00E00F13">
              <w:rPr>
                <w:rFonts w:ascii="Aptos Narrow" w:eastAsia="Times New Roman" w:hAnsi="Aptos Narrow" w:cs="Times New Roman"/>
                <w:sz w:val="18"/>
                <w:szCs w:val="18"/>
                <w:lang w:val="es-ES" w:eastAsia="es-ES_tradnl"/>
              </w:rPr>
              <w:t>Las intervenciones contempladas deben adoptar medidas que promuevan la gestión de residuos.</w:t>
            </w:r>
          </w:p>
        </w:tc>
      </w:tr>
      <w:tr w:rsidR="0092665C" w:rsidRPr="00E00F13" w14:paraId="73E8DE96" w14:textId="77777777" w:rsidTr="00937CDB">
        <w:trPr>
          <w:trHeight w:val="1045"/>
        </w:trPr>
        <w:tc>
          <w:tcPr>
            <w:cnfStyle w:val="001000000000" w:firstRow="0" w:lastRow="0" w:firstColumn="1" w:lastColumn="0" w:oddVBand="0" w:evenVBand="0" w:oddHBand="0" w:evenHBand="0" w:firstRowFirstColumn="0" w:firstRowLastColumn="0" w:lastRowFirstColumn="0" w:lastRowLastColumn="0"/>
            <w:tcW w:w="1696" w:type="dxa"/>
            <w:hideMark/>
          </w:tcPr>
          <w:p w14:paraId="3DBE1D33" w14:textId="6B18C12E" w:rsidR="0092665C" w:rsidRPr="00E00F13" w:rsidRDefault="0092665C" w:rsidP="0092665C">
            <w:pPr>
              <w:rPr>
                <w:rFonts w:ascii="Aptos Narrow" w:eastAsia="Times New Roman" w:hAnsi="Aptos Narrow" w:cs="Times New Roman"/>
                <w:sz w:val="20"/>
                <w:szCs w:val="20"/>
                <w:lang w:val="es-ES" w:eastAsia="es-ES_tradnl"/>
              </w:rPr>
            </w:pPr>
            <w:r w:rsidRPr="00E00F13">
              <w:rPr>
                <w:rFonts w:ascii="Aptos Narrow" w:eastAsia="Times New Roman" w:hAnsi="Aptos Narrow" w:cs="Times New Roman"/>
                <w:sz w:val="20"/>
                <w:szCs w:val="20"/>
                <w:lang w:val="es-ES" w:eastAsia="es-ES_tradnl"/>
              </w:rPr>
              <w:t>Decreto 0775 de julio de 2025</w:t>
            </w:r>
            <w:r w:rsidR="00937CDB" w:rsidRPr="00E00F13">
              <w:rPr>
                <w:rFonts w:ascii="Aptos Narrow" w:eastAsia="Times New Roman" w:hAnsi="Aptos Narrow" w:cs="Times New Roman"/>
                <w:sz w:val="20"/>
                <w:szCs w:val="20"/>
                <w:lang w:val="es-ES" w:eastAsia="es-ES_tradnl"/>
              </w:rPr>
              <w:t xml:space="preserve"> –</w:t>
            </w:r>
            <w:r w:rsidRPr="00E00F13">
              <w:rPr>
                <w:rFonts w:ascii="Aptos Narrow" w:eastAsia="Times New Roman" w:hAnsi="Aptos Narrow" w:cs="Times New Roman"/>
                <w:sz w:val="20"/>
                <w:szCs w:val="20"/>
                <w:lang w:val="es-ES" w:eastAsia="es-ES_tradnl"/>
              </w:rPr>
              <w:t xml:space="preserve"> Vivienda usada y otros</w:t>
            </w:r>
          </w:p>
        </w:tc>
        <w:tc>
          <w:tcPr>
            <w:tcW w:w="6704" w:type="dxa"/>
            <w:hideMark/>
          </w:tcPr>
          <w:p w14:paraId="4173008C" w14:textId="77777777" w:rsidR="0092665C" w:rsidRPr="00E00F13" w:rsidRDefault="0092665C" w:rsidP="0092665C">
            <w:pPr>
              <w:jc w:val="both"/>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18"/>
                <w:szCs w:val="18"/>
                <w:lang w:val="es-ES" w:eastAsia="es-ES_tradnl"/>
              </w:rPr>
            </w:pPr>
            <w:r w:rsidRPr="00E00F13">
              <w:rPr>
                <w:rFonts w:ascii="Aptos Narrow" w:eastAsia="Times New Roman" w:hAnsi="Aptos Narrow" w:cs="Times New Roman"/>
                <w:sz w:val="18"/>
                <w:szCs w:val="18"/>
                <w:lang w:val="es-ES" w:eastAsia="es-ES_tradnl"/>
              </w:rPr>
              <w:t>El decreto incluye a los recicladores de oficio como un grupo poblacional específico y diferencial elegible para los subsidios de vivienda (adquisición de vivienda nueva o usada). Esta inclusión se justifica, entre otros criterios, por la labor ambiental que cumplen, la cual beneficia a la sociedad entera y a las generaciones futuras.</w:t>
            </w:r>
          </w:p>
        </w:tc>
      </w:tr>
      <w:tr w:rsidR="0092665C" w:rsidRPr="00E00F13" w14:paraId="6E59DA52" w14:textId="77777777" w:rsidTr="00997CFF">
        <w:trPr>
          <w:cnfStyle w:val="000000100000" w:firstRow="0" w:lastRow="0" w:firstColumn="0" w:lastColumn="0" w:oddVBand="0" w:evenVBand="0" w:oddHBand="1"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1696" w:type="dxa"/>
            <w:vMerge w:val="restart"/>
            <w:hideMark/>
          </w:tcPr>
          <w:p w14:paraId="47B017A1" w14:textId="6A07B12F" w:rsidR="0092665C" w:rsidRPr="00E00F13" w:rsidRDefault="0092665C" w:rsidP="0092665C">
            <w:pPr>
              <w:rPr>
                <w:rFonts w:ascii="Aptos Narrow" w:eastAsia="Times New Roman" w:hAnsi="Aptos Narrow" w:cs="Times New Roman"/>
                <w:sz w:val="20"/>
                <w:szCs w:val="20"/>
                <w:lang w:val="es-ES" w:eastAsia="es-ES_tradnl"/>
              </w:rPr>
            </w:pPr>
            <w:r w:rsidRPr="00E00F13">
              <w:rPr>
                <w:rFonts w:ascii="Aptos Narrow" w:eastAsia="Times New Roman" w:hAnsi="Aptos Narrow" w:cs="Times New Roman"/>
                <w:sz w:val="20"/>
                <w:szCs w:val="20"/>
                <w:lang w:val="es-ES" w:eastAsia="es-ES_tradnl"/>
              </w:rPr>
              <w:t xml:space="preserve">Decreto 0670 de 2025 </w:t>
            </w:r>
            <w:r w:rsidR="00937CDB" w:rsidRPr="00E00F13">
              <w:rPr>
                <w:rFonts w:ascii="Aptos Narrow" w:eastAsia="Times New Roman" w:hAnsi="Aptos Narrow" w:cs="Times New Roman"/>
                <w:sz w:val="20"/>
                <w:szCs w:val="20"/>
                <w:lang w:val="es-ES" w:eastAsia="es-ES_tradnl"/>
              </w:rPr>
              <w:t xml:space="preserve">– </w:t>
            </w:r>
            <w:r w:rsidRPr="00E00F13">
              <w:rPr>
                <w:rFonts w:ascii="Aptos Narrow" w:eastAsia="Times New Roman" w:hAnsi="Aptos Narrow" w:cs="Times New Roman"/>
                <w:sz w:val="20"/>
                <w:szCs w:val="20"/>
                <w:lang w:val="es-ES" w:eastAsia="es-ES_tradnl"/>
              </w:rPr>
              <w:t>Basura Cero</w:t>
            </w:r>
          </w:p>
          <w:p w14:paraId="49874E22" w14:textId="77777777" w:rsidR="0092665C" w:rsidRPr="00E00F13" w:rsidRDefault="0092665C" w:rsidP="0092665C">
            <w:pPr>
              <w:rPr>
                <w:rFonts w:ascii="Aptos Narrow" w:eastAsia="Times New Roman" w:hAnsi="Aptos Narrow" w:cs="Times New Roman"/>
                <w:sz w:val="20"/>
                <w:szCs w:val="20"/>
                <w:lang w:val="es-ES" w:eastAsia="es-ES_tradnl"/>
              </w:rPr>
            </w:pPr>
          </w:p>
        </w:tc>
        <w:tc>
          <w:tcPr>
            <w:tcW w:w="6704" w:type="dxa"/>
            <w:hideMark/>
          </w:tcPr>
          <w:p w14:paraId="66CD559A" w14:textId="28F26C30" w:rsidR="0092665C" w:rsidRPr="00E00F13" w:rsidRDefault="0092665C" w:rsidP="0092665C">
            <w:pPr>
              <w:jc w:val="both"/>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18"/>
                <w:szCs w:val="18"/>
                <w:lang w:val="es-ES" w:eastAsia="es-ES_tradnl"/>
              </w:rPr>
            </w:pPr>
            <w:r w:rsidRPr="00E00F13">
              <w:rPr>
                <w:rFonts w:ascii="Aptos Narrow" w:eastAsia="Times New Roman" w:hAnsi="Aptos Narrow" w:cs="Times New Roman"/>
                <w:sz w:val="18"/>
                <w:szCs w:val="18"/>
                <w:lang w:val="es-ES" w:eastAsia="es-ES_tradnl"/>
              </w:rPr>
              <w:t>El programa entero se define como un conjunto de estrategias orientadas a promover la economía circular, lo que implica el uso eficiente de recursos y la transformación de residuos en valor. Al reincorporar los residuos aprovechables al ciclo económico productivo se fortalecen las cadenas y sectores productivos asociados a la gestión de residuos, impulsando la reindustrialización.</w:t>
            </w:r>
          </w:p>
        </w:tc>
      </w:tr>
      <w:tr w:rsidR="0092665C" w:rsidRPr="00E00F13" w14:paraId="7F0E8CC0" w14:textId="77777777" w:rsidTr="00937CDB">
        <w:trPr>
          <w:trHeight w:val="1005"/>
        </w:trPr>
        <w:tc>
          <w:tcPr>
            <w:cnfStyle w:val="001000000000" w:firstRow="0" w:lastRow="0" w:firstColumn="1" w:lastColumn="0" w:oddVBand="0" w:evenVBand="0" w:oddHBand="0" w:evenHBand="0" w:firstRowFirstColumn="0" w:firstRowLastColumn="0" w:lastRowFirstColumn="0" w:lastRowLastColumn="0"/>
            <w:tcW w:w="1696" w:type="dxa"/>
            <w:vMerge/>
            <w:hideMark/>
          </w:tcPr>
          <w:p w14:paraId="081972C7" w14:textId="77777777" w:rsidR="0092665C" w:rsidRPr="00E00F13" w:rsidRDefault="0092665C" w:rsidP="0092665C">
            <w:pPr>
              <w:rPr>
                <w:rFonts w:ascii="Aptos Narrow" w:eastAsia="Times New Roman" w:hAnsi="Aptos Narrow" w:cs="Times New Roman"/>
                <w:sz w:val="20"/>
                <w:szCs w:val="20"/>
                <w:lang w:val="es-ES" w:eastAsia="es-ES_tradnl"/>
              </w:rPr>
            </w:pPr>
          </w:p>
        </w:tc>
        <w:tc>
          <w:tcPr>
            <w:tcW w:w="6704" w:type="dxa"/>
            <w:hideMark/>
          </w:tcPr>
          <w:p w14:paraId="535500DA" w14:textId="4D668E1E" w:rsidR="00937CDB" w:rsidRPr="00E00F13" w:rsidRDefault="0092665C" w:rsidP="0092665C">
            <w:pPr>
              <w:jc w:val="both"/>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18"/>
                <w:szCs w:val="18"/>
                <w:lang w:val="es-ES" w:eastAsia="es-ES_tradnl"/>
              </w:rPr>
            </w:pPr>
            <w:r w:rsidRPr="00E00F13">
              <w:rPr>
                <w:rFonts w:ascii="Aptos Narrow" w:eastAsia="Times New Roman" w:hAnsi="Aptos Narrow" w:cs="Times New Roman"/>
                <w:sz w:val="18"/>
                <w:szCs w:val="18"/>
                <w:lang w:val="es-ES" w:eastAsia="es-ES_tradnl"/>
              </w:rPr>
              <w:t>La reglamentación prioriza la mitigación de los Gases de Efecto Invernadero (GEI) a través del fomento de la valorización energética de los residuos sólidos y el aprovechamiento de la biomasa y el biogás. Se requieren lineamientos específicos para la captura, almacenamiento, monitoreo y medición de biogás.</w:t>
            </w:r>
          </w:p>
        </w:tc>
      </w:tr>
      <w:tr w:rsidR="0092665C" w:rsidRPr="00E00F13" w14:paraId="0F87019C" w14:textId="77777777" w:rsidTr="0092665C">
        <w:trPr>
          <w:cnfStyle w:val="000000100000" w:firstRow="0" w:lastRow="0" w:firstColumn="0" w:lastColumn="0" w:oddVBand="0" w:evenVBand="0" w:oddHBand="1" w:evenHBand="0" w:firstRowFirstColumn="0" w:firstRowLastColumn="0" w:lastRowFirstColumn="0" w:lastRowLastColumn="0"/>
          <w:trHeight w:val="559"/>
        </w:trPr>
        <w:tc>
          <w:tcPr>
            <w:cnfStyle w:val="001000000000" w:firstRow="0" w:lastRow="0" w:firstColumn="1" w:lastColumn="0" w:oddVBand="0" w:evenVBand="0" w:oddHBand="0" w:evenHBand="0" w:firstRowFirstColumn="0" w:firstRowLastColumn="0" w:lastRowFirstColumn="0" w:lastRowLastColumn="0"/>
            <w:tcW w:w="1696" w:type="dxa"/>
            <w:vMerge/>
            <w:hideMark/>
          </w:tcPr>
          <w:p w14:paraId="6C3A8E9E" w14:textId="77777777" w:rsidR="0092665C" w:rsidRPr="00E00F13" w:rsidRDefault="0092665C" w:rsidP="0092665C">
            <w:pPr>
              <w:rPr>
                <w:rFonts w:ascii="Aptos Narrow" w:eastAsia="Times New Roman" w:hAnsi="Aptos Narrow" w:cs="Times New Roman"/>
                <w:sz w:val="20"/>
                <w:szCs w:val="20"/>
                <w:lang w:val="es-ES" w:eastAsia="es-ES_tradnl"/>
              </w:rPr>
            </w:pPr>
          </w:p>
        </w:tc>
        <w:tc>
          <w:tcPr>
            <w:tcW w:w="6704" w:type="dxa"/>
            <w:hideMark/>
          </w:tcPr>
          <w:p w14:paraId="1D7E40C2" w14:textId="7266E538" w:rsidR="0092665C" w:rsidRPr="00E00F13" w:rsidRDefault="0092665C" w:rsidP="0092665C">
            <w:pPr>
              <w:jc w:val="both"/>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18"/>
                <w:szCs w:val="18"/>
                <w:lang w:val="es-ES" w:eastAsia="es-ES_tradnl"/>
              </w:rPr>
            </w:pPr>
            <w:r w:rsidRPr="00E00F13">
              <w:rPr>
                <w:rFonts w:ascii="Aptos Narrow" w:eastAsia="Times New Roman" w:hAnsi="Aptos Narrow" w:cs="Times New Roman"/>
                <w:sz w:val="18"/>
                <w:szCs w:val="18"/>
                <w:lang w:val="es-ES" w:eastAsia="es-ES_tradnl"/>
              </w:rPr>
              <w:t>Se fomenta la reducción, reutilización y reciclaje de residuos en áreas de protección ambiental o áreas del Sistema Nacional de Áreas Protegidas (SINAP)</w:t>
            </w:r>
            <w:r w:rsidR="00937CDB" w:rsidRPr="00E00F13">
              <w:rPr>
                <w:rFonts w:ascii="Aptos Narrow" w:eastAsia="Times New Roman" w:hAnsi="Aptos Narrow" w:cs="Times New Roman"/>
                <w:sz w:val="18"/>
                <w:szCs w:val="18"/>
                <w:lang w:val="es-ES" w:eastAsia="es-ES_tradnl"/>
              </w:rPr>
              <w:t>.</w:t>
            </w:r>
          </w:p>
        </w:tc>
      </w:tr>
      <w:tr w:rsidR="0092665C" w:rsidRPr="00E00F13" w14:paraId="3948CD9B" w14:textId="77777777" w:rsidTr="00937CDB">
        <w:trPr>
          <w:trHeight w:val="457"/>
        </w:trPr>
        <w:tc>
          <w:tcPr>
            <w:cnfStyle w:val="001000000000" w:firstRow="0" w:lastRow="0" w:firstColumn="1" w:lastColumn="0" w:oddVBand="0" w:evenVBand="0" w:oddHBand="0" w:evenHBand="0" w:firstRowFirstColumn="0" w:firstRowLastColumn="0" w:lastRowFirstColumn="0" w:lastRowLastColumn="0"/>
            <w:tcW w:w="1696" w:type="dxa"/>
            <w:vMerge/>
            <w:hideMark/>
          </w:tcPr>
          <w:p w14:paraId="49557AD0" w14:textId="77777777" w:rsidR="0092665C" w:rsidRPr="00E00F13" w:rsidRDefault="0092665C" w:rsidP="0092665C">
            <w:pPr>
              <w:rPr>
                <w:rFonts w:ascii="Aptos Narrow" w:eastAsia="Times New Roman" w:hAnsi="Aptos Narrow" w:cs="Times New Roman"/>
                <w:sz w:val="20"/>
                <w:szCs w:val="20"/>
                <w:lang w:val="es-ES" w:eastAsia="es-ES_tradnl"/>
              </w:rPr>
            </w:pPr>
          </w:p>
        </w:tc>
        <w:tc>
          <w:tcPr>
            <w:tcW w:w="6704" w:type="dxa"/>
            <w:hideMark/>
          </w:tcPr>
          <w:p w14:paraId="6F555FCA" w14:textId="70748AC1" w:rsidR="0092665C" w:rsidRPr="00E00F13" w:rsidRDefault="0092665C" w:rsidP="0092665C">
            <w:pPr>
              <w:jc w:val="both"/>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18"/>
                <w:szCs w:val="18"/>
                <w:lang w:val="es-ES" w:eastAsia="es-ES_tradnl"/>
              </w:rPr>
            </w:pPr>
            <w:r w:rsidRPr="00E00F13">
              <w:rPr>
                <w:rFonts w:ascii="Aptos Narrow" w:eastAsia="Times New Roman" w:hAnsi="Aptos Narrow" w:cs="Times New Roman"/>
                <w:sz w:val="18"/>
                <w:szCs w:val="18"/>
                <w:lang w:val="es-ES" w:eastAsia="es-ES_tradnl"/>
              </w:rPr>
              <w:t>Se busca el cierre definitivo de botaderos a cielo abierto y la transición a PTA, mitigando riesgos ambientales y sanitarios asociados a la disposición final ilegal de residuos.</w:t>
            </w:r>
          </w:p>
        </w:tc>
      </w:tr>
      <w:tr w:rsidR="0092665C" w:rsidRPr="00E00F13" w14:paraId="667627E5" w14:textId="77777777" w:rsidTr="0092665C">
        <w:trPr>
          <w:cnfStyle w:val="000000100000" w:firstRow="0" w:lastRow="0" w:firstColumn="0" w:lastColumn="0" w:oddVBand="0" w:evenVBand="0" w:oddHBand="1" w:evenHBand="0" w:firstRowFirstColumn="0" w:firstRowLastColumn="0" w:lastRowFirstColumn="0" w:lastRowLastColumn="0"/>
          <w:trHeight w:val="663"/>
        </w:trPr>
        <w:tc>
          <w:tcPr>
            <w:cnfStyle w:val="001000000000" w:firstRow="0" w:lastRow="0" w:firstColumn="1" w:lastColumn="0" w:oddVBand="0" w:evenVBand="0" w:oddHBand="0" w:evenHBand="0" w:firstRowFirstColumn="0" w:firstRowLastColumn="0" w:lastRowFirstColumn="0" w:lastRowLastColumn="0"/>
            <w:tcW w:w="1696" w:type="dxa"/>
            <w:vMerge/>
            <w:hideMark/>
          </w:tcPr>
          <w:p w14:paraId="39048BA6" w14:textId="77777777" w:rsidR="0092665C" w:rsidRPr="00E00F13" w:rsidRDefault="0092665C" w:rsidP="0092665C">
            <w:pPr>
              <w:rPr>
                <w:rFonts w:ascii="Aptos Narrow" w:eastAsia="Times New Roman" w:hAnsi="Aptos Narrow" w:cs="Times New Roman"/>
                <w:sz w:val="20"/>
                <w:szCs w:val="20"/>
                <w:lang w:val="es-ES" w:eastAsia="es-ES_tradnl"/>
              </w:rPr>
            </w:pPr>
          </w:p>
        </w:tc>
        <w:tc>
          <w:tcPr>
            <w:tcW w:w="6704" w:type="dxa"/>
            <w:hideMark/>
          </w:tcPr>
          <w:p w14:paraId="7E6E3F0F" w14:textId="77777777" w:rsidR="0092665C" w:rsidRPr="00E00F13" w:rsidRDefault="0092665C" w:rsidP="0092665C">
            <w:pPr>
              <w:jc w:val="both"/>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18"/>
                <w:szCs w:val="18"/>
                <w:lang w:val="es-ES" w:eastAsia="es-ES_tradnl"/>
              </w:rPr>
            </w:pPr>
            <w:r w:rsidRPr="00E00F13">
              <w:rPr>
                <w:rFonts w:ascii="Aptos Narrow" w:eastAsia="Times New Roman" w:hAnsi="Aptos Narrow" w:cs="Times New Roman"/>
                <w:sz w:val="18"/>
                <w:szCs w:val="18"/>
                <w:lang w:val="es-ES" w:eastAsia="es-ES_tradnl"/>
              </w:rPr>
              <w:t>Se busca reducir significativamente la liberación de desechos a la atmósfera, el agua y el suelo, lo cual está alineado con la meta de reducir la contaminación dentro del sector vivienda.</w:t>
            </w:r>
          </w:p>
        </w:tc>
      </w:tr>
      <w:tr w:rsidR="0092665C" w:rsidRPr="00E00F13" w14:paraId="725EFE11" w14:textId="77777777" w:rsidTr="00937CDB">
        <w:trPr>
          <w:trHeight w:val="1841"/>
        </w:trPr>
        <w:tc>
          <w:tcPr>
            <w:cnfStyle w:val="001000000000" w:firstRow="0" w:lastRow="0" w:firstColumn="1" w:lastColumn="0" w:oddVBand="0" w:evenVBand="0" w:oddHBand="0" w:evenHBand="0" w:firstRowFirstColumn="0" w:firstRowLastColumn="0" w:lastRowFirstColumn="0" w:lastRowLastColumn="0"/>
            <w:tcW w:w="1696" w:type="dxa"/>
            <w:vMerge w:val="restart"/>
            <w:hideMark/>
          </w:tcPr>
          <w:p w14:paraId="5DE5695C" w14:textId="083C73E5" w:rsidR="0092665C" w:rsidRPr="00E00F13" w:rsidRDefault="0092665C" w:rsidP="0092665C">
            <w:pPr>
              <w:rPr>
                <w:rFonts w:ascii="Aptos Narrow" w:eastAsia="Times New Roman" w:hAnsi="Aptos Narrow" w:cs="Times New Roman"/>
                <w:sz w:val="20"/>
                <w:szCs w:val="20"/>
                <w:lang w:val="es-ES" w:eastAsia="es-ES_tradnl"/>
              </w:rPr>
            </w:pPr>
            <w:r w:rsidRPr="00E00F13">
              <w:rPr>
                <w:rFonts w:ascii="Aptos Narrow" w:eastAsia="Times New Roman" w:hAnsi="Aptos Narrow" w:cs="Times New Roman"/>
                <w:sz w:val="20"/>
                <w:szCs w:val="20"/>
                <w:lang w:val="es-ES" w:eastAsia="es-ES_tradnl"/>
              </w:rPr>
              <w:t>Decreto 0774 de 2025</w:t>
            </w:r>
            <w:r w:rsidR="00937CDB" w:rsidRPr="00E00F13">
              <w:rPr>
                <w:rFonts w:ascii="Aptos Narrow" w:eastAsia="Times New Roman" w:hAnsi="Aptos Narrow" w:cs="Times New Roman"/>
                <w:sz w:val="20"/>
                <w:szCs w:val="20"/>
                <w:lang w:val="es-ES" w:eastAsia="es-ES_tradnl"/>
              </w:rPr>
              <w:t xml:space="preserve"> –</w:t>
            </w:r>
            <w:r w:rsidRPr="00E00F13">
              <w:rPr>
                <w:rFonts w:ascii="Aptos Narrow" w:eastAsia="Times New Roman" w:hAnsi="Aptos Narrow" w:cs="Times New Roman"/>
                <w:sz w:val="20"/>
                <w:szCs w:val="20"/>
                <w:lang w:val="es-ES" w:eastAsia="es-ES_tradnl"/>
              </w:rPr>
              <w:t xml:space="preserve"> PTAR</w:t>
            </w:r>
          </w:p>
          <w:p w14:paraId="4507E136" w14:textId="77777777" w:rsidR="0092665C" w:rsidRPr="00E00F13" w:rsidRDefault="0092665C" w:rsidP="0092665C">
            <w:pPr>
              <w:rPr>
                <w:rFonts w:ascii="Aptos Narrow" w:eastAsia="Times New Roman" w:hAnsi="Aptos Narrow" w:cs="Times New Roman"/>
                <w:sz w:val="20"/>
                <w:szCs w:val="20"/>
                <w:lang w:val="es-ES" w:eastAsia="es-ES_tradnl"/>
              </w:rPr>
            </w:pPr>
          </w:p>
        </w:tc>
        <w:tc>
          <w:tcPr>
            <w:tcW w:w="6704" w:type="dxa"/>
            <w:hideMark/>
          </w:tcPr>
          <w:p w14:paraId="5A57B8F2" w14:textId="77777777" w:rsidR="0092665C" w:rsidRPr="00E00F13" w:rsidRDefault="0092665C" w:rsidP="0092665C">
            <w:pPr>
              <w:jc w:val="both"/>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18"/>
                <w:szCs w:val="18"/>
                <w:lang w:val="es-ES" w:eastAsia="es-ES_tradnl"/>
              </w:rPr>
            </w:pPr>
            <w:r w:rsidRPr="00E00F13">
              <w:rPr>
                <w:rFonts w:ascii="Aptos Narrow" w:eastAsia="Times New Roman" w:hAnsi="Aptos Narrow" w:cs="Times New Roman"/>
                <w:sz w:val="18"/>
                <w:szCs w:val="18"/>
                <w:lang w:val="es-ES" w:eastAsia="es-ES_tradnl"/>
              </w:rPr>
              <w:t>Se categorizan y modifican los límites establecidos para los biosólidos de uso agrícola (Categoría A) provenientes de las PTAR ya que eran más restrictivos que los exigidos por normativas internacionales y nacionales (NTC 5167 de 2022) para abonos orgánicos, particularmente en relación con arsénico, cadmio, cromo y mercurio, de manera que se promueva la implementación de sistemas de tratamiento de aguas residuales y el aprovechamiento de los subproductos derivados. La norma facilita la valorización de estos subproductos mediante usos alternativos (agrícolas, restauración de suelos, insumo para fertilizantes, valorización energética) en lugar de su disposición como residuo.</w:t>
            </w:r>
          </w:p>
        </w:tc>
      </w:tr>
      <w:tr w:rsidR="0092665C" w:rsidRPr="00E00F13" w14:paraId="4A3376BF" w14:textId="77777777" w:rsidTr="0092665C">
        <w:trPr>
          <w:cnfStyle w:val="000000100000" w:firstRow="0" w:lastRow="0" w:firstColumn="0" w:lastColumn="0" w:oddVBand="0" w:evenVBand="0" w:oddHBand="1" w:evenHBand="0" w:firstRowFirstColumn="0" w:firstRowLastColumn="0" w:lastRowFirstColumn="0" w:lastRowLastColumn="0"/>
          <w:trHeight w:val="565"/>
        </w:trPr>
        <w:tc>
          <w:tcPr>
            <w:cnfStyle w:val="001000000000" w:firstRow="0" w:lastRow="0" w:firstColumn="1" w:lastColumn="0" w:oddVBand="0" w:evenVBand="0" w:oddHBand="0" w:evenHBand="0" w:firstRowFirstColumn="0" w:firstRowLastColumn="0" w:lastRowFirstColumn="0" w:lastRowLastColumn="0"/>
            <w:tcW w:w="1696" w:type="dxa"/>
            <w:vMerge/>
            <w:hideMark/>
          </w:tcPr>
          <w:p w14:paraId="4145D06E" w14:textId="77777777" w:rsidR="0092665C" w:rsidRPr="00E00F13" w:rsidRDefault="0092665C" w:rsidP="0092665C">
            <w:pPr>
              <w:rPr>
                <w:rFonts w:ascii="Aptos Narrow" w:eastAsia="Times New Roman" w:hAnsi="Aptos Narrow" w:cs="Times New Roman"/>
                <w:sz w:val="20"/>
                <w:szCs w:val="20"/>
                <w:lang w:val="es-ES" w:eastAsia="es-ES_tradnl"/>
              </w:rPr>
            </w:pPr>
          </w:p>
        </w:tc>
        <w:tc>
          <w:tcPr>
            <w:tcW w:w="6704" w:type="dxa"/>
            <w:hideMark/>
          </w:tcPr>
          <w:p w14:paraId="2E59E859" w14:textId="77777777" w:rsidR="0092665C" w:rsidRPr="00E00F13" w:rsidRDefault="0092665C" w:rsidP="0092665C">
            <w:pPr>
              <w:jc w:val="both"/>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18"/>
                <w:szCs w:val="18"/>
                <w:lang w:val="es-ES" w:eastAsia="es-ES_tradnl"/>
              </w:rPr>
            </w:pPr>
            <w:r w:rsidRPr="00E00F13">
              <w:rPr>
                <w:rFonts w:ascii="Aptos Narrow" w:eastAsia="Times New Roman" w:hAnsi="Aptos Narrow" w:cs="Times New Roman"/>
                <w:sz w:val="18"/>
                <w:szCs w:val="18"/>
                <w:lang w:val="es-ES" w:eastAsia="es-ES_tradnl"/>
              </w:rPr>
              <w:t xml:space="preserve">Establece límites estrictos (Tasas Máximas Anuales y Acumulativas) para metales pesados como arsénico, cadmio, mercurio y plomo. Esto minimiza los riesgos ambientales y alimentarios provenientes del uso de estos insumos. </w:t>
            </w:r>
          </w:p>
        </w:tc>
      </w:tr>
      <w:tr w:rsidR="0092665C" w:rsidRPr="00E00F13" w14:paraId="5CAB009B" w14:textId="77777777">
        <w:trPr>
          <w:trHeight w:val="661"/>
        </w:trPr>
        <w:tc>
          <w:tcPr>
            <w:cnfStyle w:val="001000000000" w:firstRow="0" w:lastRow="0" w:firstColumn="1" w:lastColumn="0" w:oddVBand="0" w:evenVBand="0" w:oddHBand="0" w:evenHBand="0" w:firstRowFirstColumn="0" w:firstRowLastColumn="0" w:lastRowFirstColumn="0" w:lastRowLastColumn="0"/>
            <w:tcW w:w="1696" w:type="dxa"/>
            <w:vMerge/>
            <w:hideMark/>
          </w:tcPr>
          <w:p w14:paraId="335F641D" w14:textId="77777777" w:rsidR="0092665C" w:rsidRPr="00E00F13" w:rsidRDefault="0092665C" w:rsidP="0092665C">
            <w:pPr>
              <w:rPr>
                <w:rFonts w:ascii="Aptos Narrow" w:eastAsia="Times New Roman" w:hAnsi="Aptos Narrow" w:cs="Times New Roman"/>
                <w:sz w:val="20"/>
                <w:szCs w:val="20"/>
                <w:lang w:val="es-ES" w:eastAsia="es-ES_tradnl"/>
              </w:rPr>
            </w:pPr>
          </w:p>
        </w:tc>
        <w:tc>
          <w:tcPr>
            <w:tcW w:w="6704" w:type="dxa"/>
            <w:hideMark/>
          </w:tcPr>
          <w:p w14:paraId="6D90877F" w14:textId="77777777" w:rsidR="0092665C" w:rsidRPr="00E00F13" w:rsidRDefault="0092665C" w:rsidP="0092665C">
            <w:pPr>
              <w:jc w:val="both"/>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sz w:val="18"/>
                <w:szCs w:val="18"/>
                <w:lang w:val="es-ES" w:eastAsia="es-ES_tradnl"/>
              </w:rPr>
            </w:pPr>
            <w:r w:rsidRPr="00E00F13">
              <w:rPr>
                <w:rFonts w:ascii="Aptos Narrow" w:eastAsia="Times New Roman" w:hAnsi="Aptos Narrow" w:cs="Times New Roman"/>
                <w:sz w:val="18"/>
                <w:szCs w:val="18"/>
                <w:lang w:val="es-ES" w:eastAsia="es-ES_tradnl"/>
              </w:rPr>
              <w:t>Establece que los biosólidos que no sean usados deben ser dispuestos de acuerdo con la normatividad vigente para residuos sólidos ordinarios. Además, fomenta su uso en la operación de rellenos sanitarios como cobertura diaria o final.</w:t>
            </w:r>
          </w:p>
        </w:tc>
      </w:tr>
      <w:tr w:rsidR="0092665C" w:rsidRPr="00E00F13" w14:paraId="0715AB81" w14:textId="77777777" w:rsidTr="0092665C">
        <w:trPr>
          <w:cnfStyle w:val="000000100000" w:firstRow="0" w:lastRow="0" w:firstColumn="0" w:lastColumn="0" w:oddVBand="0" w:evenVBand="0" w:oddHBand="1" w:evenHBand="0" w:firstRowFirstColumn="0" w:firstRowLastColumn="0" w:lastRowFirstColumn="0" w:lastRowLastColumn="0"/>
          <w:trHeight w:val="2400"/>
        </w:trPr>
        <w:tc>
          <w:tcPr>
            <w:cnfStyle w:val="001000000000" w:firstRow="0" w:lastRow="0" w:firstColumn="1" w:lastColumn="0" w:oddVBand="0" w:evenVBand="0" w:oddHBand="0" w:evenHBand="0" w:firstRowFirstColumn="0" w:firstRowLastColumn="0" w:lastRowFirstColumn="0" w:lastRowLastColumn="0"/>
            <w:tcW w:w="1696" w:type="dxa"/>
            <w:hideMark/>
          </w:tcPr>
          <w:p w14:paraId="274322AF" w14:textId="77777777" w:rsidR="0092665C" w:rsidRPr="00E00F13" w:rsidRDefault="0092665C" w:rsidP="0092665C">
            <w:pPr>
              <w:rPr>
                <w:rFonts w:ascii="Aptos Narrow" w:eastAsia="Times New Roman" w:hAnsi="Aptos Narrow" w:cs="Times New Roman"/>
                <w:sz w:val="20"/>
                <w:szCs w:val="20"/>
                <w:lang w:val="es-ES" w:eastAsia="es-ES_tradnl"/>
              </w:rPr>
            </w:pPr>
            <w:r w:rsidRPr="00E00F13">
              <w:rPr>
                <w:rFonts w:ascii="Aptos Narrow" w:eastAsia="Times New Roman" w:hAnsi="Aptos Narrow" w:cs="Times New Roman"/>
                <w:sz w:val="20"/>
                <w:szCs w:val="20"/>
                <w:lang w:val="es-ES" w:eastAsia="es-ES_tradnl"/>
              </w:rPr>
              <w:t>Resolución 194 de 2025 y su Anexo 1: Guía de construcción</w:t>
            </w:r>
            <w:r w:rsidRPr="00E00F13">
              <w:rPr>
                <w:rFonts w:ascii="Aptos Narrow" w:eastAsia="Times New Roman" w:hAnsi="Aptos Narrow" w:cs="Times New Roman"/>
                <w:sz w:val="20"/>
                <w:szCs w:val="20"/>
                <w:lang w:val="es-ES" w:eastAsia="es-ES_tradnl"/>
              </w:rPr>
              <w:br/>
              <w:t>sostenible para el ahorro de agua y energía en edificaciones (obra nueva)</w:t>
            </w:r>
          </w:p>
        </w:tc>
        <w:tc>
          <w:tcPr>
            <w:tcW w:w="6704" w:type="dxa"/>
            <w:hideMark/>
          </w:tcPr>
          <w:p w14:paraId="55966E63" w14:textId="77777777" w:rsidR="0092665C" w:rsidRPr="00E00F13" w:rsidRDefault="0092665C" w:rsidP="0092665C">
            <w:pPr>
              <w:cnfStyle w:val="000000100000" w:firstRow="0" w:lastRow="0" w:firstColumn="0" w:lastColumn="0" w:oddVBand="0" w:evenVBand="0" w:oddHBand="1" w:evenHBand="0" w:firstRowFirstColumn="0" w:firstRowLastColumn="0" w:lastRowFirstColumn="0" w:lastRowLastColumn="0"/>
              <w:rPr>
                <w:rFonts w:ascii="Aptos Narrow" w:eastAsia="Times New Roman" w:hAnsi="Aptos Narrow" w:cs="Times New Roman"/>
                <w:sz w:val="18"/>
                <w:szCs w:val="18"/>
                <w:lang w:val="es-ES" w:eastAsia="es-ES_tradnl"/>
              </w:rPr>
            </w:pPr>
            <w:r w:rsidRPr="00E00F13">
              <w:rPr>
                <w:rFonts w:ascii="Aptos Narrow" w:eastAsia="Times New Roman" w:hAnsi="Aptos Narrow" w:cs="Times New Roman"/>
                <w:sz w:val="18"/>
                <w:szCs w:val="18"/>
                <w:lang w:val="es-ES" w:eastAsia="es-ES_tradnl"/>
              </w:rPr>
              <w:t>Busca minimizar el impacto en el ecosistema urbano y fomentar buenas prácticas en la gestión de materiales y residuos.</w:t>
            </w:r>
          </w:p>
        </w:tc>
      </w:tr>
    </w:tbl>
    <w:p w14:paraId="78C0139C" w14:textId="77777777" w:rsidR="0092665C" w:rsidRPr="00E00F13" w:rsidRDefault="0092665C" w:rsidP="0092665C">
      <w:pPr>
        <w:spacing w:before="240" w:after="0" w:line="360" w:lineRule="auto"/>
        <w:jc w:val="both"/>
        <w:rPr>
          <w:rFonts w:ascii="Arial" w:eastAsia="Times New Roman" w:hAnsi="Arial" w:cs="Arial"/>
          <w:sz w:val="24"/>
          <w:szCs w:val="24"/>
          <w:lang w:val="es-ES" w:eastAsia="es-ES_tradnl"/>
        </w:rPr>
      </w:pPr>
    </w:p>
    <w:p w14:paraId="3EB0ACDA" w14:textId="676CFDED" w:rsidR="00C56DE2" w:rsidRPr="00E00F13" w:rsidRDefault="00CD492D" w:rsidP="00C56DE2">
      <w:pPr>
        <w:pStyle w:val="Ttulo3"/>
        <w:rPr>
          <w:rFonts w:eastAsia="Times New Roman"/>
          <w:color w:val="auto"/>
          <w:lang w:val="es-ES" w:eastAsia="es-ES_tradnl"/>
        </w:rPr>
      </w:pPr>
      <w:r w:rsidRPr="00E00F13">
        <w:rPr>
          <w:rFonts w:eastAsia="Times New Roman"/>
          <w:color w:val="auto"/>
          <w:lang w:val="es-ES" w:eastAsia="es-ES_tradnl"/>
        </w:rPr>
        <w:tab/>
      </w:r>
      <w:bookmarkStart w:id="156" w:name="_Toc234242879"/>
      <w:r w:rsidR="00C56DE2" w:rsidRPr="00E00F13">
        <w:rPr>
          <w:rFonts w:eastAsia="Times New Roman"/>
          <w:color w:val="auto"/>
          <w:lang w:val="es-ES" w:eastAsia="es-ES_tradnl"/>
        </w:rPr>
        <w:t>Estrategias para avanzar en resolver los problemas identificados</w:t>
      </w:r>
      <w:bookmarkEnd w:id="156"/>
    </w:p>
    <w:p w14:paraId="294CB2B0" w14:textId="26CEBAB6" w:rsidR="00C56DE2" w:rsidRPr="00E00F13" w:rsidRDefault="00C56DE2" w:rsidP="00937CDB">
      <w:p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Las estrategias prioritarias para avanzar en la implementación del enfoque ambiental se orientan a fortalecer la gobernanza territorial, la participación vinculante y la transición hacia modelos sostenibles de hábitat. Entre ellas se destacan la creación de consejos comunitarios de hábitat</w:t>
      </w:r>
      <w:r w:rsidR="005D25A5" w:rsidRPr="00E00F13">
        <w:rPr>
          <w:rFonts w:ascii="Arial" w:eastAsia="Times New Roman" w:hAnsi="Arial" w:cs="Arial"/>
          <w:sz w:val="24"/>
          <w:szCs w:val="24"/>
          <w:lang w:val="es-ES" w:eastAsia="es-ES_tradnl"/>
        </w:rPr>
        <w:t xml:space="preserve"> –</w:t>
      </w:r>
      <w:r w:rsidRPr="00E00F13">
        <w:rPr>
          <w:rFonts w:ascii="Arial" w:eastAsia="Times New Roman" w:hAnsi="Arial" w:cs="Arial"/>
          <w:sz w:val="24"/>
          <w:szCs w:val="24"/>
          <w:lang w:val="es-ES" w:eastAsia="es-ES_tradnl"/>
        </w:rPr>
        <w:t>mecanismos que garantizan apropiación social y legitimidad en la toma de decisiones territoriales</w:t>
      </w:r>
      <w:r w:rsidR="005D25A5" w:rsidRPr="00E00F13">
        <w:rPr>
          <w:rFonts w:ascii="Arial" w:eastAsia="Times New Roman" w:hAnsi="Arial" w:cs="Arial"/>
          <w:sz w:val="24"/>
          <w:szCs w:val="24"/>
          <w:lang w:val="es-ES" w:eastAsia="es-ES_tradnl"/>
        </w:rPr>
        <w:t>– y</w:t>
      </w:r>
      <w:r w:rsidRPr="00E00F13">
        <w:rPr>
          <w:rFonts w:ascii="Arial" w:eastAsia="Times New Roman" w:hAnsi="Arial" w:cs="Arial"/>
          <w:sz w:val="24"/>
          <w:szCs w:val="24"/>
          <w:lang w:val="es-ES" w:eastAsia="es-ES_tradnl"/>
        </w:rPr>
        <w:t xml:space="preserve"> </w:t>
      </w:r>
      <w:r w:rsidR="005D25A5" w:rsidRPr="00E00F13">
        <w:rPr>
          <w:rFonts w:ascii="Arial" w:eastAsia="Times New Roman" w:hAnsi="Arial" w:cs="Arial"/>
          <w:sz w:val="24"/>
          <w:szCs w:val="24"/>
          <w:lang w:val="es-ES" w:eastAsia="es-ES_tradnl"/>
        </w:rPr>
        <w:t xml:space="preserve">de </w:t>
      </w:r>
      <w:r w:rsidRPr="00E00F13">
        <w:rPr>
          <w:rFonts w:ascii="Arial" w:eastAsia="Times New Roman" w:hAnsi="Arial" w:cs="Arial"/>
          <w:sz w:val="24"/>
          <w:szCs w:val="24"/>
          <w:lang w:val="es-ES" w:eastAsia="es-ES_tradnl"/>
        </w:rPr>
        <w:t>programas de capacitación para la autogestión y la construcción sostenible en comunidades urbanas y rurales.</w:t>
      </w:r>
    </w:p>
    <w:p w14:paraId="63DD9D20" w14:textId="77777777" w:rsidR="005D25A5" w:rsidRPr="00E00F13" w:rsidRDefault="005D25A5" w:rsidP="00937CDB">
      <w:pPr>
        <w:spacing w:after="0" w:line="360" w:lineRule="auto"/>
        <w:jc w:val="both"/>
        <w:rPr>
          <w:rFonts w:ascii="Arial" w:eastAsia="Times New Roman" w:hAnsi="Arial" w:cs="Arial"/>
          <w:sz w:val="24"/>
          <w:szCs w:val="24"/>
          <w:lang w:val="es-ES" w:eastAsia="es-ES_tradnl"/>
        </w:rPr>
      </w:pPr>
    </w:p>
    <w:p w14:paraId="7E6FCE32" w14:textId="399B29A2" w:rsidR="00C56DE2" w:rsidRPr="00E00F13" w:rsidRDefault="00C56DE2" w:rsidP="00937CDB">
      <w:p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 xml:space="preserve">En el plano institucional se propone la integración de sistemas de información mediante plataformas interoperables y observatorios territoriales que permitan análisis comparados, seguimiento permanente y mejor coordinación entre </w:t>
      </w:r>
      <w:r w:rsidRPr="00E00F13">
        <w:rPr>
          <w:rFonts w:ascii="Arial" w:eastAsia="Times New Roman" w:hAnsi="Arial" w:cs="Arial"/>
          <w:sz w:val="24"/>
          <w:szCs w:val="24"/>
          <w:lang w:val="es-ES" w:eastAsia="es-ES_tradnl"/>
        </w:rPr>
        <w:lastRenderedPageBreak/>
        <w:t>entidades. De manera complementaria, se requiere avanzar en la digitalización de datos, formular metodologías unificadas y promover su acceso público para fortalecer la transparencia y la planificación basada en evidencia.</w:t>
      </w:r>
    </w:p>
    <w:p w14:paraId="10990505" w14:textId="77777777" w:rsidR="005D25A5" w:rsidRPr="00E00F13" w:rsidRDefault="005D25A5" w:rsidP="00937CDB">
      <w:pPr>
        <w:spacing w:after="0" w:line="360" w:lineRule="auto"/>
        <w:jc w:val="both"/>
        <w:rPr>
          <w:rFonts w:ascii="Arial" w:eastAsia="Times New Roman" w:hAnsi="Arial" w:cs="Arial"/>
          <w:sz w:val="24"/>
          <w:szCs w:val="24"/>
          <w:lang w:val="es-ES" w:eastAsia="es-ES_tradnl"/>
        </w:rPr>
      </w:pPr>
    </w:p>
    <w:p w14:paraId="22464036" w14:textId="712D459F" w:rsidR="00C56DE2" w:rsidRPr="00E00F13" w:rsidRDefault="00C56DE2" w:rsidP="00937CDB">
      <w:p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El fortalecimiento de la economía circular es otro eje central. Para ello, se plantean incentivos normativos y fiscales como certificaciones ambientales, compras públicas sostenibles y estímulos para el uso de materiales reciclados o de bajo impacto. Asimismo, se propone el desarrollo de mecanismos financieros híbridos —cofinanciación, deuda concesional, fondos de adaptación, pagos por servicios ambientales— capaces de cubrir tanto inversiones iniciales como costos de operación y mantenimiento, especialmente en infraestructura verde, PTAR y plantas de aprovechamiento.</w:t>
      </w:r>
    </w:p>
    <w:p w14:paraId="70D4E230" w14:textId="77777777" w:rsidR="00FF4CDD" w:rsidRPr="00E00F13" w:rsidRDefault="00FF4CDD" w:rsidP="00937CDB">
      <w:pPr>
        <w:spacing w:after="0" w:line="360" w:lineRule="auto"/>
        <w:jc w:val="both"/>
        <w:rPr>
          <w:rFonts w:ascii="Arial" w:eastAsia="Times New Roman" w:hAnsi="Arial" w:cs="Arial"/>
          <w:sz w:val="24"/>
          <w:szCs w:val="24"/>
          <w:lang w:val="es-ES" w:eastAsia="es-ES_tradnl"/>
        </w:rPr>
      </w:pPr>
    </w:p>
    <w:p w14:paraId="7C1A2EC1" w14:textId="298498E2" w:rsidR="00C56DE2" w:rsidRPr="00E00F13" w:rsidRDefault="00C56DE2" w:rsidP="00937CDB">
      <w:p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 xml:space="preserve">Por último, se enfatiza en la necesidad de programas de asistencia técnica local, acompañamiento a procesos de autogestión y </w:t>
      </w:r>
      <w:r w:rsidR="005D25A5" w:rsidRPr="00E00F13">
        <w:rPr>
          <w:rFonts w:ascii="Arial" w:eastAsia="Times New Roman" w:hAnsi="Arial" w:cs="Arial"/>
          <w:sz w:val="24"/>
          <w:szCs w:val="24"/>
          <w:lang w:val="es-ES" w:eastAsia="es-ES_tradnl"/>
        </w:rPr>
        <w:t>l</w:t>
      </w:r>
      <w:r w:rsidRPr="00E00F13">
        <w:rPr>
          <w:rFonts w:ascii="Arial" w:eastAsia="Times New Roman" w:hAnsi="Arial" w:cs="Arial"/>
          <w:sz w:val="24"/>
          <w:szCs w:val="24"/>
          <w:lang w:val="es-ES" w:eastAsia="es-ES_tradnl"/>
        </w:rPr>
        <w:t>a articulación estrecha con la Estrategia Nacional de Economía Circular, de modo que las políticas de vivienda, agua y residuos avancen de forma coherente, territorializada y con enfoque de justicia ambiental.</w:t>
      </w:r>
    </w:p>
    <w:p w14:paraId="7A88BA4E" w14:textId="77777777" w:rsidR="0092665C" w:rsidRPr="00E00F13" w:rsidRDefault="0092665C" w:rsidP="00937CDB">
      <w:pPr>
        <w:spacing w:after="0" w:line="360" w:lineRule="auto"/>
        <w:jc w:val="both"/>
        <w:rPr>
          <w:rFonts w:ascii="Arial" w:eastAsia="Times New Roman" w:hAnsi="Arial" w:cs="Arial"/>
          <w:sz w:val="24"/>
          <w:szCs w:val="24"/>
          <w:lang w:val="es-ES" w:eastAsia="es-ES_tradnl"/>
        </w:rPr>
      </w:pPr>
    </w:p>
    <w:p w14:paraId="6A602AB5" w14:textId="5B565DF0" w:rsidR="0092665C" w:rsidRPr="00E00F13" w:rsidRDefault="00CD492D" w:rsidP="00C56DE2">
      <w:pPr>
        <w:pStyle w:val="Ttulo3"/>
        <w:rPr>
          <w:rFonts w:eastAsia="Times New Roman"/>
          <w:color w:val="auto"/>
          <w:lang w:val="es-ES" w:eastAsia="es-ES_tradnl"/>
        </w:rPr>
      </w:pPr>
      <w:r w:rsidRPr="00E00F13">
        <w:rPr>
          <w:rFonts w:eastAsia="Times New Roman"/>
          <w:color w:val="auto"/>
          <w:lang w:val="es-ES" w:eastAsia="es-ES_tradnl"/>
        </w:rPr>
        <w:tab/>
      </w:r>
      <w:bookmarkStart w:id="157" w:name="_Toc234242880"/>
      <w:r w:rsidR="0092665C" w:rsidRPr="00E00F13">
        <w:rPr>
          <w:rFonts w:eastAsia="Times New Roman"/>
          <w:color w:val="auto"/>
          <w:lang w:val="es-ES" w:eastAsia="es-ES_tradnl"/>
        </w:rPr>
        <w:t>Ruta para el abordaje del enfoque</w:t>
      </w:r>
      <w:bookmarkEnd w:id="157"/>
    </w:p>
    <w:p w14:paraId="06536302" w14:textId="77777777" w:rsidR="0092665C" w:rsidRPr="00E00F13" w:rsidRDefault="0092665C" w:rsidP="005D25A5">
      <w:p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b/>
          <w:bCs/>
          <w:sz w:val="24"/>
          <w:szCs w:val="24"/>
          <w:lang w:val="es-ES" w:eastAsia="es-ES_tradnl"/>
        </w:rPr>
        <w:t>1. Construir un diagnóstico territorial desagregado y basado en datos</w:t>
      </w:r>
    </w:p>
    <w:p w14:paraId="64C64FFD" w14:textId="77777777" w:rsidR="005D25A5" w:rsidRPr="00E00F13" w:rsidRDefault="0092665C" w:rsidP="005E33C6">
      <w:pPr>
        <w:numPr>
          <w:ilvl w:val="0"/>
          <w:numId w:val="27"/>
        </w:num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Consolidar y actualizar bases integradas de vivienda, agua, residuos, riesgos y servicios públicos.</w:t>
      </w:r>
    </w:p>
    <w:p w14:paraId="434321B5" w14:textId="3087CCBE" w:rsidR="0092665C" w:rsidRPr="00E00F13" w:rsidRDefault="0092665C" w:rsidP="005E33C6">
      <w:pPr>
        <w:numPr>
          <w:ilvl w:val="0"/>
          <w:numId w:val="27"/>
        </w:num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Crear y poner en marcha un sistema único de información habitacional y ambiental que permita priorizar intervenciones con criterios de sostenibilidad y riesgo.</w:t>
      </w:r>
    </w:p>
    <w:p w14:paraId="0170F03A" w14:textId="77777777" w:rsidR="0092665C" w:rsidRPr="00E00F13" w:rsidRDefault="0092665C" w:rsidP="005D25A5">
      <w:pPr>
        <w:spacing w:after="0" w:line="360" w:lineRule="auto"/>
        <w:jc w:val="both"/>
        <w:rPr>
          <w:rFonts w:ascii="Arial" w:eastAsia="Times New Roman" w:hAnsi="Arial" w:cs="Arial"/>
          <w:b/>
          <w:bCs/>
          <w:sz w:val="24"/>
          <w:szCs w:val="24"/>
          <w:lang w:val="es-ES" w:eastAsia="es-ES_tradnl"/>
        </w:rPr>
      </w:pPr>
      <w:r w:rsidRPr="00E00F13">
        <w:rPr>
          <w:rFonts w:ascii="Arial" w:eastAsia="Times New Roman" w:hAnsi="Arial" w:cs="Arial"/>
          <w:b/>
          <w:bCs/>
          <w:sz w:val="24"/>
          <w:szCs w:val="24"/>
          <w:lang w:val="es-ES" w:eastAsia="es-ES_tradnl"/>
        </w:rPr>
        <w:t>2. Territorializar la política y adaptar las soluciones a las realidades locales</w:t>
      </w:r>
    </w:p>
    <w:p w14:paraId="754A7DE0" w14:textId="77777777" w:rsidR="005D25A5" w:rsidRPr="00E00F13" w:rsidRDefault="0092665C" w:rsidP="005E33C6">
      <w:pPr>
        <w:numPr>
          <w:ilvl w:val="0"/>
          <w:numId w:val="28"/>
        </w:numPr>
        <w:spacing w:after="0" w:line="360" w:lineRule="auto"/>
        <w:jc w:val="both"/>
        <w:rPr>
          <w:rFonts w:ascii="Arial" w:eastAsia="Times New Roman" w:hAnsi="Arial" w:cs="Arial"/>
          <w:sz w:val="24"/>
          <w:szCs w:val="24"/>
          <w:lang w:val="pt-PT" w:eastAsia="es-ES_tradnl"/>
        </w:rPr>
      </w:pPr>
      <w:r w:rsidRPr="00E00F13">
        <w:rPr>
          <w:rFonts w:ascii="Arial" w:eastAsia="Times New Roman" w:hAnsi="Arial" w:cs="Arial"/>
          <w:sz w:val="24"/>
          <w:szCs w:val="24"/>
          <w:lang w:val="pt-PT" w:eastAsia="es-ES_tradnl"/>
        </w:rPr>
        <w:t>Identificar tipologías territoriales (rural disperso, rural concentrado, urbano denso, zonas de riesgo, territorios étnicos).</w:t>
      </w:r>
    </w:p>
    <w:p w14:paraId="339B3983" w14:textId="5473B097" w:rsidR="0092665C" w:rsidRPr="00E00F13" w:rsidRDefault="0092665C" w:rsidP="005E33C6">
      <w:pPr>
        <w:numPr>
          <w:ilvl w:val="0"/>
          <w:numId w:val="28"/>
        </w:num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Ajustar lineamientos y metodologías de intervención según vocación ambiental, disponibilidad hídrica y condiciones socioculturales.</w:t>
      </w:r>
    </w:p>
    <w:p w14:paraId="64FA36CC" w14:textId="77777777" w:rsidR="0092665C" w:rsidRPr="00E00F13" w:rsidRDefault="0092665C" w:rsidP="005D25A5">
      <w:pPr>
        <w:spacing w:after="0" w:line="360" w:lineRule="auto"/>
        <w:jc w:val="both"/>
        <w:rPr>
          <w:rFonts w:ascii="Arial" w:eastAsia="Times New Roman" w:hAnsi="Arial" w:cs="Arial"/>
          <w:b/>
          <w:bCs/>
          <w:sz w:val="24"/>
          <w:szCs w:val="24"/>
          <w:lang w:val="es-ES" w:eastAsia="es-ES_tradnl"/>
        </w:rPr>
      </w:pPr>
      <w:r w:rsidRPr="00E00F13">
        <w:rPr>
          <w:rFonts w:ascii="Arial" w:eastAsia="Times New Roman" w:hAnsi="Arial" w:cs="Arial"/>
          <w:b/>
          <w:bCs/>
          <w:sz w:val="24"/>
          <w:szCs w:val="24"/>
          <w:lang w:val="es-ES" w:eastAsia="es-ES_tradnl"/>
        </w:rPr>
        <w:lastRenderedPageBreak/>
        <w:t>3. Priorizar inversiones estratégicas alrededor del agua</w:t>
      </w:r>
    </w:p>
    <w:p w14:paraId="2ED5E6C7" w14:textId="77777777" w:rsidR="005D25A5" w:rsidRPr="00E00F13" w:rsidRDefault="0092665C" w:rsidP="005E33C6">
      <w:pPr>
        <w:numPr>
          <w:ilvl w:val="0"/>
          <w:numId w:val="29"/>
        </w:num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Dirigir recursos a municipios con mayores déficits en alcantarillado, PTAR y calidad del agua.</w:t>
      </w:r>
    </w:p>
    <w:p w14:paraId="3978F1F3" w14:textId="494673D1" w:rsidR="0092665C" w:rsidRPr="00E00F13" w:rsidRDefault="0092665C" w:rsidP="005E33C6">
      <w:pPr>
        <w:numPr>
          <w:ilvl w:val="0"/>
          <w:numId w:val="29"/>
        </w:num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Alinear la política de vivienda y hábitat con el ordenamiento territorial alrededor del agua como eje estructurante.</w:t>
      </w:r>
    </w:p>
    <w:p w14:paraId="6FE6BF22" w14:textId="77777777" w:rsidR="0092665C" w:rsidRPr="00E00F13" w:rsidRDefault="0092665C" w:rsidP="005D25A5">
      <w:pPr>
        <w:spacing w:after="0" w:line="360" w:lineRule="auto"/>
        <w:jc w:val="both"/>
        <w:rPr>
          <w:rFonts w:ascii="Arial" w:eastAsia="Times New Roman" w:hAnsi="Arial" w:cs="Arial"/>
          <w:b/>
          <w:bCs/>
          <w:sz w:val="24"/>
          <w:szCs w:val="24"/>
          <w:lang w:val="es-ES" w:eastAsia="es-ES_tradnl"/>
        </w:rPr>
      </w:pPr>
      <w:r w:rsidRPr="00E00F13">
        <w:rPr>
          <w:rFonts w:ascii="Arial" w:eastAsia="Times New Roman" w:hAnsi="Arial" w:cs="Arial"/>
          <w:b/>
          <w:bCs/>
          <w:sz w:val="24"/>
          <w:szCs w:val="24"/>
          <w:lang w:val="es-ES" w:eastAsia="es-ES_tradnl"/>
        </w:rPr>
        <w:t>4. Implementar paquetes integrados de intervención</w:t>
      </w:r>
    </w:p>
    <w:p w14:paraId="023F5C9D" w14:textId="1844AE43" w:rsidR="0092665C" w:rsidRPr="00E00F13" w:rsidRDefault="0092665C" w:rsidP="005E33C6">
      <w:pPr>
        <w:numPr>
          <w:ilvl w:val="0"/>
          <w:numId w:val="30"/>
        </w:numPr>
        <w:spacing w:after="0" w:line="360" w:lineRule="auto"/>
        <w:jc w:val="both"/>
        <w:rPr>
          <w:rFonts w:ascii="Arial" w:eastAsia="Times New Roman" w:hAnsi="Arial" w:cs="Arial"/>
          <w:b/>
          <w:bCs/>
          <w:sz w:val="24"/>
          <w:szCs w:val="24"/>
          <w:lang w:val="es-ES" w:eastAsia="es-ES_tradnl"/>
        </w:rPr>
      </w:pPr>
      <w:r w:rsidRPr="00E00F13">
        <w:rPr>
          <w:rFonts w:ascii="Arial" w:eastAsia="Times New Roman" w:hAnsi="Arial" w:cs="Arial"/>
          <w:b/>
          <w:bCs/>
          <w:sz w:val="24"/>
          <w:szCs w:val="24"/>
          <w:lang w:val="es-ES" w:eastAsia="es-ES_tradnl"/>
        </w:rPr>
        <w:t>Diseñar intervenciones que articulen:</w:t>
      </w:r>
    </w:p>
    <w:p w14:paraId="33C72EF3" w14:textId="77777777" w:rsidR="005D25A5" w:rsidRPr="00E00F13" w:rsidRDefault="0092665C" w:rsidP="005E33C6">
      <w:pPr>
        <w:numPr>
          <w:ilvl w:val="0"/>
          <w:numId w:val="31"/>
        </w:num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vivienda digna y sostenible,</w:t>
      </w:r>
    </w:p>
    <w:p w14:paraId="6CC3D743" w14:textId="77777777" w:rsidR="005D25A5" w:rsidRPr="00E00F13" w:rsidRDefault="0092665C" w:rsidP="005E33C6">
      <w:pPr>
        <w:numPr>
          <w:ilvl w:val="0"/>
          <w:numId w:val="31"/>
        </w:num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soluciones de agua y saneamiento,</w:t>
      </w:r>
    </w:p>
    <w:p w14:paraId="52BA46FA" w14:textId="77777777" w:rsidR="005D25A5" w:rsidRPr="00E00F13" w:rsidRDefault="0092665C" w:rsidP="005E33C6">
      <w:pPr>
        <w:numPr>
          <w:ilvl w:val="0"/>
          <w:numId w:val="31"/>
        </w:num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gestión de residuos y economía circular,</w:t>
      </w:r>
    </w:p>
    <w:p w14:paraId="622DF4EF" w14:textId="745096E8" w:rsidR="0092665C" w:rsidRPr="00E00F13" w:rsidRDefault="0092665C" w:rsidP="005E33C6">
      <w:pPr>
        <w:numPr>
          <w:ilvl w:val="0"/>
          <w:numId w:val="31"/>
        </w:num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capacitación y participación comunitaria.</w:t>
      </w:r>
    </w:p>
    <w:p w14:paraId="181A5A48" w14:textId="1076142C" w:rsidR="0092665C" w:rsidRPr="00E00F13" w:rsidRDefault="0092665C" w:rsidP="005E33C6">
      <w:pPr>
        <w:numPr>
          <w:ilvl w:val="0"/>
          <w:numId w:val="30"/>
        </w:num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Superar el enfoque de proyectos aislados mediante modelos de hábitat integral.</w:t>
      </w:r>
    </w:p>
    <w:p w14:paraId="46064463" w14:textId="77777777" w:rsidR="0092665C" w:rsidRPr="00E00F13" w:rsidRDefault="0092665C" w:rsidP="005D25A5">
      <w:pPr>
        <w:spacing w:after="0" w:line="360" w:lineRule="auto"/>
        <w:jc w:val="both"/>
        <w:rPr>
          <w:rFonts w:ascii="Arial" w:eastAsia="Times New Roman" w:hAnsi="Arial" w:cs="Arial"/>
          <w:b/>
          <w:bCs/>
          <w:sz w:val="24"/>
          <w:szCs w:val="24"/>
          <w:lang w:val="es-ES" w:eastAsia="es-ES_tradnl"/>
        </w:rPr>
      </w:pPr>
      <w:r w:rsidRPr="00E00F13">
        <w:rPr>
          <w:rFonts w:ascii="Arial" w:eastAsia="Times New Roman" w:hAnsi="Arial" w:cs="Arial"/>
          <w:b/>
          <w:bCs/>
          <w:sz w:val="24"/>
          <w:szCs w:val="24"/>
          <w:lang w:val="es-ES" w:eastAsia="es-ES_tradnl"/>
        </w:rPr>
        <w:t>5. Desarrollar pilotos regionales de economía circular</w:t>
      </w:r>
    </w:p>
    <w:p w14:paraId="797A67B2" w14:textId="77777777" w:rsidR="0092665C" w:rsidRPr="00E00F13" w:rsidRDefault="0092665C" w:rsidP="005E33C6">
      <w:pPr>
        <w:numPr>
          <w:ilvl w:val="0"/>
          <w:numId w:val="32"/>
        </w:num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Implementar proyectos piloto de aprovechamiento y valorización de RCD con incentivos claros.</w:t>
      </w:r>
    </w:p>
    <w:p w14:paraId="67E920C8" w14:textId="77777777" w:rsidR="0092665C" w:rsidRPr="00E00F13" w:rsidRDefault="0092665C" w:rsidP="005E33C6">
      <w:pPr>
        <w:numPr>
          <w:ilvl w:val="0"/>
          <w:numId w:val="32"/>
        </w:num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Promover alianzas público-privadas y cadenas regionales de valorización.</w:t>
      </w:r>
    </w:p>
    <w:p w14:paraId="759B8214" w14:textId="77777777" w:rsidR="0092665C" w:rsidRPr="00E00F13" w:rsidRDefault="0092665C" w:rsidP="005D25A5">
      <w:pPr>
        <w:spacing w:after="0" w:line="360" w:lineRule="auto"/>
        <w:jc w:val="both"/>
        <w:rPr>
          <w:rFonts w:ascii="Arial" w:eastAsia="Times New Roman" w:hAnsi="Arial" w:cs="Arial"/>
          <w:b/>
          <w:bCs/>
          <w:sz w:val="24"/>
          <w:szCs w:val="24"/>
          <w:lang w:val="es-ES" w:eastAsia="es-ES_tradnl"/>
        </w:rPr>
      </w:pPr>
      <w:r w:rsidRPr="00E00F13">
        <w:rPr>
          <w:rFonts w:ascii="Arial" w:eastAsia="Times New Roman" w:hAnsi="Arial" w:cs="Arial"/>
          <w:b/>
          <w:bCs/>
          <w:sz w:val="24"/>
          <w:szCs w:val="24"/>
          <w:lang w:val="es-ES" w:eastAsia="es-ES_tradnl"/>
        </w:rPr>
        <w:t>6. Fortalecer las capacidades locales y la asistencia técnica integral</w:t>
      </w:r>
    </w:p>
    <w:p w14:paraId="69DA28E8" w14:textId="77777777" w:rsidR="0092665C" w:rsidRPr="00E00F13" w:rsidRDefault="0092665C" w:rsidP="005E33C6">
      <w:pPr>
        <w:numPr>
          <w:ilvl w:val="0"/>
          <w:numId w:val="33"/>
        </w:numPr>
        <w:spacing w:after="0" w:line="360" w:lineRule="auto"/>
        <w:jc w:val="both"/>
        <w:rPr>
          <w:rFonts w:ascii="Arial" w:eastAsia="Times New Roman" w:hAnsi="Arial" w:cs="Arial"/>
          <w:sz w:val="24"/>
          <w:szCs w:val="24"/>
          <w:lang w:val="pt-PT" w:eastAsia="es-ES_tradnl"/>
        </w:rPr>
      </w:pPr>
      <w:r w:rsidRPr="00E00F13">
        <w:rPr>
          <w:rFonts w:ascii="Arial" w:eastAsia="Times New Roman" w:hAnsi="Arial" w:cs="Arial"/>
          <w:sz w:val="24"/>
          <w:szCs w:val="24"/>
          <w:lang w:val="pt-PT" w:eastAsia="es-ES_tradnl"/>
        </w:rPr>
        <w:t>Transferencia técnica continua a municipios.</w:t>
      </w:r>
    </w:p>
    <w:p w14:paraId="71603EFE" w14:textId="77777777" w:rsidR="0092665C" w:rsidRPr="00E00F13" w:rsidRDefault="0092665C" w:rsidP="005E33C6">
      <w:pPr>
        <w:numPr>
          <w:ilvl w:val="0"/>
          <w:numId w:val="33"/>
        </w:num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Mecanismos de cofinanciación para cerrar brechas de gestión.</w:t>
      </w:r>
    </w:p>
    <w:p w14:paraId="145D9A00" w14:textId="77777777" w:rsidR="0092665C" w:rsidRPr="00E00F13" w:rsidRDefault="0092665C" w:rsidP="005E33C6">
      <w:pPr>
        <w:numPr>
          <w:ilvl w:val="0"/>
          <w:numId w:val="33"/>
        </w:num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Apoyo específico a territorios con baja capacidad institucional o alta vulnerabilidad.</w:t>
      </w:r>
    </w:p>
    <w:p w14:paraId="65E9B210" w14:textId="77777777" w:rsidR="0092665C" w:rsidRPr="00E00F13" w:rsidRDefault="0092665C" w:rsidP="005D25A5">
      <w:pPr>
        <w:spacing w:after="0" w:line="360" w:lineRule="auto"/>
        <w:jc w:val="both"/>
        <w:rPr>
          <w:rFonts w:ascii="Arial" w:eastAsia="Times New Roman" w:hAnsi="Arial" w:cs="Arial"/>
          <w:b/>
          <w:bCs/>
          <w:sz w:val="24"/>
          <w:szCs w:val="24"/>
          <w:lang w:val="es-ES" w:eastAsia="es-ES_tradnl"/>
        </w:rPr>
      </w:pPr>
      <w:r w:rsidRPr="00E00F13">
        <w:rPr>
          <w:rFonts w:ascii="Arial" w:eastAsia="Times New Roman" w:hAnsi="Arial" w:cs="Arial"/>
          <w:b/>
          <w:bCs/>
          <w:sz w:val="24"/>
          <w:szCs w:val="24"/>
          <w:lang w:val="es-ES" w:eastAsia="es-ES_tradnl"/>
        </w:rPr>
        <w:t>7. Consolidar un sistema robusto de seguimiento, monitoreo y evaluación</w:t>
      </w:r>
    </w:p>
    <w:p w14:paraId="5160F544" w14:textId="77777777" w:rsidR="0092665C" w:rsidRPr="00E00F13" w:rsidRDefault="0092665C" w:rsidP="005E33C6">
      <w:pPr>
        <w:numPr>
          <w:ilvl w:val="0"/>
          <w:numId w:val="34"/>
        </w:num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Definir indicadores ambientales, sociales y de sostenibilidad.</w:t>
      </w:r>
    </w:p>
    <w:p w14:paraId="0FAE094C" w14:textId="77777777" w:rsidR="0092665C" w:rsidRPr="00E00F13" w:rsidRDefault="0092665C" w:rsidP="005E33C6">
      <w:pPr>
        <w:numPr>
          <w:ilvl w:val="0"/>
          <w:numId w:val="34"/>
        </w:num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Extraer lecciones aprendidas y retroalimentar la política en ciclos continuos.</w:t>
      </w:r>
    </w:p>
    <w:p w14:paraId="22A7690D" w14:textId="77777777" w:rsidR="0092665C" w:rsidRPr="00E00F13" w:rsidRDefault="0092665C" w:rsidP="005E33C6">
      <w:pPr>
        <w:numPr>
          <w:ilvl w:val="0"/>
          <w:numId w:val="34"/>
        </w:num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Publicar reportes periódicos para garantizar transparencia y participación.</w:t>
      </w:r>
    </w:p>
    <w:p w14:paraId="0B75D34B" w14:textId="77777777" w:rsidR="0092665C" w:rsidRPr="00E00F13" w:rsidRDefault="0092665C" w:rsidP="005D25A5">
      <w:pPr>
        <w:spacing w:after="0" w:line="360" w:lineRule="auto"/>
        <w:jc w:val="both"/>
        <w:rPr>
          <w:rFonts w:ascii="Arial" w:eastAsia="Times New Roman" w:hAnsi="Arial" w:cs="Arial"/>
          <w:b/>
          <w:bCs/>
          <w:sz w:val="24"/>
          <w:szCs w:val="24"/>
          <w:lang w:val="es-ES" w:eastAsia="es-ES_tradnl"/>
        </w:rPr>
      </w:pPr>
      <w:r w:rsidRPr="00E00F13">
        <w:rPr>
          <w:rFonts w:ascii="Arial" w:eastAsia="Times New Roman" w:hAnsi="Arial" w:cs="Arial"/>
          <w:b/>
          <w:bCs/>
          <w:sz w:val="24"/>
          <w:szCs w:val="24"/>
          <w:lang w:val="es-ES" w:eastAsia="es-ES_tradnl"/>
        </w:rPr>
        <w:t>8. Garantizar gobernanza participativa y articulación interinstitucional</w:t>
      </w:r>
    </w:p>
    <w:p w14:paraId="4237A73B" w14:textId="77777777" w:rsidR="0092665C" w:rsidRPr="00E00F13" w:rsidRDefault="0092665C" w:rsidP="005E33C6">
      <w:pPr>
        <w:numPr>
          <w:ilvl w:val="0"/>
          <w:numId w:val="35"/>
        </w:num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 xml:space="preserve">Activar espacios de coordinación entre </w:t>
      </w:r>
      <w:proofErr w:type="spellStart"/>
      <w:r w:rsidRPr="00E00F13">
        <w:rPr>
          <w:rFonts w:ascii="Arial" w:eastAsia="Times New Roman" w:hAnsi="Arial" w:cs="Arial"/>
          <w:sz w:val="24"/>
          <w:szCs w:val="24"/>
          <w:lang w:val="es-ES" w:eastAsia="es-ES_tradnl"/>
        </w:rPr>
        <w:t>Minvivienda</w:t>
      </w:r>
      <w:proofErr w:type="spellEnd"/>
      <w:r w:rsidRPr="00E00F13">
        <w:rPr>
          <w:rFonts w:ascii="Arial" w:eastAsia="Times New Roman" w:hAnsi="Arial" w:cs="Arial"/>
          <w:sz w:val="24"/>
          <w:szCs w:val="24"/>
          <w:lang w:val="es-ES" w:eastAsia="es-ES_tradnl"/>
        </w:rPr>
        <w:t xml:space="preserve">, </w:t>
      </w:r>
      <w:proofErr w:type="spellStart"/>
      <w:r w:rsidRPr="00E00F13">
        <w:rPr>
          <w:rFonts w:ascii="Arial" w:eastAsia="Times New Roman" w:hAnsi="Arial" w:cs="Arial"/>
          <w:sz w:val="24"/>
          <w:szCs w:val="24"/>
          <w:lang w:val="es-ES" w:eastAsia="es-ES_tradnl"/>
        </w:rPr>
        <w:t>MinAmbiente</w:t>
      </w:r>
      <w:proofErr w:type="spellEnd"/>
      <w:r w:rsidRPr="00E00F13">
        <w:rPr>
          <w:rFonts w:ascii="Arial" w:eastAsia="Times New Roman" w:hAnsi="Arial" w:cs="Arial"/>
          <w:sz w:val="24"/>
          <w:szCs w:val="24"/>
          <w:lang w:val="es-ES" w:eastAsia="es-ES_tradnl"/>
        </w:rPr>
        <w:t>, DNP y entidades territoriales.</w:t>
      </w:r>
    </w:p>
    <w:p w14:paraId="6C176B1B" w14:textId="77777777" w:rsidR="0092665C" w:rsidRPr="00E00F13" w:rsidRDefault="0092665C" w:rsidP="005E33C6">
      <w:pPr>
        <w:numPr>
          <w:ilvl w:val="0"/>
          <w:numId w:val="35"/>
        </w:num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Incluir mecanismos de participación comunitaria en todas las etapas del ciclo del proyecto: diagnóstico, diseño, ejecución y operación.</w:t>
      </w:r>
    </w:p>
    <w:p w14:paraId="18D5094F" w14:textId="3D331F3A" w:rsidR="00EA5ACE" w:rsidRPr="00E00F13" w:rsidRDefault="0092665C" w:rsidP="005E33C6">
      <w:pPr>
        <w:numPr>
          <w:ilvl w:val="0"/>
          <w:numId w:val="35"/>
        </w:num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lastRenderedPageBreak/>
        <w:t>Integrar a actores locales, académicos y comunitarios en la toma de decisiones.</w:t>
      </w:r>
    </w:p>
    <w:p w14:paraId="6D41B854" w14:textId="77777777" w:rsidR="00EA5ACE" w:rsidRPr="00E00F13" w:rsidRDefault="00EA5ACE" w:rsidP="00EA5ACE">
      <w:pPr>
        <w:spacing w:after="0" w:line="360" w:lineRule="auto"/>
        <w:jc w:val="both"/>
        <w:rPr>
          <w:rFonts w:ascii="Arial" w:eastAsia="Times New Roman" w:hAnsi="Arial" w:cs="Arial"/>
          <w:sz w:val="24"/>
          <w:szCs w:val="24"/>
          <w:lang w:val="es-ES" w:eastAsia="es-ES_tradnl"/>
        </w:rPr>
      </w:pPr>
    </w:p>
    <w:p w14:paraId="669F96BF" w14:textId="1B5EAF29" w:rsidR="0092665C" w:rsidRPr="00E00F13" w:rsidRDefault="00CD492D" w:rsidP="00C56DE2">
      <w:pPr>
        <w:pStyle w:val="Ttulo3"/>
        <w:rPr>
          <w:rFonts w:eastAsia="Times New Roman"/>
          <w:color w:val="auto"/>
          <w:lang w:val="es-ES" w:eastAsia="es-ES_tradnl"/>
        </w:rPr>
      </w:pPr>
      <w:r w:rsidRPr="00E00F13">
        <w:rPr>
          <w:rFonts w:eastAsia="Times New Roman"/>
          <w:color w:val="auto"/>
          <w:lang w:val="es-ES" w:eastAsia="es-ES_tradnl"/>
        </w:rPr>
        <w:tab/>
      </w:r>
      <w:bookmarkStart w:id="158" w:name="_Toc234242881"/>
      <w:r w:rsidR="00C56DE2" w:rsidRPr="00E00F13">
        <w:rPr>
          <w:rFonts w:eastAsia="Times New Roman"/>
          <w:color w:val="auto"/>
          <w:lang w:val="es-ES" w:eastAsia="es-ES_tradnl"/>
        </w:rPr>
        <w:t>M</w:t>
      </w:r>
      <w:r w:rsidR="0092665C" w:rsidRPr="00E00F13">
        <w:rPr>
          <w:rFonts w:eastAsia="Times New Roman"/>
          <w:color w:val="auto"/>
          <w:lang w:val="es-ES" w:eastAsia="es-ES_tradnl"/>
        </w:rPr>
        <w:t>ecanismos de incidencia vinculantes para mantener el enfoque ambiental</w:t>
      </w:r>
      <w:bookmarkEnd w:id="158"/>
    </w:p>
    <w:p w14:paraId="72776319" w14:textId="105D8558" w:rsidR="0092665C" w:rsidRPr="00E00F13" w:rsidRDefault="0092665C" w:rsidP="00EA5ACE">
      <w:p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Existen mecanismos que permiten dar continuidad al enfoque ambiental más allá de los cambios de gobierno. El régimen de prevalencia de las determinantes ambientales establecido en la Ley 388 y reforzado en el PND obliga a que los POT incorporen criterios ambientales de manera vinculante, asegurando que el ordenamiento territorial mantenga estas directrices sin depender del ciclo político. A esto se suman normas de obligatorio cumplimiento</w:t>
      </w:r>
      <w:r w:rsidR="00EA5ACE" w:rsidRPr="00E00F13">
        <w:rPr>
          <w:rFonts w:ascii="Arial" w:eastAsia="Times New Roman" w:hAnsi="Arial" w:cs="Arial"/>
          <w:sz w:val="24"/>
          <w:szCs w:val="24"/>
          <w:lang w:val="es-ES" w:eastAsia="es-ES_tradnl"/>
        </w:rPr>
        <w:t>,</w:t>
      </w:r>
      <w:r w:rsidRPr="00E00F13">
        <w:rPr>
          <w:rFonts w:ascii="Arial" w:eastAsia="Times New Roman" w:hAnsi="Arial" w:cs="Arial"/>
          <w:sz w:val="24"/>
          <w:szCs w:val="24"/>
          <w:lang w:val="es-ES" w:eastAsia="es-ES_tradnl"/>
        </w:rPr>
        <w:t xml:space="preserve"> como la Resolución 194 de 2025 sobre construcción sostenible</w:t>
      </w:r>
      <w:r w:rsidR="00EA5ACE" w:rsidRPr="00E00F13">
        <w:rPr>
          <w:rFonts w:ascii="Arial" w:eastAsia="Times New Roman" w:hAnsi="Arial" w:cs="Arial"/>
          <w:sz w:val="24"/>
          <w:szCs w:val="24"/>
          <w:lang w:val="es-ES" w:eastAsia="es-ES_tradnl"/>
        </w:rPr>
        <w:t>,</w:t>
      </w:r>
      <w:r w:rsidRPr="00E00F13">
        <w:rPr>
          <w:rFonts w:ascii="Arial" w:eastAsia="Times New Roman" w:hAnsi="Arial" w:cs="Arial"/>
          <w:sz w:val="24"/>
          <w:szCs w:val="24"/>
          <w:lang w:val="es-ES" w:eastAsia="es-ES_tradnl"/>
        </w:rPr>
        <w:t xml:space="preserve"> y los decretos de Basura Cero y mínimo vital de agua, que generan condiciones regulatorias estables para vivienda, agua y residuos.</w:t>
      </w:r>
    </w:p>
    <w:p w14:paraId="6ED130D8" w14:textId="77777777" w:rsidR="007C06BF" w:rsidRPr="00E00F13" w:rsidRDefault="007C06BF" w:rsidP="00EA5ACE">
      <w:pPr>
        <w:spacing w:after="0" w:line="360" w:lineRule="auto"/>
        <w:jc w:val="both"/>
        <w:rPr>
          <w:rFonts w:ascii="Arial" w:eastAsia="Times New Roman" w:hAnsi="Arial" w:cs="Arial"/>
          <w:sz w:val="24"/>
          <w:szCs w:val="24"/>
          <w:lang w:val="es-ES" w:eastAsia="es-ES_tradnl"/>
        </w:rPr>
      </w:pPr>
    </w:p>
    <w:p w14:paraId="6921B0E3" w14:textId="4805AB1B" w:rsidR="0092665C" w:rsidRPr="00E00F13" w:rsidRDefault="0092665C" w:rsidP="00EA5ACE">
      <w:p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 xml:space="preserve">Adicionalmente, existen instrumentos que pueden consolidar aún más esa continuidad si se fortalecen: marcos normativos (planes nacionales, lineamientos técnicos, guías de diseño), acuerdos y agendas interinstitucionales, la incorporación de metas ambientales en los </w:t>
      </w:r>
      <w:r w:rsidR="009031B9" w:rsidRPr="00E00F13">
        <w:rPr>
          <w:rFonts w:ascii="Arial" w:eastAsia="Times New Roman" w:hAnsi="Arial" w:cs="Arial"/>
          <w:sz w:val="24"/>
          <w:szCs w:val="24"/>
          <w:lang w:val="es-ES" w:eastAsia="es-ES_tradnl"/>
        </w:rPr>
        <w:t>planes de desarrollo</w:t>
      </w:r>
      <w:r w:rsidRPr="00E00F13">
        <w:rPr>
          <w:rFonts w:ascii="Arial" w:eastAsia="Times New Roman" w:hAnsi="Arial" w:cs="Arial"/>
          <w:sz w:val="24"/>
          <w:szCs w:val="24"/>
          <w:lang w:val="es-ES" w:eastAsia="es-ES_tradnl"/>
        </w:rPr>
        <w:t>, y contratos de largo plazo como los de operación de PTAR o convenios marco territoriales. La institucionalización de criterios de sostenibilidad en la regulación de vivienda y construcción también sirve como anclaje estructural.</w:t>
      </w:r>
    </w:p>
    <w:p w14:paraId="1C82022D" w14:textId="77777777" w:rsidR="00EA5ACE" w:rsidRPr="00E00F13" w:rsidRDefault="00EA5ACE" w:rsidP="00EA5ACE">
      <w:pPr>
        <w:spacing w:after="0" w:line="360" w:lineRule="auto"/>
        <w:jc w:val="both"/>
        <w:rPr>
          <w:rFonts w:ascii="Arial" w:eastAsia="Times New Roman" w:hAnsi="Arial" w:cs="Arial"/>
          <w:sz w:val="24"/>
          <w:szCs w:val="24"/>
          <w:lang w:val="es-ES" w:eastAsia="es-ES_tradnl"/>
        </w:rPr>
      </w:pPr>
    </w:p>
    <w:p w14:paraId="2EBDB5A0" w14:textId="2854AC27" w:rsidR="007D75D5" w:rsidRPr="00E00F13" w:rsidRDefault="0092665C" w:rsidP="003F26BE">
      <w:p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Los procesos participativos vinculantes del PND y las metas de largo plazo —como economía circular, cobertura universal de agua y saneamiento y reducción de impactos ambientales— generan anclajes políticos y sociales que dificultan reversiones abruptas, especialmente cuando están respaldados por normativa, asignaciones presupuestales y vigilancia ciudadana.</w:t>
      </w:r>
    </w:p>
    <w:p w14:paraId="2917FB47" w14:textId="77777777" w:rsidR="0092665C" w:rsidRPr="00E00F13" w:rsidRDefault="0092665C" w:rsidP="003F26BE">
      <w:pPr>
        <w:spacing w:after="0" w:line="360" w:lineRule="auto"/>
        <w:jc w:val="both"/>
        <w:rPr>
          <w:rFonts w:ascii="Arial" w:hAnsi="Arial" w:cs="Arial"/>
          <w:sz w:val="24"/>
          <w:szCs w:val="24"/>
        </w:rPr>
      </w:pPr>
    </w:p>
    <w:p w14:paraId="7E2EF537" w14:textId="5B01FC60" w:rsidR="00A77206" w:rsidRPr="00E00F13" w:rsidRDefault="00B9301C" w:rsidP="00A77206">
      <w:pPr>
        <w:pStyle w:val="Ttulo3"/>
        <w:rPr>
          <w:color w:val="auto"/>
        </w:rPr>
      </w:pPr>
      <w:bookmarkStart w:id="159" w:name="_Toc234242882"/>
      <w:r w:rsidRPr="00E00F13">
        <w:rPr>
          <w:color w:val="auto"/>
        </w:rPr>
        <w:t>2.</w:t>
      </w:r>
      <w:r w:rsidR="00377010" w:rsidRPr="00E00F13">
        <w:rPr>
          <w:color w:val="auto"/>
        </w:rPr>
        <w:t>8</w:t>
      </w:r>
      <w:r w:rsidRPr="00E00F13">
        <w:rPr>
          <w:color w:val="auto"/>
        </w:rPr>
        <w:t>.</w:t>
      </w:r>
      <w:r w:rsidR="00902401" w:rsidRPr="00E00F13">
        <w:rPr>
          <w:color w:val="auto"/>
        </w:rPr>
        <w:t>10</w:t>
      </w:r>
      <w:r w:rsidRPr="00E00F13">
        <w:rPr>
          <w:color w:val="auto"/>
        </w:rPr>
        <w:t xml:space="preserve">. </w:t>
      </w:r>
      <w:r w:rsidR="00A77206" w:rsidRPr="00E00F13">
        <w:rPr>
          <w:color w:val="auto"/>
        </w:rPr>
        <w:t>El enfoque del cuidado</w:t>
      </w:r>
      <w:bookmarkEnd w:id="159"/>
      <w:r w:rsidR="0056248B" w:rsidRPr="00E00F13">
        <w:rPr>
          <w:color w:val="auto"/>
        </w:rPr>
        <w:t xml:space="preserve"> </w:t>
      </w:r>
    </w:p>
    <w:p w14:paraId="48011A5B" w14:textId="77777777" w:rsidR="001130C7" w:rsidRPr="00E00F13" w:rsidRDefault="001130C7" w:rsidP="001130C7">
      <w:p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lang w:eastAsia="es-CO"/>
        </w:rPr>
        <w:t xml:space="preserve">De acuerdo con la definición incluida en el </w:t>
      </w:r>
      <w:proofErr w:type="spellStart"/>
      <w:r w:rsidRPr="00E00F13">
        <w:rPr>
          <w:rFonts w:ascii="Arial" w:eastAsia="Times New Roman" w:hAnsi="Arial" w:cs="Arial"/>
          <w:sz w:val="24"/>
          <w:szCs w:val="24"/>
          <w:lang w:eastAsia="es-CO"/>
        </w:rPr>
        <w:t>Conpes</w:t>
      </w:r>
      <w:proofErr w:type="spellEnd"/>
      <w:r w:rsidRPr="00E00F13">
        <w:rPr>
          <w:rFonts w:ascii="Arial" w:eastAsia="Times New Roman" w:hAnsi="Arial" w:cs="Arial"/>
          <w:sz w:val="24"/>
          <w:szCs w:val="24"/>
          <w:lang w:eastAsia="es-CO"/>
        </w:rPr>
        <w:t xml:space="preserve"> 4143 de 2005, el cuidado es «el conjunto de actividades y prácticas que garantizan, protegen y sostienen la vida en </w:t>
      </w:r>
      <w:r w:rsidRPr="00E00F13">
        <w:rPr>
          <w:rFonts w:ascii="Arial" w:eastAsia="Times New Roman" w:hAnsi="Arial" w:cs="Arial"/>
          <w:sz w:val="24"/>
          <w:szCs w:val="24"/>
          <w:lang w:eastAsia="es-CO"/>
        </w:rPr>
        <w:lastRenderedPageBreak/>
        <w:t>interdependencia, humana y no humana, en todas sus expresiones, desde las perspectivas simbiótica, intercultural, solidaria y cooperativa. Es el pilar del bienestar individual y colectivo, su función es social, de interés general y de utilidad pública» (Departamento Nacional de Planeación, 2025). Como enfoque, es aquel que reconoce que el cuidado es una actividad fundamental para el sostenimiento de la vida en todas sus formas, y a través de su implementación, permite entender que desde la oferta y misionalidad del MVCT es posible aportar a los objetivos de reconocer y reducir el trabajo de cuidado realizado diariamente en cada hogar del país, de forma mayoritaria por mujeres. </w:t>
      </w:r>
    </w:p>
    <w:p w14:paraId="6D5CEF58" w14:textId="77777777" w:rsidR="001130C7" w:rsidRPr="00E00F13" w:rsidRDefault="001130C7" w:rsidP="001130C7">
      <w:p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lang w:eastAsia="es-CO"/>
        </w:rPr>
        <w:t> </w:t>
      </w:r>
    </w:p>
    <w:p w14:paraId="2156FE74" w14:textId="77777777" w:rsidR="001130C7" w:rsidRPr="00E00F13" w:rsidRDefault="001130C7" w:rsidP="001130C7">
      <w:p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lang w:eastAsia="es-CO"/>
        </w:rPr>
        <w:t>Este enfoque forma parte de la mirada estratégica del sector. Su incorporación en los programas del MVCT responde a varios factores, entre ellos:</w:t>
      </w:r>
    </w:p>
    <w:p w14:paraId="216C68CE" w14:textId="77777777" w:rsidR="001130C7" w:rsidRPr="00E00F13" w:rsidRDefault="001130C7" w:rsidP="001130C7">
      <w:pPr>
        <w:spacing w:after="0" w:line="360" w:lineRule="auto"/>
        <w:jc w:val="both"/>
        <w:textAlignment w:val="baseline"/>
        <w:rPr>
          <w:rFonts w:ascii="Arial" w:eastAsia="Times New Roman" w:hAnsi="Arial" w:cs="Arial"/>
          <w:sz w:val="24"/>
          <w:szCs w:val="24"/>
          <w:lang w:eastAsia="es-CO"/>
        </w:rPr>
      </w:pPr>
    </w:p>
    <w:p w14:paraId="56FD774F" w14:textId="77777777" w:rsidR="001130C7" w:rsidRPr="00E00F13" w:rsidRDefault="001130C7" w:rsidP="001130C7">
      <w:pPr>
        <w:pStyle w:val="Prrafodelista"/>
        <w:numPr>
          <w:ilvl w:val="0"/>
          <w:numId w:val="42"/>
        </w:num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lang w:eastAsia="es-CO"/>
        </w:rPr>
        <w:t>a una serie de desarrollos normativos en el país que reconocen el cuidado como una parte fundamental de las relaciones sociales que deben ser reconocidas y reguladas desde el Estado:</w:t>
      </w:r>
    </w:p>
    <w:p w14:paraId="54D6EEAF" w14:textId="77777777" w:rsidR="001130C7" w:rsidRPr="00E00F13" w:rsidRDefault="001130C7" w:rsidP="001130C7">
      <w:pPr>
        <w:pStyle w:val="Prrafodelista"/>
        <w:numPr>
          <w:ilvl w:val="0"/>
          <w:numId w:val="42"/>
        </w:num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lang w:eastAsia="es-CO"/>
        </w:rPr>
        <w:t>a la comprensión de que el cuidado, como trabajo, hace parte fundamental de la economía y, de forma puntual, al componente del sector vivienda, agua y saneamiento básico;</w:t>
      </w:r>
    </w:p>
    <w:p w14:paraId="548F995F" w14:textId="77777777" w:rsidR="001130C7" w:rsidRPr="00E00F13" w:rsidRDefault="001130C7" w:rsidP="001130C7">
      <w:pPr>
        <w:pStyle w:val="Prrafodelista"/>
        <w:numPr>
          <w:ilvl w:val="0"/>
          <w:numId w:val="42"/>
        </w:num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lang w:eastAsia="es-CO"/>
        </w:rPr>
        <w:t>a entender la dimensión espacial que tiene el cuidado, que se relaciona con las posibilidades de acceso a una vivienda, a las condiciones de ella y al acceso al agua.  </w:t>
      </w:r>
    </w:p>
    <w:p w14:paraId="23FBBDA3" w14:textId="77777777" w:rsidR="001130C7" w:rsidRPr="00E00F13" w:rsidRDefault="001130C7" w:rsidP="001130C7">
      <w:pPr>
        <w:spacing w:after="0" w:line="360" w:lineRule="auto"/>
        <w:jc w:val="both"/>
        <w:textAlignment w:val="baseline"/>
        <w:rPr>
          <w:rFonts w:ascii="Arial" w:eastAsia="Times New Roman" w:hAnsi="Arial" w:cs="Arial"/>
          <w:sz w:val="24"/>
          <w:szCs w:val="24"/>
          <w:lang w:eastAsia="es-CO"/>
        </w:rPr>
      </w:pPr>
    </w:p>
    <w:p w14:paraId="0BA6CDD1" w14:textId="77777777" w:rsidR="001130C7" w:rsidRPr="00E00F13" w:rsidRDefault="001130C7" w:rsidP="001130C7">
      <w:p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lang w:eastAsia="es-CO"/>
        </w:rPr>
        <w:t>Como parte del componente normativo se reconocen varios hitos fundamentales; uno, el Plan Nacional de Desarrollo (Ley 2294 de 2023) donde se incluye el cuidado como pilar del bienestar y se asocia, entre otros, como actividad productiva en el sector rural, como parte del sistema de justicia y asociado al logro de la soberanía alimentaria en el país. Adicionalmente, el PND incluye al Sistema Nacional de Cuidado como parte fundamental de la acción institucional durante el cuatrienio, liderado por el Ministerio de la Igualdad.  </w:t>
      </w:r>
    </w:p>
    <w:p w14:paraId="193275DD" w14:textId="77777777" w:rsidR="001130C7" w:rsidRPr="00E00F13" w:rsidRDefault="001130C7" w:rsidP="001130C7">
      <w:p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lang w:eastAsia="es-CO"/>
        </w:rPr>
        <w:t> </w:t>
      </w:r>
    </w:p>
    <w:p w14:paraId="3FE055D5" w14:textId="77777777" w:rsidR="001130C7" w:rsidRPr="00E00F13" w:rsidRDefault="001130C7" w:rsidP="001130C7">
      <w:p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lang w:eastAsia="es-CO"/>
        </w:rPr>
        <w:lastRenderedPageBreak/>
        <w:t xml:space="preserve">El MVCT reconoce la importancia de la expedición del </w:t>
      </w:r>
      <w:proofErr w:type="spellStart"/>
      <w:r w:rsidRPr="00E00F13">
        <w:rPr>
          <w:rFonts w:ascii="Arial" w:eastAsia="Times New Roman" w:hAnsi="Arial" w:cs="Arial"/>
          <w:sz w:val="24"/>
          <w:szCs w:val="24"/>
          <w:lang w:eastAsia="es-CO"/>
        </w:rPr>
        <w:t>Conpes</w:t>
      </w:r>
      <w:proofErr w:type="spellEnd"/>
      <w:r w:rsidRPr="00E00F13">
        <w:rPr>
          <w:rFonts w:ascii="Arial" w:eastAsia="Times New Roman" w:hAnsi="Arial" w:cs="Arial"/>
          <w:sz w:val="24"/>
          <w:szCs w:val="24"/>
          <w:lang w:eastAsia="es-CO"/>
        </w:rPr>
        <w:t xml:space="preserve"> 4143 de 2025 que crea la política nacional de cuidado. Este </w:t>
      </w:r>
      <w:proofErr w:type="spellStart"/>
      <w:r w:rsidRPr="00E00F13">
        <w:rPr>
          <w:rFonts w:ascii="Arial" w:eastAsia="Times New Roman" w:hAnsi="Arial" w:cs="Arial"/>
          <w:sz w:val="24"/>
          <w:szCs w:val="24"/>
          <w:lang w:eastAsia="es-CO"/>
        </w:rPr>
        <w:t>Conpes</w:t>
      </w:r>
      <w:proofErr w:type="spellEnd"/>
      <w:r w:rsidRPr="00E00F13">
        <w:rPr>
          <w:rFonts w:ascii="Arial" w:eastAsia="Times New Roman" w:hAnsi="Arial" w:cs="Arial"/>
          <w:sz w:val="24"/>
          <w:szCs w:val="24"/>
          <w:lang w:eastAsia="es-CO"/>
        </w:rPr>
        <w:t xml:space="preserve"> establece estrategias, planes o programas para transformar la organización social del cuidado, garantizar los derechos de las personas cuidadoras y de quienes requieren cuidado, reconocer y fortalecer las formas comunitarias, colectivas y propias de los pueblos étnicos y comunidades campesinas como base del sostenimiento de la vida. Con este propósito crea 133 acciones, dentro de las cuales el MVCT aporta con tres:  </w:t>
      </w:r>
    </w:p>
    <w:p w14:paraId="1C49AF36" w14:textId="77777777" w:rsidR="001130C7" w:rsidRPr="00E00F13" w:rsidRDefault="001130C7" w:rsidP="001130C7">
      <w:pPr>
        <w:spacing w:after="0" w:line="360" w:lineRule="auto"/>
        <w:jc w:val="both"/>
        <w:textAlignment w:val="baseline"/>
        <w:rPr>
          <w:rFonts w:ascii="Arial" w:eastAsia="Times New Roman" w:hAnsi="Arial" w:cs="Arial"/>
          <w:sz w:val="24"/>
          <w:szCs w:val="24"/>
          <w:lang w:eastAsia="es-CO"/>
        </w:rPr>
      </w:pPr>
    </w:p>
    <w:p w14:paraId="51D3747F" w14:textId="77777777" w:rsidR="001130C7" w:rsidRPr="00E00F13" w:rsidRDefault="001130C7" w:rsidP="001130C7">
      <w:pPr>
        <w:spacing w:after="0" w:line="360" w:lineRule="auto"/>
        <w:jc w:val="both"/>
        <w:textAlignment w:val="baseline"/>
        <w:rPr>
          <w:rFonts w:ascii="Arial" w:eastAsia="Times New Roman" w:hAnsi="Arial" w:cs="Arial"/>
          <w:b/>
          <w:bCs/>
          <w:sz w:val="24"/>
          <w:szCs w:val="24"/>
          <w:lang w:eastAsia="es-CO"/>
        </w:rPr>
      </w:pPr>
      <w:r w:rsidRPr="00E00F13">
        <w:rPr>
          <w:rFonts w:ascii="Arial" w:eastAsia="Times New Roman" w:hAnsi="Arial" w:cs="Arial"/>
          <w:b/>
          <w:bCs/>
          <w:sz w:val="24"/>
          <w:szCs w:val="24"/>
          <w:lang w:eastAsia="es-CO"/>
        </w:rPr>
        <w:t>Tabla. Acciones del MVCT en el cuidado</w:t>
      </w:r>
    </w:p>
    <w:tbl>
      <w:tblPr>
        <w:tblW w:w="87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53"/>
        <w:gridCol w:w="1984"/>
        <w:gridCol w:w="1843"/>
        <w:gridCol w:w="1665"/>
      </w:tblGrid>
      <w:tr w:rsidR="001130C7" w:rsidRPr="00E00F13" w14:paraId="72E3D63F" w14:textId="77777777" w:rsidTr="003075E5">
        <w:trPr>
          <w:trHeight w:val="975"/>
        </w:trPr>
        <w:tc>
          <w:tcPr>
            <w:tcW w:w="3253" w:type="dxa"/>
            <w:tcBorders>
              <w:top w:val="single" w:sz="6" w:space="0" w:color="FFFFFF"/>
              <w:left w:val="single" w:sz="6" w:space="0" w:color="FFFFFF"/>
              <w:bottom w:val="single" w:sz="4" w:space="0" w:color="auto"/>
              <w:right w:val="single" w:sz="6" w:space="0" w:color="FFFFFF"/>
            </w:tcBorders>
            <w:shd w:val="clear" w:color="auto" w:fill="D3447D"/>
            <w:vAlign w:val="center"/>
            <w:hideMark/>
          </w:tcPr>
          <w:p w14:paraId="382909B9" w14:textId="77777777" w:rsidR="001130C7" w:rsidRPr="00E00F13" w:rsidRDefault="001130C7">
            <w:pPr>
              <w:spacing w:after="0" w:line="360" w:lineRule="auto"/>
              <w:jc w:val="center"/>
              <w:textAlignment w:val="baseline"/>
              <w:rPr>
                <w:rFonts w:ascii="Arial" w:eastAsia="Times New Roman" w:hAnsi="Arial" w:cs="Arial"/>
                <w:sz w:val="24"/>
                <w:szCs w:val="24"/>
                <w:lang w:eastAsia="es-CO"/>
              </w:rPr>
            </w:pPr>
            <w:r w:rsidRPr="00E00F13">
              <w:rPr>
                <w:rFonts w:ascii="Arial" w:eastAsia="Times New Roman" w:hAnsi="Arial" w:cs="Arial"/>
                <w:b/>
                <w:bCs/>
                <w:sz w:val="24"/>
                <w:szCs w:val="24"/>
                <w:lang w:eastAsia="es-CO"/>
              </w:rPr>
              <w:t xml:space="preserve">Acción del </w:t>
            </w:r>
            <w:proofErr w:type="spellStart"/>
            <w:r w:rsidRPr="00E00F13">
              <w:rPr>
                <w:rFonts w:ascii="Arial" w:eastAsia="Times New Roman" w:hAnsi="Arial" w:cs="Arial"/>
                <w:b/>
                <w:bCs/>
                <w:sz w:val="24"/>
                <w:szCs w:val="24"/>
                <w:lang w:eastAsia="es-CO"/>
              </w:rPr>
              <w:t>Conpes</w:t>
            </w:r>
            <w:proofErr w:type="spellEnd"/>
            <w:r w:rsidRPr="00E00F13">
              <w:rPr>
                <w:rFonts w:ascii="Arial" w:eastAsia="Times New Roman" w:hAnsi="Arial" w:cs="Arial"/>
                <w:sz w:val="24"/>
                <w:szCs w:val="24"/>
                <w:lang w:eastAsia="es-CO"/>
              </w:rPr>
              <w:t> </w:t>
            </w:r>
          </w:p>
        </w:tc>
        <w:tc>
          <w:tcPr>
            <w:tcW w:w="1984" w:type="dxa"/>
            <w:tcBorders>
              <w:top w:val="single" w:sz="6" w:space="0" w:color="FFFFFF"/>
              <w:left w:val="single" w:sz="6" w:space="0" w:color="FFFFFF"/>
              <w:bottom w:val="single" w:sz="4" w:space="0" w:color="auto"/>
              <w:right w:val="single" w:sz="6" w:space="0" w:color="FFFFFF"/>
            </w:tcBorders>
            <w:shd w:val="clear" w:color="auto" w:fill="D3447D"/>
            <w:vAlign w:val="center"/>
            <w:hideMark/>
          </w:tcPr>
          <w:p w14:paraId="1966D307" w14:textId="77777777" w:rsidR="001130C7" w:rsidRPr="00E00F13" w:rsidRDefault="001130C7">
            <w:pPr>
              <w:spacing w:after="0" w:line="360" w:lineRule="auto"/>
              <w:jc w:val="center"/>
              <w:textAlignment w:val="baseline"/>
              <w:rPr>
                <w:rFonts w:ascii="Arial" w:eastAsia="Times New Roman" w:hAnsi="Arial" w:cs="Arial"/>
                <w:sz w:val="24"/>
                <w:szCs w:val="24"/>
                <w:lang w:eastAsia="es-CO"/>
              </w:rPr>
            </w:pPr>
            <w:r w:rsidRPr="00E00F13">
              <w:rPr>
                <w:rFonts w:ascii="Arial" w:eastAsia="Times New Roman" w:hAnsi="Arial" w:cs="Arial"/>
                <w:b/>
                <w:bCs/>
                <w:sz w:val="24"/>
                <w:szCs w:val="24"/>
                <w:lang w:eastAsia="es-CO"/>
              </w:rPr>
              <w:t>Dependencia responsable</w:t>
            </w:r>
            <w:r w:rsidRPr="00E00F13">
              <w:rPr>
                <w:rFonts w:ascii="Arial" w:eastAsia="Times New Roman" w:hAnsi="Arial" w:cs="Arial"/>
                <w:sz w:val="24"/>
                <w:szCs w:val="24"/>
                <w:lang w:eastAsia="es-CO"/>
              </w:rPr>
              <w:t> </w:t>
            </w:r>
          </w:p>
        </w:tc>
        <w:tc>
          <w:tcPr>
            <w:tcW w:w="1843" w:type="dxa"/>
            <w:tcBorders>
              <w:top w:val="single" w:sz="6" w:space="0" w:color="FFFFFF"/>
              <w:left w:val="single" w:sz="6" w:space="0" w:color="FFFFFF"/>
              <w:bottom w:val="single" w:sz="4" w:space="0" w:color="auto"/>
              <w:right w:val="single" w:sz="6" w:space="0" w:color="FFFFFF"/>
            </w:tcBorders>
            <w:shd w:val="clear" w:color="auto" w:fill="D3447D"/>
            <w:vAlign w:val="center"/>
            <w:hideMark/>
          </w:tcPr>
          <w:p w14:paraId="18BA7EB3" w14:textId="77777777" w:rsidR="001130C7" w:rsidRPr="00E00F13" w:rsidRDefault="001130C7">
            <w:pPr>
              <w:spacing w:after="0" w:line="360" w:lineRule="auto"/>
              <w:jc w:val="center"/>
              <w:textAlignment w:val="baseline"/>
              <w:rPr>
                <w:rFonts w:ascii="Arial" w:eastAsia="Times New Roman" w:hAnsi="Arial" w:cs="Arial"/>
                <w:sz w:val="24"/>
                <w:szCs w:val="24"/>
                <w:lang w:eastAsia="es-CO"/>
              </w:rPr>
            </w:pPr>
            <w:r w:rsidRPr="00E00F13">
              <w:rPr>
                <w:rFonts w:ascii="Arial" w:eastAsia="Times New Roman" w:hAnsi="Arial" w:cs="Arial"/>
                <w:b/>
                <w:bCs/>
                <w:sz w:val="24"/>
                <w:szCs w:val="24"/>
                <w:lang w:eastAsia="es-CO"/>
              </w:rPr>
              <w:t>Fecha de inicio - Fecha fin</w:t>
            </w:r>
            <w:r w:rsidRPr="00E00F13">
              <w:rPr>
                <w:rFonts w:ascii="Arial" w:eastAsia="Times New Roman" w:hAnsi="Arial" w:cs="Arial"/>
                <w:sz w:val="24"/>
                <w:szCs w:val="24"/>
                <w:lang w:eastAsia="es-CO"/>
              </w:rPr>
              <w:t> </w:t>
            </w:r>
          </w:p>
        </w:tc>
        <w:tc>
          <w:tcPr>
            <w:tcW w:w="1665" w:type="dxa"/>
            <w:tcBorders>
              <w:top w:val="single" w:sz="6" w:space="0" w:color="FFFFFF"/>
              <w:left w:val="single" w:sz="6" w:space="0" w:color="FFFFFF"/>
              <w:bottom w:val="single" w:sz="4" w:space="0" w:color="auto"/>
              <w:right w:val="single" w:sz="6" w:space="0" w:color="FFFFFF"/>
            </w:tcBorders>
            <w:shd w:val="clear" w:color="auto" w:fill="D3447D"/>
            <w:vAlign w:val="center"/>
            <w:hideMark/>
          </w:tcPr>
          <w:p w14:paraId="459B539F" w14:textId="77777777" w:rsidR="001130C7" w:rsidRPr="00E00F13" w:rsidRDefault="001130C7">
            <w:pPr>
              <w:spacing w:after="0" w:line="360" w:lineRule="auto"/>
              <w:jc w:val="center"/>
              <w:textAlignment w:val="baseline"/>
              <w:rPr>
                <w:rFonts w:ascii="Arial" w:eastAsia="Times New Roman" w:hAnsi="Arial" w:cs="Arial"/>
                <w:sz w:val="24"/>
                <w:szCs w:val="24"/>
                <w:lang w:eastAsia="es-CO"/>
              </w:rPr>
            </w:pPr>
            <w:r w:rsidRPr="00E00F13">
              <w:rPr>
                <w:rFonts w:ascii="Arial" w:eastAsia="Times New Roman" w:hAnsi="Arial" w:cs="Arial"/>
                <w:b/>
                <w:bCs/>
                <w:sz w:val="24"/>
                <w:szCs w:val="24"/>
                <w:lang w:eastAsia="es-CO"/>
              </w:rPr>
              <w:t>Meta final</w:t>
            </w:r>
            <w:r w:rsidRPr="00E00F13">
              <w:rPr>
                <w:rFonts w:ascii="Arial" w:eastAsia="Times New Roman" w:hAnsi="Arial" w:cs="Arial"/>
                <w:sz w:val="24"/>
                <w:szCs w:val="24"/>
                <w:lang w:eastAsia="es-CO"/>
              </w:rPr>
              <w:t> </w:t>
            </w:r>
          </w:p>
        </w:tc>
      </w:tr>
      <w:tr w:rsidR="001130C7" w:rsidRPr="00E00F13" w14:paraId="409A6EAF" w14:textId="77777777" w:rsidTr="003075E5">
        <w:trPr>
          <w:trHeight w:val="990"/>
        </w:trPr>
        <w:tc>
          <w:tcPr>
            <w:tcW w:w="3253" w:type="dxa"/>
            <w:tcBorders>
              <w:top w:val="single" w:sz="4" w:space="0" w:color="auto"/>
              <w:left w:val="single" w:sz="4" w:space="0" w:color="auto"/>
              <w:bottom w:val="single" w:sz="4" w:space="0" w:color="auto"/>
              <w:right w:val="single" w:sz="4" w:space="0" w:color="auto"/>
            </w:tcBorders>
            <w:shd w:val="clear" w:color="auto" w:fill="F2F2F2"/>
            <w:hideMark/>
          </w:tcPr>
          <w:p w14:paraId="299F26C6" w14:textId="77777777" w:rsidR="001130C7" w:rsidRPr="00E00F13" w:rsidRDefault="001130C7">
            <w:p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lang w:eastAsia="es-CO"/>
              </w:rPr>
              <w:t> 2.45 Asignar subsidios familiares de vivienda en la modalidad de mejoramiento urbano y rural a las madres cabeza de hogar y madres comunitarias</w:t>
            </w:r>
          </w:p>
          <w:p w14:paraId="599F4562" w14:textId="77777777" w:rsidR="001130C7" w:rsidRPr="00E00F13" w:rsidRDefault="001130C7">
            <w:p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lang w:eastAsia="es-CO"/>
              </w:rPr>
              <w:t> </w:t>
            </w:r>
          </w:p>
        </w:tc>
        <w:tc>
          <w:tcPr>
            <w:tcW w:w="1984" w:type="dxa"/>
            <w:tcBorders>
              <w:top w:val="single" w:sz="4" w:space="0" w:color="auto"/>
              <w:left w:val="single" w:sz="4" w:space="0" w:color="auto"/>
              <w:bottom w:val="single" w:sz="4" w:space="0" w:color="auto"/>
              <w:right w:val="single" w:sz="4" w:space="0" w:color="auto"/>
            </w:tcBorders>
            <w:shd w:val="clear" w:color="auto" w:fill="F2F2F2"/>
            <w:hideMark/>
          </w:tcPr>
          <w:p w14:paraId="4E359711" w14:textId="77777777" w:rsidR="001130C7" w:rsidRPr="00E00F13" w:rsidRDefault="001130C7">
            <w:p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lang w:eastAsia="es-CO"/>
              </w:rPr>
              <w:t> Dirección de Inversiones en Vivienda de Interés Social </w:t>
            </w:r>
          </w:p>
        </w:tc>
        <w:tc>
          <w:tcPr>
            <w:tcW w:w="1843" w:type="dxa"/>
            <w:tcBorders>
              <w:top w:val="single" w:sz="4" w:space="0" w:color="auto"/>
              <w:left w:val="single" w:sz="4" w:space="0" w:color="auto"/>
              <w:bottom w:val="single" w:sz="4" w:space="0" w:color="auto"/>
              <w:right w:val="single" w:sz="4" w:space="0" w:color="auto"/>
            </w:tcBorders>
            <w:shd w:val="clear" w:color="auto" w:fill="F2F2F2"/>
            <w:hideMark/>
          </w:tcPr>
          <w:p w14:paraId="78F1588A" w14:textId="77777777" w:rsidR="001130C7" w:rsidRPr="00E00F13" w:rsidRDefault="001130C7">
            <w:p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lang w:eastAsia="es-CO"/>
              </w:rPr>
              <w:t> 1/01/2026 - 31/12/2034 </w:t>
            </w:r>
          </w:p>
        </w:tc>
        <w:tc>
          <w:tcPr>
            <w:tcW w:w="1665" w:type="dxa"/>
            <w:tcBorders>
              <w:top w:val="single" w:sz="4" w:space="0" w:color="auto"/>
              <w:left w:val="single" w:sz="4" w:space="0" w:color="auto"/>
              <w:bottom w:val="single" w:sz="4" w:space="0" w:color="auto"/>
              <w:right w:val="single" w:sz="4" w:space="0" w:color="auto"/>
            </w:tcBorders>
            <w:shd w:val="clear" w:color="auto" w:fill="F2F2F2"/>
            <w:hideMark/>
          </w:tcPr>
          <w:p w14:paraId="5DDE9F84" w14:textId="77777777" w:rsidR="001130C7" w:rsidRPr="00E00F13" w:rsidRDefault="001130C7">
            <w:p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lang w:eastAsia="es-CO"/>
              </w:rPr>
              <w:t> 9.001 SFV </w:t>
            </w:r>
          </w:p>
        </w:tc>
      </w:tr>
      <w:tr w:rsidR="001130C7" w:rsidRPr="00E00F13" w14:paraId="5E4B427B" w14:textId="77777777" w:rsidTr="003075E5">
        <w:trPr>
          <w:trHeight w:val="990"/>
        </w:trPr>
        <w:tc>
          <w:tcPr>
            <w:tcW w:w="3253" w:type="dxa"/>
            <w:tcBorders>
              <w:top w:val="single" w:sz="4" w:space="0" w:color="auto"/>
              <w:left w:val="single" w:sz="4" w:space="0" w:color="auto"/>
              <w:bottom w:val="single" w:sz="4" w:space="0" w:color="auto"/>
              <w:right w:val="single" w:sz="4" w:space="0" w:color="auto"/>
            </w:tcBorders>
            <w:shd w:val="clear" w:color="auto" w:fill="FFFFFF"/>
            <w:hideMark/>
          </w:tcPr>
          <w:p w14:paraId="7F950058" w14:textId="77777777" w:rsidR="001130C7" w:rsidRPr="00E00F13" w:rsidRDefault="001130C7">
            <w:p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lang w:eastAsia="es-CO"/>
              </w:rPr>
              <w:t> 4.16 Apoyar el desarrollo y mejoramiento de infraestructura social de cuidado y del entorno urbanístico con diseño y accesibilidad universal para favorecer el bienestar integral de las personas que requieren cuidado, asistencia o apoyo </w:t>
            </w:r>
          </w:p>
        </w:tc>
        <w:tc>
          <w:tcPr>
            <w:tcW w:w="1984" w:type="dxa"/>
            <w:tcBorders>
              <w:top w:val="single" w:sz="4" w:space="0" w:color="auto"/>
              <w:left w:val="single" w:sz="4" w:space="0" w:color="auto"/>
              <w:bottom w:val="single" w:sz="4" w:space="0" w:color="auto"/>
              <w:right w:val="single" w:sz="4" w:space="0" w:color="auto"/>
            </w:tcBorders>
            <w:shd w:val="clear" w:color="auto" w:fill="FFFFFF"/>
            <w:hideMark/>
          </w:tcPr>
          <w:p w14:paraId="123B28D5" w14:textId="77777777" w:rsidR="001130C7" w:rsidRPr="00E00F13" w:rsidRDefault="001130C7">
            <w:p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lang w:eastAsia="es-CO"/>
              </w:rPr>
              <w:t>Subdirección de Asistencia Técnica y Operaciones Urbanas Integrales </w:t>
            </w:r>
          </w:p>
        </w:tc>
        <w:tc>
          <w:tcPr>
            <w:tcW w:w="1843" w:type="dxa"/>
            <w:tcBorders>
              <w:top w:val="single" w:sz="4" w:space="0" w:color="auto"/>
              <w:left w:val="single" w:sz="4" w:space="0" w:color="auto"/>
              <w:bottom w:val="single" w:sz="4" w:space="0" w:color="auto"/>
              <w:right w:val="single" w:sz="4" w:space="0" w:color="auto"/>
            </w:tcBorders>
            <w:shd w:val="clear" w:color="auto" w:fill="FFFFFF"/>
            <w:hideMark/>
          </w:tcPr>
          <w:p w14:paraId="029A2669" w14:textId="77777777" w:rsidR="001130C7" w:rsidRPr="00E00F13" w:rsidRDefault="001130C7">
            <w:p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lang w:eastAsia="es-CO"/>
              </w:rPr>
              <w:t> 1/01/2026 - 31/12/2034 </w:t>
            </w:r>
          </w:p>
        </w:tc>
        <w:tc>
          <w:tcPr>
            <w:tcW w:w="1665" w:type="dxa"/>
            <w:tcBorders>
              <w:top w:val="single" w:sz="4" w:space="0" w:color="auto"/>
              <w:left w:val="single" w:sz="4" w:space="0" w:color="auto"/>
              <w:bottom w:val="single" w:sz="4" w:space="0" w:color="auto"/>
              <w:right w:val="single" w:sz="4" w:space="0" w:color="auto"/>
            </w:tcBorders>
            <w:shd w:val="clear" w:color="auto" w:fill="FFFFFF"/>
            <w:hideMark/>
          </w:tcPr>
          <w:p w14:paraId="6EC03201" w14:textId="77777777" w:rsidR="001130C7" w:rsidRPr="00E00F13" w:rsidRDefault="001130C7">
            <w:p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lang w:eastAsia="es-CO"/>
              </w:rPr>
              <w:t> 100% de municipios apoyados </w:t>
            </w:r>
          </w:p>
        </w:tc>
      </w:tr>
      <w:tr w:rsidR="001130C7" w:rsidRPr="00E00F13" w14:paraId="539A0AFC" w14:textId="77777777" w:rsidTr="003075E5">
        <w:trPr>
          <w:trHeight w:val="990"/>
        </w:trPr>
        <w:tc>
          <w:tcPr>
            <w:tcW w:w="3253" w:type="dxa"/>
            <w:tcBorders>
              <w:top w:val="single" w:sz="4" w:space="0" w:color="auto"/>
              <w:left w:val="single" w:sz="4" w:space="0" w:color="auto"/>
              <w:bottom w:val="single" w:sz="4" w:space="0" w:color="auto"/>
              <w:right w:val="single" w:sz="4" w:space="0" w:color="auto"/>
            </w:tcBorders>
            <w:shd w:val="clear" w:color="auto" w:fill="F2F2F2"/>
            <w:hideMark/>
          </w:tcPr>
          <w:p w14:paraId="08424BAB" w14:textId="77777777" w:rsidR="001130C7" w:rsidRPr="00E00F13" w:rsidRDefault="001130C7">
            <w:p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lang w:eastAsia="es-CO"/>
              </w:rPr>
              <w:t xml:space="preserve">4.32 Elaborar un documento de estudio de la política pública en materia de vivienda </w:t>
            </w:r>
            <w:r w:rsidRPr="00E00F13">
              <w:rPr>
                <w:rFonts w:ascii="Arial" w:eastAsia="Times New Roman" w:hAnsi="Arial" w:cs="Arial"/>
                <w:sz w:val="24"/>
                <w:szCs w:val="24"/>
                <w:lang w:eastAsia="es-CO"/>
              </w:rPr>
              <w:lastRenderedPageBreak/>
              <w:t>para las personas cuidadoras, que servirá como insumo para la formulación de mecanismos de atención en la modalidad de mejoramiento </w:t>
            </w:r>
          </w:p>
        </w:tc>
        <w:tc>
          <w:tcPr>
            <w:tcW w:w="1984" w:type="dxa"/>
            <w:tcBorders>
              <w:top w:val="single" w:sz="4" w:space="0" w:color="auto"/>
              <w:left w:val="single" w:sz="4" w:space="0" w:color="auto"/>
              <w:bottom w:val="single" w:sz="4" w:space="0" w:color="auto"/>
              <w:right w:val="single" w:sz="4" w:space="0" w:color="auto"/>
            </w:tcBorders>
            <w:shd w:val="clear" w:color="auto" w:fill="F2F2F2"/>
            <w:hideMark/>
          </w:tcPr>
          <w:p w14:paraId="725D9092" w14:textId="77777777" w:rsidR="001130C7" w:rsidRPr="00E00F13" w:rsidRDefault="001130C7">
            <w:p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lang w:eastAsia="es-CO"/>
              </w:rPr>
              <w:lastRenderedPageBreak/>
              <w:t>Dirección del Sistema Habitacional </w:t>
            </w:r>
          </w:p>
        </w:tc>
        <w:tc>
          <w:tcPr>
            <w:tcW w:w="1843" w:type="dxa"/>
            <w:tcBorders>
              <w:top w:val="single" w:sz="4" w:space="0" w:color="auto"/>
              <w:left w:val="single" w:sz="4" w:space="0" w:color="auto"/>
              <w:bottom w:val="single" w:sz="4" w:space="0" w:color="auto"/>
              <w:right w:val="single" w:sz="4" w:space="0" w:color="auto"/>
            </w:tcBorders>
            <w:shd w:val="clear" w:color="auto" w:fill="F2F2F2"/>
            <w:hideMark/>
          </w:tcPr>
          <w:p w14:paraId="0A802CC0" w14:textId="77777777" w:rsidR="001130C7" w:rsidRPr="00E00F13" w:rsidRDefault="001130C7">
            <w:p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lang w:eastAsia="es-CO"/>
              </w:rPr>
              <w:t>1/11/2025 - 31/12/2026 </w:t>
            </w:r>
          </w:p>
        </w:tc>
        <w:tc>
          <w:tcPr>
            <w:tcW w:w="1665" w:type="dxa"/>
            <w:tcBorders>
              <w:top w:val="single" w:sz="4" w:space="0" w:color="auto"/>
              <w:left w:val="single" w:sz="4" w:space="0" w:color="auto"/>
              <w:bottom w:val="single" w:sz="4" w:space="0" w:color="auto"/>
              <w:right w:val="single" w:sz="4" w:space="0" w:color="auto"/>
            </w:tcBorders>
            <w:shd w:val="clear" w:color="auto" w:fill="F2F2F2"/>
            <w:hideMark/>
          </w:tcPr>
          <w:p w14:paraId="72417107" w14:textId="77777777" w:rsidR="001130C7" w:rsidRPr="00E00F13" w:rsidRDefault="001130C7">
            <w:p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lang w:eastAsia="es-CO"/>
              </w:rPr>
              <w:t xml:space="preserve">100% de avance en la </w:t>
            </w:r>
            <w:r w:rsidRPr="00E00F13">
              <w:rPr>
                <w:rFonts w:ascii="Arial" w:eastAsia="Times New Roman" w:hAnsi="Arial" w:cs="Arial"/>
                <w:sz w:val="24"/>
                <w:szCs w:val="24"/>
                <w:lang w:eastAsia="es-CO"/>
              </w:rPr>
              <w:lastRenderedPageBreak/>
              <w:t>consolidación del documento </w:t>
            </w:r>
          </w:p>
        </w:tc>
      </w:tr>
    </w:tbl>
    <w:p w14:paraId="57A43FAF" w14:textId="77777777" w:rsidR="001130C7" w:rsidRPr="00E00F13" w:rsidRDefault="001130C7" w:rsidP="001130C7">
      <w:pPr>
        <w:spacing w:after="0" w:line="360" w:lineRule="auto"/>
        <w:jc w:val="both"/>
        <w:textAlignment w:val="baseline"/>
        <w:rPr>
          <w:rFonts w:ascii="Arial" w:eastAsia="Times New Roman" w:hAnsi="Arial" w:cs="Arial"/>
          <w:sz w:val="20"/>
          <w:szCs w:val="20"/>
          <w:lang w:eastAsia="es-CO"/>
        </w:rPr>
      </w:pPr>
      <w:r w:rsidRPr="00E00F13">
        <w:rPr>
          <w:rFonts w:ascii="Arial" w:eastAsia="Times New Roman" w:hAnsi="Arial" w:cs="Arial"/>
          <w:sz w:val="20"/>
          <w:szCs w:val="20"/>
          <w:lang w:eastAsia="es-CO"/>
        </w:rPr>
        <w:lastRenderedPageBreak/>
        <w:t> Fuente: MVCT, 2025.</w:t>
      </w:r>
    </w:p>
    <w:p w14:paraId="532C0A1E" w14:textId="77777777" w:rsidR="001130C7" w:rsidRPr="00E00F13" w:rsidRDefault="001130C7" w:rsidP="001130C7">
      <w:pPr>
        <w:spacing w:after="0" w:line="360" w:lineRule="auto"/>
        <w:jc w:val="both"/>
        <w:textAlignment w:val="baseline"/>
        <w:rPr>
          <w:rFonts w:ascii="Arial" w:eastAsia="Times New Roman" w:hAnsi="Arial" w:cs="Arial"/>
          <w:sz w:val="24"/>
          <w:szCs w:val="24"/>
          <w:lang w:eastAsia="es-CO"/>
        </w:rPr>
      </w:pPr>
    </w:p>
    <w:p w14:paraId="5B8D102A" w14:textId="77777777" w:rsidR="001130C7" w:rsidRPr="00E00F13" w:rsidRDefault="001130C7" w:rsidP="001130C7">
      <w:p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shd w:val="clear" w:color="auto" w:fill="FFFFFF"/>
          <w:lang w:eastAsia="es-CO"/>
        </w:rPr>
        <w:t>Otro elemento importante para aterrizar el enfoque de cuidado al interior del Ministerio son las directivas dadas por el Departamento Nacional de Planeación, quien ha definido el cuidado como «el conjunto de acciones que toda sociedad realiza para procurar la autonomía, desarrollo y bienestar cotidiano de las personas, especialmente, de aquellas que se encuentran en situación de dependencia funcional»</w:t>
      </w:r>
      <w:r w:rsidRPr="00E00F13">
        <w:rPr>
          <w:rFonts w:ascii="Arial" w:eastAsia="Times New Roman" w:hAnsi="Arial" w:cs="Arial"/>
          <w:sz w:val="24"/>
          <w:szCs w:val="24"/>
          <w:shd w:val="clear" w:color="auto" w:fill="FFFFFF"/>
          <w:vertAlign w:val="superscript"/>
          <w:lang w:eastAsia="es-CO"/>
        </w:rPr>
        <w:t>14</w:t>
      </w:r>
      <w:r w:rsidRPr="00E00F13">
        <w:rPr>
          <w:rFonts w:ascii="Arial" w:eastAsia="Times New Roman" w:hAnsi="Arial" w:cs="Arial"/>
          <w:sz w:val="24"/>
          <w:szCs w:val="24"/>
          <w:shd w:val="clear" w:color="auto" w:fill="FFFFFF"/>
          <w:lang w:eastAsia="es-CO"/>
        </w:rPr>
        <w:t>. Bajo esta definición, se vuelve fundamental otra normativa enfocada en reglamentar la atención institucional para poblaciones dependientes de cuidado, como la primera infancia (Ley 1804 de 2016), las personas adultas mayores (Ley 1251 de 2008) y la población con discapacidad (Ley 2297 de 2023). De forma adicional, la norma reconoce a las personas que sostienen una mayor carga de cuidado, por ejemplo, las madres y padres cabeza de familia (Ley 1232 de 2008 y 2115 de 2021). </w:t>
      </w:r>
      <w:r w:rsidRPr="00E00F13">
        <w:rPr>
          <w:rFonts w:ascii="Arial" w:eastAsia="Times New Roman" w:hAnsi="Arial" w:cs="Arial"/>
          <w:sz w:val="24"/>
          <w:szCs w:val="24"/>
          <w:lang w:eastAsia="es-CO"/>
        </w:rPr>
        <w:t> </w:t>
      </w:r>
    </w:p>
    <w:p w14:paraId="4DB21158" w14:textId="77777777" w:rsidR="001130C7" w:rsidRPr="00E00F13" w:rsidRDefault="001130C7" w:rsidP="001130C7">
      <w:p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lang w:eastAsia="es-CO"/>
        </w:rPr>
        <w:t> </w:t>
      </w:r>
    </w:p>
    <w:p w14:paraId="43504100" w14:textId="77777777" w:rsidR="001130C7" w:rsidRPr="00E00F13" w:rsidRDefault="001130C7" w:rsidP="001130C7">
      <w:p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shd w:val="clear" w:color="auto" w:fill="FFFFFF"/>
          <w:lang w:eastAsia="es-CO"/>
        </w:rPr>
        <w:t xml:space="preserve">Otro elemento fundamental para incorporar este enfoque como parte de los lineamientos de política es la relevancia del cuidado como parte de la economía y el funcionamiento cotidiano de la sociedad. De acuerdo con el DANE, quien ha venido midiendo la participación del trabajo de cuidado dentro de las medidas de economía nacional mediante la Cuenta Satélite de Economía del Cuidado (CSEC) y la Encuesta Nacional de Uso del Tiempo (ENUT), ha encontrado que este trabajo podría representar alrededor del 20% del PIB nacional cuando se valora económicamente. Adicionalmente, se reconoce que la mayoría de </w:t>
      </w:r>
      <w:proofErr w:type="gramStart"/>
      <w:r w:rsidRPr="00E00F13">
        <w:rPr>
          <w:rFonts w:ascii="Arial" w:eastAsia="Times New Roman" w:hAnsi="Arial" w:cs="Arial"/>
          <w:sz w:val="24"/>
          <w:szCs w:val="24"/>
          <w:shd w:val="clear" w:color="auto" w:fill="FFFFFF"/>
          <w:lang w:eastAsia="es-CO"/>
        </w:rPr>
        <w:t>mujeres</w:t>
      </w:r>
      <w:proofErr w:type="gramEnd"/>
      <w:r w:rsidRPr="00E00F13">
        <w:rPr>
          <w:rFonts w:ascii="Arial" w:eastAsia="Times New Roman" w:hAnsi="Arial" w:cs="Arial"/>
          <w:sz w:val="24"/>
          <w:szCs w:val="24"/>
          <w:shd w:val="clear" w:color="auto" w:fill="FFFFFF"/>
          <w:lang w:eastAsia="es-CO"/>
        </w:rPr>
        <w:t xml:space="preserve"> (hasta cerca del 90%) realiza labores domésticas y de cuidado no remuneradas. Esto hace parte de los elementos que configuran condiciones de desigualdad profunda para las mujeres en su vida cotidiana, por esto, el enfoque de cuidado está asociado de </w:t>
      </w:r>
      <w:r w:rsidRPr="00E00F13">
        <w:rPr>
          <w:rFonts w:ascii="Arial" w:eastAsia="Times New Roman" w:hAnsi="Arial" w:cs="Arial"/>
          <w:sz w:val="24"/>
          <w:szCs w:val="24"/>
          <w:shd w:val="clear" w:color="auto" w:fill="FFFFFF"/>
          <w:lang w:eastAsia="es-CO"/>
        </w:rPr>
        <w:lastRenderedPageBreak/>
        <w:t>forma importante al enfoque de género y a las acciones que instituciones como el MVCT hacen en favor de las mujeres. </w:t>
      </w:r>
      <w:r w:rsidRPr="00E00F13">
        <w:rPr>
          <w:rFonts w:ascii="Arial" w:eastAsia="Times New Roman" w:hAnsi="Arial" w:cs="Arial"/>
          <w:sz w:val="24"/>
          <w:szCs w:val="24"/>
          <w:lang w:eastAsia="es-CO"/>
        </w:rPr>
        <w:t> </w:t>
      </w:r>
    </w:p>
    <w:p w14:paraId="78DA6348" w14:textId="77777777" w:rsidR="001130C7" w:rsidRPr="00E00F13" w:rsidRDefault="001130C7" w:rsidP="001130C7">
      <w:p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lang w:eastAsia="es-CO"/>
        </w:rPr>
        <w:t> </w:t>
      </w:r>
    </w:p>
    <w:p w14:paraId="6D1FA987" w14:textId="77777777" w:rsidR="001130C7" w:rsidRPr="00E00F13" w:rsidRDefault="001130C7" w:rsidP="001130C7">
      <w:p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shd w:val="clear" w:color="auto" w:fill="FFFFFF"/>
          <w:lang w:eastAsia="es-CO"/>
        </w:rPr>
        <w:t>Como se ha señalado, el trabajo de cuidado se realiza de forma mayoritaria al interior de los hogares, o sea, al interior de las viviendas. Este trabajo, profundamente ligado al trabajo doméstico, requiere que la persona cuidadora y la persona dependiente de cuidado cuenten con una vivienda y que esta tenga condiciones adecuadas en lugares estratégicos como cocinas y baños, espacio suficiente y acceso a servicios públicos. La garantía de estas condiciones puede ayudar a reducir el tiempo invertido en el trabajo cotidiano del cuidado. Estos elementos hacen parte de las competencias del MVCT y se atiende a través de programas que facilitan al acceso a la vivienda, el mejoramiento de </w:t>
      </w:r>
      <w:proofErr w:type="gramStart"/>
      <w:r w:rsidRPr="00E00F13">
        <w:rPr>
          <w:rFonts w:ascii="Arial" w:eastAsia="Times New Roman" w:hAnsi="Arial" w:cs="Arial"/>
          <w:sz w:val="24"/>
          <w:szCs w:val="24"/>
          <w:shd w:val="clear" w:color="auto" w:fill="FFFFFF"/>
          <w:lang w:eastAsia="es-CO"/>
        </w:rPr>
        <w:t>las mismas</w:t>
      </w:r>
      <w:proofErr w:type="gramEnd"/>
      <w:r w:rsidRPr="00E00F13">
        <w:rPr>
          <w:rFonts w:ascii="Arial" w:eastAsia="Times New Roman" w:hAnsi="Arial" w:cs="Arial"/>
          <w:sz w:val="24"/>
          <w:szCs w:val="24"/>
          <w:shd w:val="clear" w:color="auto" w:fill="FFFFFF"/>
          <w:lang w:eastAsia="es-CO"/>
        </w:rPr>
        <w:t> o el acceso al agua para el consumo humano y el saneamiento básico. </w:t>
      </w:r>
      <w:r w:rsidRPr="00E00F13">
        <w:rPr>
          <w:rFonts w:ascii="Arial" w:eastAsia="Times New Roman" w:hAnsi="Arial" w:cs="Arial"/>
          <w:sz w:val="24"/>
          <w:szCs w:val="24"/>
          <w:lang w:eastAsia="es-CO"/>
        </w:rPr>
        <w:t> </w:t>
      </w:r>
    </w:p>
    <w:p w14:paraId="72B7A14B" w14:textId="77777777" w:rsidR="001130C7" w:rsidRPr="00E00F13" w:rsidRDefault="001130C7" w:rsidP="001130C7">
      <w:p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lang w:eastAsia="es-CO"/>
        </w:rPr>
        <w:t> </w:t>
      </w:r>
    </w:p>
    <w:p w14:paraId="09B3A0D4" w14:textId="77777777" w:rsidR="001130C7" w:rsidRPr="00E00F13" w:rsidRDefault="001130C7" w:rsidP="001130C7">
      <w:pPr>
        <w:spacing w:after="0" w:line="360" w:lineRule="auto"/>
        <w:jc w:val="both"/>
        <w:textAlignment w:val="baseline"/>
        <w:rPr>
          <w:rFonts w:ascii="Arial" w:eastAsia="Times New Roman" w:hAnsi="Arial" w:cs="Arial"/>
          <w:sz w:val="24"/>
          <w:szCs w:val="24"/>
          <w:shd w:val="clear" w:color="auto" w:fill="FFFFFF"/>
          <w:lang w:eastAsia="es-CO"/>
        </w:rPr>
      </w:pPr>
      <w:r w:rsidRPr="00E00F13">
        <w:rPr>
          <w:rFonts w:ascii="Arial" w:eastAsia="Times New Roman" w:hAnsi="Arial" w:cs="Arial"/>
          <w:sz w:val="24"/>
          <w:szCs w:val="24"/>
          <w:shd w:val="clear" w:color="auto" w:fill="FFFFFF"/>
          <w:lang w:eastAsia="es-CO"/>
        </w:rPr>
        <w:t>A propósito de la comprensión del cuidado como enfoque y </w:t>
      </w:r>
      <w:proofErr w:type="gramStart"/>
      <w:r w:rsidRPr="00E00F13">
        <w:rPr>
          <w:rFonts w:ascii="Arial" w:eastAsia="Times New Roman" w:hAnsi="Arial" w:cs="Arial"/>
          <w:sz w:val="24"/>
          <w:szCs w:val="24"/>
          <w:shd w:val="clear" w:color="auto" w:fill="FFFFFF"/>
          <w:lang w:eastAsia="es-CO"/>
        </w:rPr>
        <w:t>en relación a</w:t>
      </w:r>
      <w:proofErr w:type="gramEnd"/>
      <w:r w:rsidRPr="00E00F13">
        <w:rPr>
          <w:rFonts w:ascii="Arial" w:eastAsia="Times New Roman" w:hAnsi="Arial" w:cs="Arial"/>
          <w:sz w:val="24"/>
          <w:szCs w:val="24"/>
          <w:shd w:val="clear" w:color="auto" w:fill="FFFFFF"/>
          <w:lang w:eastAsia="es-CO"/>
        </w:rPr>
        <w:t> un sistema nacional, el MVCT debe iniciar un trabajo interno para incorporar a la reglamentación interna de sus programas esta mirada de apoyo a la autonomía y cuidado de la población con mayores necesidades o dependientes, reconocimiento a las personas cuidadoras y protección de las prácticas populares y comunitarias de cuidado.</w:t>
      </w:r>
      <w:r w:rsidRPr="00E00F13">
        <w:rPr>
          <w:rFonts w:ascii="Arial" w:eastAsia="Times New Roman" w:hAnsi="Arial" w:cs="Arial"/>
          <w:sz w:val="24"/>
          <w:szCs w:val="24"/>
          <w:lang w:eastAsia="es-CO"/>
        </w:rPr>
        <w:t> </w:t>
      </w:r>
    </w:p>
    <w:p w14:paraId="4B2D8BC1" w14:textId="77777777" w:rsidR="001130C7" w:rsidRPr="00E00F13" w:rsidRDefault="001130C7" w:rsidP="001130C7">
      <w:p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lang w:eastAsia="es-CO"/>
        </w:rPr>
        <w:t> </w:t>
      </w:r>
    </w:p>
    <w:p w14:paraId="2D57416F" w14:textId="77777777" w:rsidR="001130C7" w:rsidRPr="00E00F13" w:rsidRDefault="001130C7" w:rsidP="001130C7">
      <w:pPr>
        <w:spacing w:after="0" w:line="360" w:lineRule="auto"/>
        <w:jc w:val="both"/>
        <w:textAlignment w:val="baseline"/>
        <w:rPr>
          <w:rFonts w:ascii="Arial" w:eastAsia="Times New Roman" w:hAnsi="Arial" w:cs="Arial"/>
          <w:sz w:val="24"/>
          <w:szCs w:val="24"/>
          <w:shd w:val="clear" w:color="auto" w:fill="FFFFFF"/>
          <w:lang w:eastAsia="es-CO"/>
        </w:rPr>
      </w:pPr>
      <w:r w:rsidRPr="00E00F13">
        <w:rPr>
          <w:rFonts w:ascii="Arial" w:eastAsia="Times New Roman" w:hAnsi="Arial" w:cs="Arial"/>
          <w:sz w:val="24"/>
          <w:szCs w:val="24"/>
          <w:shd w:val="clear" w:color="auto" w:fill="FFFFFF"/>
          <w:lang w:eastAsia="es-CO"/>
        </w:rPr>
        <w:t>En este camino, y en el de la incorporación del enfoque de género, se ha avanzado en los últimos años, a través de la expedición de los decretos que modifican o amplían la oferta institucional. A </w:t>
      </w:r>
      <w:proofErr w:type="gramStart"/>
      <w:r w:rsidRPr="00E00F13">
        <w:rPr>
          <w:rFonts w:ascii="Arial" w:eastAsia="Times New Roman" w:hAnsi="Arial" w:cs="Arial"/>
          <w:sz w:val="24"/>
          <w:szCs w:val="24"/>
          <w:shd w:val="clear" w:color="auto" w:fill="FFFFFF"/>
          <w:lang w:eastAsia="es-CO"/>
        </w:rPr>
        <w:t>continuación</w:t>
      </w:r>
      <w:proofErr w:type="gramEnd"/>
      <w:r w:rsidRPr="00E00F13">
        <w:rPr>
          <w:rFonts w:ascii="Arial" w:eastAsia="Times New Roman" w:hAnsi="Arial" w:cs="Arial"/>
          <w:sz w:val="24"/>
          <w:szCs w:val="24"/>
          <w:shd w:val="clear" w:color="auto" w:fill="FFFFFF"/>
          <w:lang w:eastAsia="es-CO"/>
        </w:rPr>
        <w:t> se señalan algunas de las incorporaciones normativas: </w:t>
      </w:r>
    </w:p>
    <w:p w14:paraId="0775FC65" w14:textId="77777777" w:rsidR="001130C7" w:rsidRPr="00E00F13" w:rsidRDefault="001130C7" w:rsidP="001130C7">
      <w:pPr>
        <w:spacing w:after="0" w:line="360" w:lineRule="auto"/>
        <w:jc w:val="both"/>
        <w:textAlignment w:val="baseline"/>
        <w:rPr>
          <w:rFonts w:ascii="Arial" w:eastAsia="Times New Roman" w:hAnsi="Arial" w:cs="Arial"/>
          <w:sz w:val="24"/>
          <w:szCs w:val="24"/>
          <w:lang w:eastAsia="es-CO"/>
        </w:rPr>
      </w:pPr>
    </w:p>
    <w:p w14:paraId="54606397" w14:textId="77777777" w:rsidR="001130C7" w:rsidRPr="00E00F13" w:rsidRDefault="001130C7" w:rsidP="001130C7">
      <w:pPr>
        <w:spacing w:after="0" w:line="360" w:lineRule="auto"/>
        <w:jc w:val="both"/>
        <w:textAlignment w:val="baseline"/>
        <w:rPr>
          <w:rFonts w:ascii="Arial" w:eastAsia="Times New Roman" w:hAnsi="Arial" w:cs="Arial"/>
          <w:b/>
          <w:bCs/>
          <w:sz w:val="24"/>
          <w:szCs w:val="24"/>
          <w:lang w:eastAsia="es-CO"/>
        </w:rPr>
      </w:pPr>
      <w:r w:rsidRPr="00E00F13">
        <w:rPr>
          <w:rFonts w:ascii="Arial" w:eastAsia="Times New Roman" w:hAnsi="Arial" w:cs="Arial"/>
          <w:b/>
          <w:bCs/>
          <w:sz w:val="24"/>
          <w:szCs w:val="24"/>
          <w:lang w:eastAsia="es-CO"/>
        </w:rPr>
        <w:t>Tabla. Incorporación de los enfoques del cuidado y de género en lo normativo </w:t>
      </w:r>
    </w:p>
    <w:tbl>
      <w:tblPr>
        <w:tblW w:w="9064"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686"/>
        <w:gridCol w:w="6378"/>
      </w:tblGrid>
      <w:tr w:rsidR="001130C7" w:rsidRPr="00E00F13" w14:paraId="74DBB24A" w14:textId="77777777" w:rsidTr="00DF69C3">
        <w:trPr>
          <w:trHeight w:val="570"/>
        </w:trPr>
        <w:tc>
          <w:tcPr>
            <w:tcW w:w="2686" w:type="dxa"/>
            <w:tcBorders>
              <w:top w:val="single" w:sz="6" w:space="0" w:color="auto"/>
              <w:left w:val="single" w:sz="6" w:space="0" w:color="auto"/>
              <w:bottom w:val="single" w:sz="6" w:space="0" w:color="auto"/>
              <w:right w:val="single" w:sz="6" w:space="0" w:color="auto"/>
            </w:tcBorders>
            <w:shd w:val="clear" w:color="auto" w:fill="E7E6E6"/>
            <w:hideMark/>
          </w:tcPr>
          <w:p w14:paraId="10D97AD7" w14:textId="77777777" w:rsidR="001130C7" w:rsidRPr="00E00F13" w:rsidRDefault="001130C7">
            <w:pPr>
              <w:spacing w:after="0" w:line="360" w:lineRule="auto"/>
              <w:jc w:val="center"/>
              <w:textAlignment w:val="baseline"/>
              <w:rPr>
                <w:rFonts w:ascii="Arial" w:eastAsia="Times New Roman" w:hAnsi="Arial" w:cs="Arial"/>
                <w:sz w:val="24"/>
                <w:szCs w:val="24"/>
                <w:lang w:eastAsia="es-CO"/>
              </w:rPr>
            </w:pPr>
            <w:r w:rsidRPr="00E00F13">
              <w:rPr>
                <w:rFonts w:ascii="Arial" w:eastAsia="Times New Roman" w:hAnsi="Arial" w:cs="Arial"/>
                <w:sz w:val="24"/>
                <w:szCs w:val="24"/>
                <w:lang w:eastAsia="es-CO"/>
              </w:rPr>
              <w:t xml:space="preserve">Decreto </w:t>
            </w:r>
          </w:p>
        </w:tc>
        <w:tc>
          <w:tcPr>
            <w:tcW w:w="6378" w:type="dxa"/>
            <w:tcBorders>
              <w:top w:val="single" w:sz="6" w:space="0" w:color="auto"/>
              <w:left w:val="single" w:sz="6" w:space="0" w:color="auto"/>
              <w:bottom w:val="single" w:sz="6" w:space="0" w:color="auto"/>
              <w:right w:val="single" w:sz="6" w:space="0" w:color="auto"/>
            </w:tcBorders>
            <w:shd w:val="clear" w:color="auto" w:fill="E7E6E6"/>
            <w:hideMark/>
          </w:tcPr>
          <w:p w14:paraId="024A3B90" w14:textId="77777777" w:rsidR="001130C7" w:rsidRPr="00E00F13" w:rsidRDefault="001130C7">
            <w:pPr>
              <w:spacing w:after="0" w:line="360" w:lineRule="auto"/>
              <w:jc w:val="center"/>
              <w:textAlignment w:val="baseline"/>
              <w:rPr>
                <w:rFonts w:ascii="Arial" w:eastAsia="Times New Roman" w:hAnsi="Arial" w:cs="Arial"/>
                <w:sz w:val="24"/>
                <w:szCs w:val="24"/>
                <w:lang w:val="pt-PT" w:eastAsia="es-CO"/>
              </w:rPr>
            </w:pPr>
            <w:r w:rsidRPr="00E00F13">
              <w:rPr>
                <w:rFonts w:ascii="Arial" w:eastAsia="Times New Roman" w:hAnsi="Arial" w:cs="Arial"/>
                <w:sz w:val="24"/>
                <w:szCs w:val="24"/>
                <w:lang w:val="pt-PT" w:eastAsia="es-CO"/>
              </w:rPr>
              <w:t>Componente de género o cuidado</w:t>
            </w:r>
          </w:p>
        </w:tc>
      </w:tr>
      <w:tr w:rsidR="001130C7" w:rsidRPr="00E00F13" w14:paraId="2356298D" w14:textId="77777777" w:rsidTr="00DF69C3">
        <w:trPr>
          <w:trHeight w:val="2070"/>
        </w:trPr>
        <w:tc>
          <w:tcPr>
            <w:tcW w:w="2686" w:type="dxa"/>
            <w:tcBorders>
              <w:top w:val="single" w:sz="6" w:space="0" w:color="auto"/>
              <w:left w:val="single" w:sz="6" w:space="0" w:color="auto"/>
              <w:bottom w:val="single" w:sz="6" w:space="0" w:color="auto"/>
              <w:right w:val="single" w:sz="6" w:space="0" w:color="auto"/>
            </w:tcBorders>
            <w:hideMark/>
          </w:tcPr>
          <w:p w14:paraId="2B53BCD1" w14:textId="77777777" w:rsidR="001130C7" w:rsidRPr="00E00F13" w:rsidRDefault="001130C7">
            <w:p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b/>
                <w:bCs/>
                <w:sz w:val="24"/>
                <w:szCs w:val="24"/>
                <w:shd w:val="clear" w:color="auto" w:fill="FFFFFF"/>
                <w:lang w:eastAsia="es-CO"/>
              </w:rPr>
              <w:lastRenderedPageBreak/>
              <w:t>1. Decreto 1470 2024 Barrios de paz</w:t>
            </w:r>
            <w:r w:rsidRPr="00E00F13">
              <w:rPr>
                <w:rFonts w:ascii="Arial" w:eastAsia="Times New Roman" w:hAnsi="Arial" w:cs="Arial"/>
                <w:sz w:val="24"/>
                <w:szCs w:val="24"/>
                <w:lang w:eastAsia="es-CO"/>
              </w:rPr>
              <w:t> </w:t>
            </w:r>
          </w:p>
        </w:tc>
        <w:tc>
          <w:tcPr>
            <w:tcW w:w="6378" w:type="dxa"/>
            <w:tcBorders>
              <w:top w:val="single" w:sz="6" w:space="0" w:color="auto"/>
              <w:left w:val="single" w:sz="6" w:space="0" w:color="auto"/>
              <w:bottom w:val="single" w:sz="6" w:space="0" w:color="auto"/>
              <w:right w:val="single" w:sz="6" w:space="0" w:color="auto"/>
            </w:tcBorders>
            <w:hideMark/>
          </w:tcPr>
          <w:p w14:paraId="467F791D" w14:textId="77777777" w:rsidR="001130C7" w:rsidRPr="00E00F13" w:rsidRDefault="001130C7">
            <w:p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shd w:val="clear" w:color="auto" w:fill="FFFFFF"/>
                <w:lang w:eastAsia="es-CO"/>
              </w:rPr>
              <w:t>Artículo 2.2.4.4.1.2. Objetivos del Programa Barrios de Paz. (…) Las intervenciones se diseñarán y ejecutarán partiendo de un concepto de hábitat integral para la paz territorial; garantizando que los procesos respondan a las necesidades sociales, económicas y culturales de la comunidad. Para el desarrollo de los procesos se tomarán en consideración enfoques poblacionales, diferenciales, interseccionales, de género y de derecho a la ciudad.</w:t>
            </w:r>
            <w:r w:rsidRPr="00E00F13">
              <w:rPr>
                <w:rFonts w:ascii="Arial" w:eastAsia="Times New Roman" w:hAnsi="Arial" w:cs="Arial"/>
                <w:sz w:val="24"/>
                <w:szCs w:val="24"/>
                <w:lang w:eastAsia="es-CO"/>
              </w:rPr>
              <w:t> </w:t>
            </w:r>
          </w:p>
        </w:tc>
      </w:tr>
      <w:tr w:rsidR="001130C7" w:rsidRPr="00E00F13" w14:paraId="2964165B" w14:textId="77777777" w:rsidTr="00DF69C3">
        <w:trPr>
          <w:trHeight w:val="1110"/>
        </w:trPr>
        <w:tc>
          <w:tcPr>
            <w:tcW w:w="2686" w:type="dxa"/>
            <w:tcBorders>
              <w:top w:val="single" w:sz="6" w:space="0" w:color="auto"/>
              <w:left w:val="single" w:sz="6" w:space="0" w:color="auto"/>
              <w:bottom w:val="single" w:sz="6" w:space="0" w:color="auto"/>
              <w:right w:val="single" w:sz="6" w:space="0" w:color="auto"/>
            </w:tcBorders>
            <w:hideMark/>
          </w:tcPr>
          <w:p w14:paraId="3B84BBCC" w14:textId="77777777" w:rsidR="001130C7" w:rsidRPr="00E00F13" w:rsidRDefault="001130C7">
            <w:p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b/>
                <w:bCs/>
                <w:sz w:val="24"/>
                <w:szCs w:val="24"/>
                <w:shd w:val="clear" w:color="auto" w:fill="FFFFFF"/>
                <w:lang w:eastAsia="es-CO"/>
              </w:rPr>
              <w:t>2. Decreto 0413 de 2025 mejoramiento de vivienda</w:t>
            </w:r>
            <w:r w:rsidRPr="00E00F13">
              <w:rPr>
                <w:rFonts w:ascii="Arial" w:eastAsia="Times New Roman" w:hAnsi="Arial" w:cs="Arial"/>
                <w:sz w:val="24"/>
                <w:szCs w:val="24"/>
                <w:lang w:eastAsia="es-CO"/>
              </w:rPr>
              <w:t> </w:t>
            </w:r>
          </w:p>
        </w:tc>
        <w:tc>
          <w:tcPr>
            <w:tcW w:w="6378" w:type="dxa"/>
            <w:tcBorders>
              <w:top w:val="single" w:sz="6" w:space="0" w:color="auto"/>
              <w:left w:val="single" w:sz="6" w:space="0" w:color="auto"/>
              <w:bottom w:val="single" w:sz="6" w:space="0" w:color="auto"/>
              <w:right w:val="single" w:sz="6" w:space="0" w:color="auto"/>
            </w:tcBorders>
            <w:hideMark/>
          </w:tcPr>
          <w:p w14:paraId="6E255613" w14:textId="77777777" w:rsidR="001130C7" w:rsidRPr="00E00F13" w:rsidRDefault="001130C7">
            <w:pPr>
              <w:spacing w:after="0" w:line="360" w:lineRule="auto"/>
              <w:textAlignment w:val="baseline"/>
              <w:rPr>
                <w:rFonts w:ascii="Arial" w:eastAsia="Times New Roman" w:hAnsi="Arial" w:cs="Arial"/>
                <w:sz w:val="24"/>
                <w:szCs w:val="24"/>
                <w:lang w:eastAsia="es-CO"/>
              </w:rPr>
            </w:pPr>
            <w:r w:rsidRPr="00E00F13">
              <w:rPr>
                <w:rFonts w:ascii="Arial" w:eastAsia="Times New Roman" w:hAnsi="Arial" w:cs="Arial"/>
                <w:sz w:val="24"/>
                <w:szCs w:val="24"/>
                <w:shd w:val="clear" w:color="auto" w:fill="FFFFFF"/>
                <w:lang w:eastAsia="es-CO"/>
              </w:rPr>
              <w:t>Artículo 2.1.1.7.1. Aplicación. «(…) en el marco del Programa de mejoramiento integral de hábitat denominado "Mejoramiento de Vivienda", el cual profundiza en los enfoques diferencial, de género y territorial, bajo principios de participación, descentralización, progresividad, concurrencia y complementariedad, promoviendo la economía popular y la gestión comunitaria».</w:t>
            </w:r>
            <w:r w:rsidRPr="00E00F13">
              <w:rPr>
                <w:rFonts w:ascii="Arial" w:eastAsia="Times New Roman" w:hAnsi="Arial" w:cs="Arial"/>
                <w:sz w:val="24"/>
                <w:szCs w:val="24"/>
                <w:lang w:eastAsia="es-CO"/>
              </w:rPr>
              <w:t> </w:t>
            </w:r>
            <w:r w:rsidRPr="00E00F13">
              <w:rPr>
                <w:rFonts w:ascii="Arial" w:eastAsia="Times New Roman" w:hAnsi="Arial" w:cs="Arial"/>
                <w:sz w:val="24"/>
                <w:szCs w:val="24"/>
                <w:lang w:eastAsia="es-CO"/>
              </w:rPr>
              <w:br/>
              <w:t> </w:t>
            </w:r>
            <w:r w:rsidRPr="00E00F13">
              <w:rPr>
                <w:rFonts w:ascii="Arial" w:eastAsia="Times New Roman" w:hAnsi="Arial" w:cs="Arial"/>
                <w:sz w:val="24"/>
                <w:szCs w:val="24"/>
                <w:lang w:eastAsia="es-CO"/>
              </w:rPr>
              <w:br/>
            </w:r>
            <w:r w:rsidRPr="00E00F13">
              <w:rPr>
                <w:rFonts w:ascii="Arial" w:eastAsia="Times New Roman" w:hAnsi="Arial" w:cs="Arial"/>
                <w:sz w:val="24"/>
                <w:szCs w:val="24"/>
                <w:shd w:val="clear" w:color="auto" w:fill="FFFFFF"/>
                <w:lang w:eastAsia="es-CO"/>
              </w:rPr>
              <w:t>Beneficiarios - Parágrafo: Dentro de la priorización se incluirán,</w:t>
            </w:r>
            <w:r w:rsidRPr="00E00F13">
              <w:rPr>
                <w:rFonts w:ascii="Arial" w:eastAsia="Times New Roman" w:hAnsi="Arial" w:cs="Arial"/>
                <w:sz w:val="24"/>
                <w:szCs w:val="24"/>
                <w:lang w:eastAsia="es-CO"/>
              </w:rPr>
              <w:t> </w:t>
            </w:r>
            <w:r w:rsidRPr="00E00F13">
              <w:rPr>
                <w:rFonts w:ascii="Arial" w:eastAsia="Times New Roman" w:hAnsi="Arial" w:cs="Arial"/>
                <w:sz w:val="24"/>
                <w:szCs w:val="24"/>
                <w:lang w:eastAsia="es-CO"/>
              </w:rPr>
              <w:br/>
            </w:r>
            <w:r w:rsidRPr="00E00F13">
              <w:rPr>
                <w:rFonts w:ascii="Arial" w:eastAsia="Times New Roman" w:hAnsi="Arial" w:cs="Arial"/>
                <w:sz w:val="24"/>
                <w:szCs w:val="24"/>
                <w:shd w:val="clear" w:color="auto" w:fill="FFFFFF"/>
                <w:lang w:eastAsia="es-CO"/>
              </w:rPr>
              <w:t>como mínimo, a las mujeres cabeza de familia de los estratos más pobres de la población, a las trabajadoras del sector informal y a las madres comunitarias, a las personas víctimas del conflicto armado interno, el enfoque diferencial étnico, personas en condición de discapacidad, grupo etario y enfoque de género.</w:t>
            </w:r>
            <w:r w:rsidRPr="00E00F13">
              <w:rPr>
                <w:rFonts w:ascii="Arial" w:eastAsia="Times New Roman" w:hAnsi="Arial" w:cs="Arial"/>
                <w:sz w:val="24"/>
                <w:szCs w:val="24"/>
                <w:lang w:eastAsia="es-CO"/>
              </w:rPr>
              <w:t> </w:t>
            </w:r>
            <w:r w:rsidRPr="00E00F13">
              <w:rPr>
                <w:rFonts w:ascii="Arial" w:eastAsia="Times New Roman" w:hAnsi="Arial" w:cs="Arial"/>
                <w:sz w:val="24"/>
                <w:szCs w:val="24"/>
                <w:lang w:eastAsia="es-CO"/>
              </w:rPr>
              <w:br/>
              <w:t> </w:t>
            </w:r>
            <w:r w:rsidRPr="00E00F13">
              <w:rPr>
                <w:rFonts w:ascii="Arial" w:eastAsia="Times New Roman" w:hAnsi="Arial" w:cs="Arial"/>
                <w:sz w:val="24"/>
                <w:szCs w:val="24"/>
                <w:lang w:eastAsia="es-CO"/>
              </w:rPr>
              <w:br/>
            </w:r>
            <w:r w:rsidRPr="00E00F13">
              <w:rPr>
                <w:rFonts w:ascii="Arial" w:eastAsia="Times New Roman" w:hAnsi="Arial" w:cs="Arial"/>
                <w:sz w:val="24"/>
                <w:szCs w:val="24"/>
                <w:shd w:val="clear" w:color="auto" w:fill="FFFFFF"/>
                <w:lang w:eastAsia="es-CO"/>
              </w:rPr>
              <w:t xml:space="preserve">Artículo 2.1.1.7.B. Condiciones de las intervenciones de mejoramiento. Diferencial y género: Reconocer las prácticas culturales de los hogares promoviendo intervenciones que soporten el trabajo doméstico y de cuidado al interior de la vivienda, facilitando la independencia y seguridad de personas con necesidades </w:t>
            </w:r>
            <w:r w:rsidRPr="00E00F13">
              <w:rPr>
                <w:rFonts w:ascii="Arial" w:eastAsia="Times New Roman" w:hAnsi="Arial" w:cs="Arial"/>
                <w:sz w:val="24"/>
                <w:szCs w:val="24"/>
                <w:shd w:val="clear" w:color="auto" w:fill="FFFFFF"/>
                <w:lang w:eastAsia="es-CO"/>
              </w:rPr>
              <w:lastRenderedPageBreak/>
              <w:t>especiales como personas mayores, niños, niñas y aquellas en condición de discapacidad.</w:t>
            </w:r>
            <w:r w:rsidRPr="00E00F13">
              <w:rPr>
                <w:rFonts w:ascii="Arial" w:eastAsia="Times New Roman" w:hAnsi="Arial" w:cs="Arial"/>
                <w:sz w:val="24"/>
                <w:szCs w:val="24"/>
                <w:lang w:eastAsia="es-CO"/>
              </w:rPr>
              <w:t> </w:t>
            </w:r>
            <w:r w:rsidRPr="00E00F13">
              <w:rPr>
                <w:rFonts w:ascii="Arial" w:eastAsia="Times New Roman" w:hAnsi="Arial" w:cs="Arial"/>
                <w:sz w:val="24"/>
                <w:szCs w:val="24"/>
                <w:lang w:eastAsia="es-CO"/>
              </w:rPr>
              <w:br/>
              <w:t> </w:t>
            </w:r>
            <w:r w:rsidRPr="00E00F13">
              <w:rPr>
                <w:rFonts w:ascii="Arial" w:eastAsia="Times New Roman" w:hAnsi="Arial" w:cs="Arial"/>
                <w:sz w:val="24"/>
                <w:szCs w:val="24"/>
                <w:lang w:eastAsia="es-CO"/>
              </w:rPr>
              <w:br/>
            </w:r>
            <w:r w:rsidRPr="00E00F13">
              <w:rPr>
                <w:rFonts w:ascii="Arial" w:eastAsia="Times New Roman" w:hAnsi="Arial" w:cs="Arial"/>
                <w:sz w:val="24"/>
                <w:szCs w:val="24"/>
                <w:shd w:val="clear" w:color="auto" w:fill="FFFFFF"/>
                <w:lang w:eastAsia="es-CO"/>
              </w:rPr>
              <w:t>Valor del Subsidio: Parágrafo 3. En los casos donde se realice un mejoramiento de vivienda, en un hogar conformado por una o más personas en situación de discapacidad con afectación en la movilidad, se podrá hacer un incremento de hasta 2 SMML V que serán usados exclusivamente para garantizar las condiciones de accesibilidad al medio físico y funcionalidad al interior de la vivienda.</w:t>
            </w:r>
            <w:r w:rsidRPr="00E00F13">
              <w:rPr>
                <w:rFonts w:ascii="Arial" w:eastAsia="Times New Roman" w:hAnsi="Arial" w:cs="Arial"/>
                <w:sz w:val="24"/>
                <w:szCs w:val="24"/>
                <w:lang w:eastAsia="es-CO"/>
              </w:rPr>
              <w:t> </w:t>
            </w:r>
          </w:p>
        </w:tc>
      </w:tr>
      <w:tr w:rsidR="001130C7" w:rsidRPr="00E00F13" w14:paraId="0802BAFD" w14:textId="77777777" w:rsidTr="00DF69C3">
        <w:trPr>
          <w:trHeight w:val="975"/>
        </w:trPr>
        <w:tc>
          <w:tcPr>
            <w:tcW w:w="2686" w:type="dxa"/>
            <w:tcBorders>
              <w:top w:val="single" w:sz="6" w:space="0" w:color="auto"/>
              <w:left w:val="single" w:sz="6" w:space="0" w:color="auto"/>
              <w:bottom w:val="single" w:sz="6" w:space="0" w:color="auto"/>
              <w:right w:val="single" w:sz="6" w:space="0" w:color="auto"/>
            </w:tcBorders>
            <w:hideMark/>
          </w:tcPr>
          <w:p w14:paraId="7FBA79D8" w14:textId="77777777" w:rsidR="001130C7" w:rsidRPr="00E00F13" w:rsidRDefault="001130C7">
            <w:p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b/>
                <w:bCs/>
                <w:sz w:val="24"/>
                <w:szCs w:val="24"/>
                <w:shd w:val="clear" w:color="auto" w:fill="FFFFFF"/>
                <w:lang w:eastAsia="es-CO"/>
              </w:rPr>
              <w:lastRenderedPageBreak/>
              <w:t>2. Manual operativo</w:t>
            </w:r>
            <w:r w:rsidRPr="00E00F13">
              <w:rPr>
                <w:rFonts w:ascii="Arial" w:eastAsia="Times New Roman" w:hAnsi="Arial" w:cs="Arial"/>
                <w:sz w:val="24"/>
                <w:szCs w:val="24"/>
                <w:lang w:eastAsia="es-CO"/>
              </w:rPr>
              <w:t> </w:t>
            </w:r>
          </w:p>
        </w:tc>
        <w:tc>
          <w:tcPr>
            <w:tcW w:w="6378" w:type="dxa"/>
            <w:tcBorders>
              <w:top w:val="single" w:sz="6" w:space="0" w:color="auto"/>
              <w:left w:val="single" w:sz="6" w:space="0" w:color="auto"/>
              <w:bottom w:val="single" w:sz="6" w:space="0" w:color="auto"/>
              <w:right w:val="single" w:sz="6" w:space="0" w:color="auto"/>
            </w:tcBorders>
            <w:hideMark/>
          </w:tcPr>
          <w:p w14:paraId="2FE15D0A" w14:textId="77777777" w:rsidR="001130C7" w:rsidRPr="00E00F13" w:rsidRDefault="001130C7">
            <w:pPr>
              <w:spacing w:after="0" w:line="360" w:lineRule="auto"/>
              <w:jc w:val="both"/>
              <w:textAlignment w:val="baseline"/>
              <w:rPr>
                <w:rFonts w:ascii="Arial" w:eastAsia="Times New Roman" w:hAnsi="Arial" w:cs="Arial"/>
                <w:sz w:val="24"/>
                <w:szCs w:val="24"/>
                <w:shd w:val="clear" w:color="auto" w:fill="FFFFFF"/>
                <w:lang w:eastAsia="es-CO"/>
              </w:rPr>
            </w:pPr>
            <w:r w:rsidRPr="00E00F13">
              <w:rPr>
                <w:rFonts w:ascii="Arial" w:eastAsia="Times New Roman" w:hAnsi="Arial" w:cs="Arial"/>
                <w:sz w:val="24"/>
                <w:szCs w:val="24"/>
                <w:shd w:val="clear" w:color="auto" w:fill="FFFFFF"/>
                <w:lang w:eastAsia="es-CO"/>
              </w:rPr>
              <w:t>Presentación: «7. Promueve intervenciones que facilitan el trabajo doméstico y de cuidado al interior de la vivienda».</w:t>
            </w:r>
            <w:r w:rsidRPr="00E00F13">
              <w:rPr>
                <w:rFonts w:ascii="Arial" w:eastAsia="Times New Roman" w:hAnsi="Arial" w:cs="Arial"/>
                <w:sz w:val="24"/>
                <w:szCs w:val="24"/>
                <w:lang w:eastAsia="es-CO"/>
              </w:rPr>
              <w:br/>
              <w:t> </w:t>
            </w:r>
            <w:r w:rsidRPr="00E00F13">
              <w:rPr>
                <w:rFonts w:ascii="Arial" w:eastAsia="Times New Roman" w:hAnsi="Arial" w:cs="Arial"/>
                <w:sz w:val="24"/>
                <w:szCs w:val="24"/>
                <w:lang w:eastAsia="es-CO"/>
              </w:rPr>
              <w:br/>
            </w:r>
            <w:r w:rsidRPr="00E00F13">
              <w:rPr>
                <w:rFonts w:ascii="Arial" w:eastAsia="Times New Roman" w:hAnsi="Arial" w:cs="Arial"/>
                <w:sz w:val="24"/>
                <w:szCs w:val="24"/>
                <w:shd w:val="clear" w:color="auto" w:fill="FFFFFF"/>
                <w:lang w:eastAsia="es-CO"/>
              </w:rPr>
              <w:t>Priorización: Esta priorización reconoce las prácticas culturales de los hogares y las condiciones estructurales que afectan de manera desproporcionada a ciertos grupos poblacionales, especialmente en lo relacionado con el trabajo doméstico y de cuidado no remunerado.</w:t>
            </w:r>
          </w:p>
          <w:p w14:paraId="73BB0EFD" w14:textId="77777777" w:rsidR="001130C7" w:rsidRPr="00E00F13" w:rsidRDefault="001130C7">
            <w:p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lang w:eastAsia="es-CO"/>
              </w:rPr>
              <w:t> </w:t>
            </w:r>
            <w:r w:rsidRPr="00E00F13">
              <w:rPr>
                <w:rFonts w:ascii="Arial" w:eastAsia="Times New Roman" w:hAnsi="Arial" w:cs="Arial"/>
                <w:sz w:val="24"/>
                <w:szCs w:val="24"/>
                <w:lang w:eastAsia="es-CO"/>
              </w:rPr>
              <w:br/>
            </w:r>
            <w:r w:rsidRPr="00E00F13">
              <w:rPr>
                <w:rFonts w:ascii="Arial" w:eastAsia="Times New Roman" w:hAnsi="Arial" w:cs="Arial"/>
                <w:sz w:val="24"/>
                <w:szCs w:val="24"/>
                <w:shd w:val="clear" w:color="auto" w:fill="FFFFFF"/>
                <w:lang w:eastAsia="es-CO"/>
              </w:rPr>
              <w:t>También se dará prioridad a las personas en condición de discapacidad, así como a sus cuidadores o asistentes personales no remunerados, cuando estos no cuenten con ingresos propios ni estén afiliados al régimen contributivo del Sistema de Seguridad</w:t>
            </w:r>
            <w:r w:rsidRPr="00E00F13">
              <w:rPr>
                <w:rFonts w:ascii="Arial" w:eastAsia="Times New Roman" w:hAnsi="Arial" w:cs="Arial"/>
                <w:sz w:val="24"/>
                <w:szCs w:val="24"/>
                <w:lang w:eastAsia="es-CO"/>
              </w:rPr>
              <w:t> </w:t>
            </w:r>
            <w:r w:rsidRPr="00E00F13">
              <w:rPr>
                <w:rFonts w:ascii="Arial" w:eastAsia="Times New Roman" w:hAnsi="Arial" w:cs="Arial"/>
                <w:sz w:val="24"/>
                <w:szCs w:val="24"/>
                <w:lang w:eastAsia="es-CO"/>
              </w:rPr>
              <w:br/>
            </w:r>
            <w:r w:rsidRPr="00E00F13">
              <w:rPr>
                <w:rFonts w:ascii="Arial" w:eastAsia="Times New Roman" w:hAnsi="Arial" w:cs="Arial"/>
                <w:sz w:val="24"/>
                <w:szCs w:val="24"/>
                <w:shd w:val="clear" w:color="auto" w:fill="FFFFFF"/>
                <w:lang w:eastAsia="es-CO"/>
              </w:rPr>
              <w:t>Social.</w:t>
            </w:r>
            <w:r w:rsidRPr="00E00F13">
              <w:rPr>
                <w:rFonts w:ascii="Arial" w:eastAsia="Times New Roman" w:hAnsi="Arial" w:cs="Arial"/>
                <w:sz w:val="24"/>
                <w:szCs w:val="24"/>
                <w:lang w:eastAsia="es-CO"/>
              </w:rPr>
              <w:t> </w:t>
            </w:r>
          </w:p>
          <w:p w14:paraId="6A3AEF40" w14:textId="77777777" w:rsidR="001130C7" w:rsidRPr="00E00F13" w:rsidRDefault="001130C7">
            <w:p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lang w:eastAsia="es-CO"/>
              </w:rPr>
              <w:br/>
            </w:r>
            <w:r w:rsidRPr="00E00F13">
              <w:rPr>
                <w:rFonts w:ascii="Arial" w:eastAsia="Times New Roman" w:hAnsi="Arial" w:cs="Arial"/>
                <w:sz w:val="24"/>
                <w:szCs w:val="24"/>
                <w:shd w:val="clear" w:color="auto" w:fill="FFFFFF"/>
                <w:lang w:eastAsia="es-CO"/>
              </w:rPr>
              <w:t xml:space="preserve">Personas en condición de discapacidad: Superior - Hogares donde residan personas con discapacidad que, debido a su baja autonomía funcional, requieren el apoyo indispensable </w:t>
            </w:r>
            <w:r w:rsidRPr="00E00F13">
              <w:rPr>
                <w:rFonts w:ascii="Arial" w:eastAsia="Times New Roman" w:hAnsi="Arial" w:cs="Arial"/>
                <w:sz w:val="24"/>
                <w:szCs w:val="24"/>
                <w:shd w:val="clear" w:color="auto" w:fill="FFFFFF"/>
                <w:lang w:eastAsia="es-CO"/>
              </w:rPr>
              <w:lastRenderedPageBreak/>
              <w:t>de cuidadores familiares para realizar sus actividades vitales.</w:t>
            </w:r>
            <w:r w:rsidRPr="00E00F13">
              <w:rPr>
                <w:rFonts w:ascii="Arial" w:eastAsia="Times New Roman" w:hAnsi="Arial" w:cs="Arial"/>
                <w:sz w:val="24"/>
                <w:szCs w:val="24"/>
                <w:lang w:eastAsia="es-CO"/>
              </w:rPr>
              <w:t> </w:t>
            </w:r>
          </w:p>
          <w:p w14:paraId="71F96774" w14:textId="77777777" w:rsidR="001130C7" w:rsidRPr="00E00F13" w:rsidRDefault="001130C7">
            <w:p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lang w:eastAsia="es-CO"/>
              </w:rPr>
              <w:br/>
            </w:r>
            <w:r w:rsidRPr="00E00F13">
              <w:rPr>
                <w:rFonts w:ascii="Arial" w:eastAsia="Times New Roman" w:hAnsi="Arial" w:cs="Arial"/>
                <w:sz w:val="24"/>
                <w:szCs w:val="24"/>
                <w:shd w:val="clear" w:color="auto" w:fill="FFFFFF"/>
                <w:lang w:eastAsia="es-CO"/>
              </w:rPr>
              <w:t>Madres cabeza de familia. Personas cuidadoras no remuneradas.</w:t>
            </w:r>
            <w:r w:rsidRPr="00E00F13">
              <w:rPr>
                <w:rFonts w:ascii="Arial" w:eastAsia="Times New Roman" w:hAnsi="Arial" w:cs="Arial"/>
                <w:sz w:val="24"/>
                <w:szCs w:val="24"/>
                <w:lang w:eastAsia="es-CO"/>
              </w:rPr>
              <w:t> </w:t>
            </w:r>
          </w:p>
        </w:tc>
      </w:tr>
      <w:tr w:rsidR="001130C7" w:rsidRPr="00E00F13" w14:paraId="42B41093" w14:textId="77777777" w:rsidTr="00DF69C3">
        <w:trPr>
          <w:trHeight w:val="2385"/>
        </w:trPr>
        <w:tc>
          <w:tcPr>
            <w:tcW w:w="2686" w:type="dxa"/>
            <w:tcBorders>
              <w:top w:val="single" w:sz="6" w:space="0" w:color="auto"/>
              <w:left w:val="single" w:sz="6" w:space="0" w:color="auto"/>
              <w:bottom w:val="single" w:sz="6" w:space="0" w:color="auto"/>
              <w:right w:val="single" w:sz="6" w:space="0" w:color="auto"/>
            </w:tcBorders>
            <w:hideMark/>
          </w:tcPr>
          <w:p w14:paraId="6BCC3A79" w14:textId="77777777" w:rsidR="001130C7" w:rsidRPr="00E00F13" w:rsidRDefault="001130C7">
            <w:p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b/>
                <w:bCs/>
                <w:sz w:val="24"/>
                <w:szCs w:val="24"/>
                <w:shd w:val="clear" w:color="auto" w:fill="FFFFFF"/>
                <w:lang w:eastAsia="es-CO"/>
              </w:rPr>
              <w:lastRenderedPageBreak/>
              <w:t>3. Decreto 0585 de 2025 </w:t>
            </w:r>
            <w:proofErr w:type="spellStart"/>
            <w:r w:rsidRPr="00E00F13">
              <w:rPr>
                <w:rFonts w:ascii="Arial" w:eastAsia="Times New Roman" w:hAnsi="Arial" w:cs="Arial"/>
                <w:b/>
                <w:bCs/>
                <w:sz w:val="24"/>
                <w:szCs w:val="24"/>
                <w:shd w:val="clear" w:color="auto" w:fill="FFFFFF"/>
                <w:lang w:eastAsia="es-CO"/>
              </w:rPr>
              <w:t>Autogestión</w:t>
            </w:r>
            <w:proofErr w:type="spellEnd"/>
            <w:r w:rsidRPr="00E00F13">
              <w:rPr>
                <w:rFonts w:ascii="Arial" w:eastAsia="Times New Roman" w:hAnsi="Arial" w:cs="Arial"/>
                <w:b/>
                <w:bCs/>
                <w:sz w:val="24"/>
                <w:szCs w:val="24"/>
                <w:shd w:val="clear" w:color="auto" w:fill="FFFFFF"/>
                <w:lang w:eastAsia="es-CO"/>
              </w:rPr>
              <w:t> y </w:t>
            </w:r>
            <w:proofErr w:type="spellStart"/>
            <w:r w:rsidRPr="00E00F13">
              <w:rPr>
                <w:rFonts w:ascii="Arial" w:eastAsia="Times New Roman" w:hAnsi="Arial" w:cs="Arial"/>
                <w:b/>
                <w:bCs/>
                <w:sz w:val="24"/>
                <w:szCs w:val="24"/>
                <w:shd w:val="clear" w:color="auto" w:fill="FFFFFF"/>
                <w:lang w:eastAsia="es-CO"/>
              </w:rPr>
              <w:t>autoconstrucción</w:t>
            </w:r>
            <w:proofErr w:type="spellEnd"/>
            <w:r w:rsidRPr="00E00F13">
              <w:rPr>
                <w:rFonts w:ascii="Arial" w:eastAsia="Times New Roman" w:hAnsi="Arial" w:cs="Arial"/>
                <w:sz w:val="24"/>
                <w:szCs w:val="24"/>
                <w:lang w:eastAsia="es-CO"/>
              </w:rPr>
              <w:t> </w:t>
            </w:r>
          </w:p>
        </w:tc>
        <w:tc>
          <w:tcPr>
            <w:tcW w:w="6378" w:type="dxa"/>
            <w:tcBorders>
              <w:top w:val="single" w:sz="6" w:space="0" w:color="auto"/>
              <w:left w:val="single" w:sz="6" w:space="0" w:color="auto"/>
              <w:bottom w:val="single" w:sz="6" w:space="0" w:color="auto"/>
              <w:right w:val="single" w:sz="6" w:space="0" w:color="auto"/>
            </w:tcBorders>
            <w:hideMark/>
          </w:tcPr>
          <w:p w14:paraId="14EC2780" w14:textId="77777777" w:rsidR="001130C7" w:rsidRPr="00E00F13" w:rsidRDefault="001130C7">
            <w:p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shd w:val="clear" w:color="auto" w:fill="FFFFFF"/>
                <w:lang w:eastAsia="es-CO"/>
              </w:rPr>
              <w:t>Artículo 2.1.13.4.7. Condiciones y requisitos de los hogares. Parágrafo 2. El Ministerio de Vivienda, Ciudad y Territorio podrá establecer mediante acto administrativo, los criterios de priorización para los potenciales beneficiarios que cumplan con los requisitos establecidos en el presente artículo. Dentro de la priorización se podrán incluir, entre otras, a las personas víctimas del conflicto armado interno, el enfoque diferencial étnico, personas en condición de discapacidad, grupo etario y enfoque de género y las demás que se dispongan en el marco de la política de vivienda nacional.</w:t>
            </w:r>
            <w:r w:rsidRPr="00E00F13">
              <w:rPr>
                <w:rFonts w:ascii="Arial" w:eastAsia="Times New Roman" w:hAnsi="Arial" w:cs="Arial"/>
                <w:sz w:val="24"/>
                <w:szCs w:val="24"/>
                <w:lang w:eastAsia="es-CO"/>
              </w:rPr>
              <w:t> </w:t>
            </w:r>
          </w:p>
        </w:tc>
      </w:tr>
      <w:tr w:rsidR="001130C7" w:rsidRPr="00E00F13" w14:paraId="5631D637" w14:textId="77777777" w:rsidTr="00DF69C3">
        <w:trPr>
          <w:trHeight w:val="2121"/>
        </w:trPr>
        <w:tc>
          <w:tcPr>
            <w:tcW w:w="2686" w:type="dxa"/>
            <w:tcBorders>
              <w:top w:val="single" w:sz="6" w:space="0" w:color="auto"/>
              <w:left w:val="single" w:sz="6" w:space="0" w:color="auto"/>
              <w:bottom w:val="single" w:sz="6" w:space="0" w:color="auto"/>
              <w:right w:val="single" w:sz="6" w:space="0" w:color="auto"/>
            </w:tcBorders>
            <w:hideMark/>
          </w:tcPr>
          <w:p w14:paraId="10EC9E4A" w14:textId="77777777" w:rsidR="001130C7" w:rsidRPr="00E00F13" w:rsidRDefault="001130C7">
            <w:p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b/>
                <w:bCs/>
                <w:sz w:val="24"/>
                <w:szCs w:val="24"/>
                <w:shd w:val="clear" w:color="auto" w:fill="FFFFFF"/>
                <w:lang w:eastAsia="es-CO"/>
              </w:rPr>
              <w:t>4. Decreto 0775 de 2025 Subsidio Compra Vivienda Usada</w:t>
            </w:r>
            <w:r w:rsidRPr="00E00F13">
              <w:rPr>
                <w:rFonts w:ascii="Arial" w:eastAsia="Times New Roman" w:hAnsi="Arial" w:cs="Arial"/>
                <w:sz w:val="24"/>
                <w:szCs w:val="24"/>
                <w:lang w:eastAsia="es-CO"/>
              </w:rPr>
              <w:t> </w:t>
            </w:r>
          </w:p>
        </w:tc>
        <w:tc>
          <w:tcPr>
            <w:tcW w:w="6378" w:type="dxa"/>
            <w:tcBorders>
              <w:top w:val="single" w:sz="6" w:space="0" w:color="auto"/>
              <w:left w:val="single" w:sz="6" w:space="0" w:color="auto"/>
              <w:bottom w:val="single" w:sz="6" w:space="0" w:color="auto"/>
              <w:right w:val="single" w:sz="6" w:space="0" w:color="auto"/>
            </w:tcBorders>
            <w:hideMark/>
          </w:tcPr>
          <w:p w14:paraId="608129EA" w14:textId="77777777" w:rsidR="001130C7" w:rsidRPr="00E00F13" w:rsidRDefault="001130C7">
            <w:p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shd w:val="clear" w:color="auto" w:fill="FFFFFF"/>
                <w:lang w:eastAsia="es-CO"/>
              </w:rPr>
              <w:t>Artículo 2.1.1.4.1.2.1. Valor del subsidio familiar de vivienda - Parágrafo 5º. Los subsidios familiares de vivienda asignados para la adquisición de vivienda</w:t>
            </w:r>
            <w:r w:rsidRPr="00E00F13">
              <w:rPr>
                <w:rFonts w:ascii="Arial" w:eastAsia="Times New Roman" w:hAnsi="Arial" w:cs="Arial"/>
                <w:sz w:val="24"/>
                <w:szCs w:val="24"/>
                <w:lang w:eastAsia="es-CO"/>
              </w:rPr>
              <w:t> </w:t>
            </w:r>
            <w:r w:rsidRPr="00E00F13">
              <w:rPr>
                <w:rFonts w:ascii="Arial" w:eastAsia="Times New Roman" w:hAnsi="Arial" w:cs="Arial"/>
                <w:sz w:val="24"/>
                <w:szCs w:val="24"/>
                <w:lang w:eastAsia="es-CO"/>
              </w:rPr>
              <w:br/>
            </w:r>
            <w:r w:rsidRPr="00E00F13">
              <w:rPr>
                <w:rFonts w:ascii="Arial" w:eastAsia="Times New Roman" w:hAnsi="Arial" w:cs="Arial"/>
                <w:sz w:val="24"/>
                <w:szCs w:val="24"/>
                <w:shd w:val="clear" w:color="auto" w:fill="FFFFFF"/>
                <w:lang w:eastAsia="es-CO"/>
              </w:rPr>
              <w:t>usada de la que trata el presente artículo sólo serán dirigidos a hogares que cumplan los requisitos establecidos en el artículo 2.1.1.4.1.3.1 y que al menos un miembro del hogar</w:t>
            </w:r>
            <w:r w:rsidRPr="00E00F13">
              <w:rPr>
                <w:rFonts w:ascii="Arial" w:eastAsia="Times New Roman" w:hAnsi="Arial" w:cs="Arial"/>
                <w:sz w:val="24"/>
                <w:szCs w:val="24"/>
                <w:lang w:eastAsia="es-CO"/>
              </w:rPr>
              <w:t> </w:t>
            </w:r>
            <w:r w:rsidRPr="00E00F13">
              <w:rPr>
                <w:rFonts w:ascii="Arial" w:eastAsia="Times New Roman" w:hAnsi="Arial" w:cs="Arial"/>
                <w:sz w:val="24"/>
                <w:szCs w:val="24"/>
                <w:lang w:eastAsia="es-CO"/>
              </w:rPr>
              <w:br/>
            </w:r>
            <w:r w:rsidRPr="00E00F13">
              <w:rPr>
                <w:rFonts w:ascii="Arial" w:eastAsia="Times New Roman" w:hAnsi="Arial" w:cs="Arial"/>
                <w:sz w:val="24"/>
                <w:szCs w:val="24"/>
                <w:shd w:val="clear" w:color="auto" w:fill="FFFFFF"/>
                <w:lang w:eastAsia="es-CO"/>
              </w:rPr>
              <w:t>cumpla alguna de las siguientes condiciones:</w:t>
            </w:r>
            <w:r w:rsidRPr="00E00F13">
              <w:rPr>
                <w:rFonts w:ascii="Arial" w:eastAsia="Times New Roman" w:hAnsi="Arial" w:cs="Arial"/>
                <w:sz w:val="24"/>
                <w:szCs w:val="24"/>
                <w:lang w:eastAsia="es-CO"/>
              </w:rPr>
              <w:t> </w:t>
            </w:r>
            <w:r w:rsidRPr="00E00F13">
              <w:rPr>
                <w:rFonts w:ascii="Arial" w:eastAsia="Times New Roman" w:hAnsi="Arial" w:cs="Arial"/>
                <w:sz w:val="24"/>
                <w:szCs w:val="24"/>
                <w:lang w:eastAsia="es-CO"/>
              </w:rPr>
              <w:br/>
            </w:r>
            <w:r w:rsidRPr="00E00F13">
              <w:rPr>
                <w:rFonts w:ascii="Arial" w:eastAsia="Times New Roman" w:hAnsi="Arial" w:cs="Arial"/>
                <w:sz w:val="24"/>
                <w:szCs w:val="24"/>
                <w:shd w:val="clear" w:color="auto" w:fill="FFFFFF"/>
                <w:lang w:eastAsia="es-CO"/>
              </w:rPr>
              <w:t>c. Madre comunitaria vinculada a los programas de hogares comunitarios de Bienestar, Famis y Madres Sustitutas, certificada por el Instituto Colombiano de Bienestar</w:t>
            </w:r>
            <w:r w:rsidRPr="00E00F13">
              <w:rPr>
                <w:rFonts w:ascii="Arial" w:eastAsia="Times New Roman" w:hAnsi="Arial" w:cs="Arial"/>
                <w:sz w:val="24"/>
                <w:szCs w:val="24"/>
                <w:lang w:eastAsia="es-CO"/>
              </w:rPr>
              <w:t> </w:t>
            </w:r>
            <w:r w:rsidRPr="00E00F13">
              <w:rPr>
                <w:rFonts w:ascii="Arial" w:eastAsia="Times New Roman" w:hAnsi="Arial" w:cs="Arial"/>
                <w:sz w:val="24"/>
                <w:szCs w:val="24"/>
                <w:lang w:eastAsia="es-CO"/>
              </w:rPr>
              <w:br/>
            </w:r>
            <w:r w:rsidRPr="00E00F13">
              <w:rPr>
                <w:rFonts w:ascii="Arial" w:eastAsia="Times New Roman" w:hAnsi="Arial" w:cs="Arial"/>
                <w:sz w:val="24"/>
                <w:szCs w:val="24"/>
                <w:shd w:val="clear" w:color="auto" w:fill="FFFFFF"/>
                <w:lang w:eastAsia="es-CO"/>
              </w:rPr>
              <w:t>Familiar.</w:t>
            </w:r>
            <w:r w:rsidRPr="00E00F13">
              <w:rPr>
                <w:rFonts w:ascii="Arial" w:eastAsia="Times New Roman" w:hAnsi="Arial" w:cs="Arial"/>
                <w:sz w:val="24"/>
                <w:szCs w:val="24"/>
                <w:lang w:eastAsia="es-CO"/>
              </w:rPr>
              <w:t> </w:t>
            </w:r>
          </w:p>
        </w:tc>
      </w:tr>
      <w:tr w:rsidR="001130C7" w:rsidRPr="00E00F13" w14:paraId="03B97414" w14:textId="77777777" w:rsidTr="00DF69C3">
        <w:trPr>
          <w:trHeight w:val="1800"/>
        </w:trPr>
        <w:tc>
          <w:tcPr>
            <w:tcW w:w="2686" w:type="dxa"/>
            <w:tcBorders>
              <w:top w:val="single" w:sz="6" w:space="0" w:color="auto"/>
              <w:left w:val="single" w:sz="6" w:space="0" w:color="auto"/>
              <w:bottom w:val="single" w:sz="6" w:space="0" w:color="auto"/>
              <w:right w:val="single" w:sz="6" w:space="0" w:color="auto"/>
            </w:tcBorders>
            <w:hideMark/>
          </w:tcPr>
          <w:p w14:paraId="50F3DE83" w14:textId="77777777" w:rsidR="001130C7" w:rsidRPr="00E00F13" w:rsidRDefault="001130C7">
            <w:p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b/>
                <w:bCs/>
                <w:sz w:val="24"/>
                <w:szCs w:val="24"/>
                <w:shd w:val="clear" w:color="auto" w:fill="FFFFFF"/>
                <w:lang w:eastAsia="es-CO"/>
              </w:rPr>
              <w:lastRenderedPageBreak/>
              <w:t>5. Decreto 0776 de 2025 Mínimo vital</w:t>
            </w:r>
            <w:r w:rsidRPr="00E00F13">
              <w:rPr>
                <w:rFonts w:ascii="Arial" w:eastAsia="Times New Roman" w:hAnsi="Arial" w:cs="Arial"/>
                <w:sz w:val="24"/>
                <w:szCs w:val="24"/>
                <w:lang w:eastAsia="es-CO"/>
              </w:rPr>
              <w:t> </w:t>
            </w:r>
          </w:p>
        </w:tc>
        <w:tc>
          <w:tcPr>
            <w:tcW w:w="6378" w:type="dxa"/>
            <w:tcBorders>
              <w:top w:val="single" w:sz="6" w:space="0" w:color="auto"/>
              <w:left w:val="single" w:sz="6" w:space="0" w:color="auto"/>
              <w:bottom w:val="single" w:sz="6" w:space="0" w:color="auto"/>
              <w:right w:val="single" w:sz="6" w:space="0" w:color="auto"/>
            </w:tcBorders>
            <w:hideMark/>
          </w:tcPr>
          <w:p w14:paraId="36AC1BF6" w14:textId="77777777" w:rsidR="001130C7" w:rsidRPr="00E00F13" w:rsidRDefault="001130C7">
            <w:p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shd w:val="clear" w:color="auto" w:fill="FFFFFF"/>
                <w:lang w:eastAsia="es-CO"/>
              </w:rPr>
              <w:t>Objeto. El presente título establece lineamientos para garantizar el mínimo vital de acueducto y alcantarillado por parte de las entidades territoriales a la población en situación de pobreza o vulnerabilidad, se definen los medios alternos y se establecen las condiciones y estrategias para asegurar de manera efectiva el acceso al agua apta para consumo humano y al saneamiento básico en el territorio nacional. </w:t>
            </w:r>
            <w:r w:rsidRPr="00E00F13">
              <w:rPr>
                <w:rFonts w:ascii="Arial" w:eastAsia="Times New Roman" w:hAnsi="Arial" w:cs="Arial"/>
                <w:sz w:val="24"/>
                <w:szCs w:val="24"/>
                <w:lang w:eastAsia="es-CO"/>
              </w:rPr>
              <w:t> </w:t>
            </w:r>
          </w:p>
        </w:tc>
      </w:tr>
    </w:tbl>
    <w:p w14:paraId="7CA6D038" w14:textId="77777777" w:rsidR="001130C7" w:rsidRPr="00E00F13" w:rsidRDefault="001130C7" w:rsidP="001130C7">
      <w:pPr>
        <w:spacing w:after="0" w:line="360" w:lineRule="auto"/>
        <w:jc w:val="both"/>
        <w:textAlignment w:val="baseline"/>
        <w:rPr>
          <w:rFonts w:ascii="Arial" w:eastAsia="Times New Roman" w:hAnsi="Arial" w:cs="Arial"/>
          <w:sz w:val="20"/>
          <w:szCs w:val="20"/>
          <w:lang w:eastAsia="es-CO"/>
        </w:rPr>
      </w:pPr>
      <w:r w:rsidRPr="00E00F13">
        <w:rPr>
          <w:rFonts w:ascii="Arial" w:eastAsia="Times New Roman" w:hAnsi="Arial" w:cs="Arial"/>
          <w:sz w:val="24"/>
          <w:szCs w:val="24"/>
          <w:lang w:eastAsia="es-CO"/>
        </w:rPr>
        <w:t> </w:t>
      </w:r>
      <w:r w:rsidRPr="00E00F13">
        <w:rPr>
          <w:rFonts w:ascii="Arial" w:eastAsia="Times New Roman" w:hAnsi="Arial" w:cs="Arial"/>
          <w:sz w:val="20"/>
          <w:szCs w:val="20"/>
          <w:lang w:eastAsia="es-CO"/>
        </w:rPr>
        <w:t>Fuente: MVCT, 2025.</w:t>
      </w:r>
    </w:p>
    <w:p w14:paraId="268EF3F3" w14:textId="77777777" w:rsidR="001130C7" w:rsidRPr="00E00F13" w:rsidRDefault="001130C7" w:rsidP="001130C7">
      <w:pPr>
        <w:spacing w:after="0" w:line="360" w:lineRule="auto"/>
        <w:jc w:val="both"/>
        <w:textAlignment w:val="baseline"/>
        <w:rPr>
          <w:rFonts w:ascii="Arial" w:eastAsia="Times New Roman" w:hAnsi="Arial" w:cs="Arial"/>
          <w:sz w:val="24"/>
          <w:szCs w:val="24"/>
          <w:lang w:eastAsia="es-CO"/>
        </w:rPr>
      </w:pPr>
    </w:p>
    <w:p w14:paraId="553171A4" w14:textId="77777777" w:rsidR="001130C7" w:rsidRPr="00E00F13" w:rsidRDefault="001130C7" w:rsidP="001130C7">
      <w:p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shd w:val="clear" w:color="auto" w:fill="FFFFFF"/>
          <w:lang w:eastAsia="es-CO"/>
        </w:rPr>
        <w:t>De forma general, estos decretos incorporan dentro de sus contenidos el enfoque de género, de cuidado o acciones afirmativas en función de personas con discapacidad o de actores históricos en el sostenimiento del trabajo de cuidado en el país como las madres comunitarias. Adicionalmente, se incluyó el decreto de Mínimo Vital, entendiendo que el acceso al agua es fundamental para la vida al interior de la vivienda. </w:t>
      </w:r>
      <w:r w:rsidRPr="00E00F13">
        <w:rPr>
          <w:rFonts w:ascii="Arial" w:eastAsia="Times New Roman" w:hAnsi="Arial" w:cs="Arial"/>
          <w:sz w:val="24"/>
          <w:szCs w:val="24"/>
          <w:lang w:eastAsia="es-CO"/>
        </w:rPr>
        <w:t> </w:t>
      </w:r>
    </w:p>
    <w:p w14:paraId="64E17B8A" w14:textId="77777777" w:rsidR="001130C7" w:rsidRPr="00E00F13" w:rsidRDefault="001130C7" w:rsidP="001130C7">
      <w:p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lang w:eastAsia="es-CO"/>
        </w:rPr>
        <w:t> </w:t>
      </w:r>
    </w:p>
    <w:p w14:paraId="394D4A9B" w14:textId="77777777" w:rsidR="001130C7" w:rsidRPr="00E00F13" w:rsidRDefault="001130C7" w:rsidP="001130C7">
      <w:pPr>
        <w:pStyle w:val="Ttulo3"/>
        <w:rPr>
          <w:color w:val="auto"/>
          <w:lang w:eastAsia="es-CO"/>
        </w:rPr>
      </w:pPr>
      <w:bookmarkStart w:id="160" w:name="_Toc234242883"/>
      <w:r w:rsidRPr="00E00F13">
        <w:rPr>
          <w:color w:val="auto"/>
          <w:shd w:val="clear" w:color="auto" w:fill="FFFFFF"/>
          <w:lang w:eastAsia="es-CO"/>
        </w:rPr>
        <w:t>Retos</w:t>
      </w:r>
      <w:bookmarkEnd w:id="160"/>
    </w:p>
    <w:p w14:paraId="6533DE3E" w14:textId="77777777" w:rsidR="001130C7" w:rsidRPr="00E00F13" w:rsidRDefault="001130C7" w:rsidP="001130C7">
      <w:p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shd w:val="clear" w:color="auto" w:fill="FFFFFF"/>
          <w:lang w:eastAsia="es-CO"/>
        </w:rPr>
        <w:t>Si bien el MVCT avanza en la incorporación y apropiación institucional de este enfoque, aún queda un camino importante para que este sea transversal a toda la oferta institucional o generar normativa interna que incorpore cambios al trabajo cotidiano que se realiza en los territorios del país, a los procesos internos, etc. Entre otros, se identifican los siguientes retos: </w:t>
      </w:r>
      <w:r w:rsidRPr="00E00F13">
        <w:rPr>
          <w:rFonts w:ascii="Arial" w:eastAsia="Times New Roman" w:hAnsi="Arial" w:cs="Arial"/>
          <w:sz w:val="24"/>
          <w:szCs w:val="24"/>
          <w:lang w:eastAsia="es-CO"/>
        </w:rPr>
        <w:t> </w:t>
      </w:r>
    </w:p>
    <w:p w14:paraId="3385E49B" w14:textId="77777777" w:rsidR="001130C7" w:rsidRPr="00E00F13" w:rsidRDefault="001130C7" w:rsidP="001130C7">
      <w:pPr>
        <w:spacing w:after="0" w:line="360" w:lineRule="auto"/>
        <w:jc w:val="both"/>
        <w:textAlignment w:val="baseline"/>
        <w:rPr>
          <w:rFonts w:ascii="Arial" w:eastAsia="Times New Roman" w:hAnsi="Arial" w:cs="Arial"/>
          <w:sz w:val="24"/>
          <w:szCs w:val="24"/>
          <w:shd w:val="clear" w:color="auto" w:fill="FFFFFF"/>
          <w:lang w:eastAsia="es-CO"/>
        </w:rPr>
      </w:pPr>
    </w:p>
    <w:p w14:paraId="11E1EABC" w14:textId="493C90A5" w:rsidR="001130C7" w:rsidRPr="00E00F13" w:rsidRDefault="001130C7">
      <w:pPr>
        <w:pStyle w:val="Prrafodelista"/>
        <w:numPr>
          <w:ilvl w:val="0"/>
          <w:numId w:val="43"/>
        </w:num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shd w:val="clear" w:color="auto" w:fill="FFFFFF"/>
          <w:lang w:eastAsia="es-CO"/>
        </w:rPr>
        <w:t>Que las y los funcionarios del MVCT conozcan y apropien este enfoque e identifiquen su relación con su trabajo cotidiano. </w:t>
      </w:r>
      <w:r w:rsidRPr="00E00F13">
        <w:rPr>
          <w:rFonts w:ascii="Arial" w:eastAsia="Times New Roman" w:hAnsi="Arial" w:cs="Arial"/>
          <w:sz w:val="24"/>
          <w:szCs w:val="24"/>
          <w:lang w:eastAsia="es-CO"/>
        </w:rPr>
        <w:t> </w:t>
      </w:r>
    </w:p>
    <w:p w14:paraId="22F6EB97" w14:textId="77777777" w:rsidR="001130C7" w:rsidRPr="00E00F13" w:rsidRDefault="001130C7">
      <w:pPr>
        <w:pStyle w:val="Prrafodelista"/>
        <w:numPr>
          <w:ilvl w:val="0"/>
          <w:numId w:val="43"/>
        </w:num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shd w:val="clear" w:color="auto" w:fill="FFFFFF"/>
          <w:lang w:eastAsia="es-CO"/>
        </w:rPr>
        <w:t>Que procesos internos que reglamentan actividades como la asistencia técnica, los diagnósticos con comunidad, procesos de concertación, entre otros incluyan el enfoque de género y el enfoque de cuidado.</w:t>
      </w:r>
      <w:r w:rsidRPr="00E00F13">
        <w:rPr>
          <w:rFonts w:ascii="Arial" w:eastAsia="Times New Roman" w:hAnsi="Arial" w:cs="Arial"/>
          <w:sz w:val="24"/>
          <w:szCs w:val="24"/>
          <w:lang w:eastAsia="es-CO"/>
        </w:rPr>
        <w:t> </w:t>
      </w:r>
    </w:p>
    <w:p w14:paraId="75B8C9A8" w14:textId="77777777" w:rsidR="001130C7" w:rsidRPr="00E00F13" w:rsidRDefault="001130C7">
      <w:pPr>
        <w:pStyle w:val="Prrafodelista"/>
        <w:numPr>
          <w:ilvl w:val="0"/>
          <w:numId w:val="43"/>
        </w:num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shd w:val="clear" w:color="auto" w:fill="FFFFFF"/>
          <w:lang w:eastAsia="es-CO"/>
        </w:rPr>
        <w:t>Incluir acciones asociadas al enfoque de cuidado en programas como Barrios y Veredas de Paz, Mejoramiento Integral de Barrios, Autogestión, Vivienda Diferencial, entre otros.</w:t>
      </w:r>
    </w:p>
    <w:p w14:paraId="4D1D2F03" w14:textId="77777777" w:rsidR="001130C7" w:rsidRPr="00E00F13" w:rsidRDefault="001130C7">
      <w:pPr>
        <w:pStyle w:val="Prrafodelista"/>
        <w:numPr>
          <w:ilvl w:val="0"/>
          <w:numId w:val="43"/>
        </w:num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shd w:val="clear" w:color="auto" w:fill="FFFFFF"/>
          <w:lang w:eastAsia="es-CO"/>
        </w:rPr>
        <w:lastRenderedPageBreak/>
        <w:t xml:space="preserve">Apropiar en la planeación institucional los compromisos del MVCT con el </w:t>
      </w:r>
      <w:proofErr w:type="spellStart"/>
      <w:r w:rsidRPr="00E00F13">
        <w:rPr>
          <w:rFonts w:ascii="Arial" w:eastAsia="Times New Roman" w:hAnsi="Arial" w:cs="Arial"/>
          <w:sz w:val="24"/>
          <w:szCs w:val="24"/>
          <w:shd w:val="clear" w:color="auto" w:fill="FFFFFF"/>
          <w:lang w:eastAsia="es-CO"/>
        </w:rPr>
        <w:t>Conpes</w:t>
      </w:r>
      <w:proofErr w:type="spellEnd"/>
      <w:r w:rsidRPr="00E00F13">
        <w:rPr>
          <w:rFonts w:ascii="Arial" w:eastAsia="Times New Roman" w:hAnsi="Arial" w:cs="Arial"/>
          <w:sz w:val="24"/>
          <w:szCs w:val="24"/>
          <w:shd w:val="clear" w:color="auto" w:fill="FFFFFF"/>
          <w:lang w:eastAsia="es-CO"/>
        </w:rPr>
        <w:t xml:space="preserve"> 4143</w:t>
      </w:r>
      <w:r w:rsidRPr="00E00F13">
        <w:rPr>
          <w:rFonts w:ascii="Arial" w:eastAsia="Times New Roman" w:hAnsi="Arial" w:cs="Arial"/>
          <w:sz w:val="24"/>
          <w:szCs w:val="24"/>
          <w:lang w:eastAsia="es-CO"/>
        </w:rPr>
        <w:t>.</w:t>
      </w:r>
    </w:p>
    <w:p w14:paraId="73A15F07" w14:textId="77777777" w:rsidR="001130C7" w:rsidRPr="00E00F13" w:rsidRDefault="001130C7">
      <w:pPr>
        <w:pStyle w:val="Prrafodelista"/>
        <w:numPr>
          <w:ilvl w:val="0"/>
          <w:numId w:val="43"/>
        </w:num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shd w:val="clear" w:color="auto" w:fill="FFFFFF"/>
          <w:lang w:eastAsia="es-CO"/>
        </w:rPr>
        <w:t>Realizar sistemas de reporte de los programas de vivienda que no se limiten a los datos de impacto cuantitativo, sino que empiecen a leer y medir sus impactos de modo cualitativo. Esto podría incluir, entre otros, la forma en la que las intervenciones modifican o disminuyen las cargas de cuidado al interior de los hogares. </w:t>
      </w:r>
      <w:r w:rsidRPr="00E00F13">
        <w:rPr>
          <w:rFonts w:ascii="Arial" w:eastAsia="Times New Roman" w:hAnsi="Arial" w:cs="Arial"/>
          <w:sz w:val="24"/>
          <w:szCs w:val="24"/>
          <w:lang w:eastAsia="es-CO"/>
        </w:rPr>
        <w:t> </w:t>
      </w:r>
    </w:p>
    <w:p w14:paraId="10C780B0" w14:textId="77777777" w:rsidR="001130C7" w:rsidRPr="00E00F13" w:rsidRDefault="001130C7">
      <w:pPr>
        <w:pStyle w:val="Prrafodelista"/>
        <w:numPr>
          <w:ilvl w:val="0"/>
          <w:numId w:val="43"/>
        </w:numPr>
        <w:spacing w:after="0" w:line="360" w:lineRule="auto"/>
        <w:jc w:val="both"/>
        <w:textAlignment w:val="baseline"/>
        <w:rPr>
          <w:rFonts w:ascii="Arial" w:eastAsia="Times New Roman" w:hAnsi="Arial" w:cs="Arial"/>
          <w:sz w:val="24"/>
          <w:szCs w:val="24"/>
          <w:lang w:eastAsia="es-CO"/>
        </w:rPr>
      </w:pPr>
      <w:r w:rsidRPr="00E00F13">
        <w:rPr>
          <w:rFonts w:ascii="Arial" w:eastAsia="Times New Roman" w:hAnsi="Arial" w:cs="Arial"/>
          <w:sz w:val="24"/>
          <w:szCs w:val="24"/>
          <w:shd w:val="clear" w:color="auto" w:fill="FFFFFF"/>
          <w:lang w:eastAsia="es-CO"/>
        </w:rPr>
        <w:t>Incluir en los programas de mejoramiento sistemas de diagnóstico de las viviendas, donde se lean las necesidades de las personas cuidadoras y dependientes de cuidado. Además, realizar este trabajo desde un enfoque diferencial reconociendo el ámbito urbano o rural, diferencias culturales u otras que puedan impactar el trabajo de cuidado al interior de los hogares. </w:t>
      </w:r>
      <w:r w:rsidRPr="00E00F13">
        <w:rPr>
          <w:rFonts w:ascii="Arial" w:eastAsia="Times New Roman" w:hAnsi="Arial" w:cs="Arial"/>
          <w:sz w:val="24"/>
          <w:szCs w:val="24"/>
          <w:lang w:eastAsia="es-CO"/>
        </w:rPr>
        <w:t> </w:t>
      </w:r>
    </w:p>
    <w:p w14:paraId="37DBAE48" w14:textId="77777777" w:rsidR="00BF6D17" w:rsidRPr="00E00F13" w:rsidRDefault="00BF6D17" w:rsidP="003F26BE">
      <w:pPr>
        <w:spacing w:after="0" w:line="360" w:lineRule="auto"/>
        <w:jc w:val="both"/>
        <w:rPr>
          <w:rFonts w:ascii="Arial" w:hAnsi="Arial" w:cs="Arial"/>
          <w:sz w:val="24"/>
          <w:szCs w:val="24"/>
        </w:rPr>
      </w:pPr>
    </w:p>
    <w:p w14:paraId="4CF95ECE" w14:textId="71C6012A" w:rsidR="00E40B52" w:rsidRPr="00E00F13" w:rsidRDefault="00B9301C" w:rsidP="00BF6D17">
      <w:pPr>
        <w:pStyle w:val="Ttulo3"/>
        <w:rPr>
          <w:color w:val="auto"/>
        </w:rPr>
      </w:pPr>
      <w:bookmarkStart w:id="161" w:name="_Toc234242884"/>
      <w:r w:rsidRPr="00E00F13">
        <w:rPr>
          <w:color w:val="auto"/>
        </w:rPr>
        <w:t>2.</w:t>
      </w:r>
      <w:r w:rsidR="00377010" w:rsidRPr="00E00F13">
        <w:rPr>
          <w:color w:val="auto"/>
        </w:rPr>
        <w:t>8</w:t>
      </w:r>
      <w:r w:rsidRPr="00E00F13">
        <w:rPr>
          <w:color w:val="auto"/>
        </w:rPr>
        <w:t>.1</w:t>
      </w:r>
      <w:r w:rsidR="00902401" w:rsidRPr="00E00F13">
        <w:rPr>
          <w:color w:val="auto"/>
        </w:rPr>
        <w:t>1</w:t>
      </w:r>
      <w:r w:rsidRPr="00E00F13">
        <w:rPr>
          <w:color w:val="auto"/>
        </w:rPr>
        <w:t xml:space="preserve">. </w:t>
      </w:r>
      <w:r w:rsidR="00E40B52" w:rsidRPr="00E00F13">
        <w:rPr>
          <w:color w:val="auto"/>
        </w:rPr>
        <w:t>Retos de los enfoques</w:t>
      </w:r>
      <w:bookmarkEnd w:id="161"/>
    </w:p>
    <w:p w14:paraId="26E426CD" w14:textId="77777777" w:rsidR="00623219" w:rsidRPr="00E00F13" w:rsidRDefault="003612A9" w:rsidP="00623219">
      <w:pPr>
        <w:spacing w:after="0" w:line="360" w:lineRule="auto"/>
        <w:jc w:val="both"/>
        <w:rPr>
          <w:rFonts w:ascii="Arial" w:hAnsi="Arial" w:cs="Arial"/>
          <w:sz w:val="24"/>
          <w:szCs w:val="24"/>
        </w:rPr>
      </w:pPr>
      <w:r w:rsidRPr="00E00F13">
        <w:rPr>
          <w:rFonts w:ascii="Arial" w:hAnsi="Arial" w:cs="Arial"/>
          <w:sz w:val="24"/>
          <w:szCs w:val="24"/>
        </w:rPr>
        <w:t>Como retos de los enfoques, hay que decir varias cosas.</w:t>
      </w:r>
    </w:p>
    <w:p w14:paraId="448C5173" w14:textId="77777777" w:rsidR="00623219" w:rsidRPr="00E00F13" w:rsidRDefault="00623219" w:rsidP="00623219">
      <w:pPr>
        <w:spacing w:after="0" w:line="360" w:lineRule="auto"/>
        <w:jc w:val="both"/>
        <w:rPr>
          <w:rFonts w:ascii="Arial" w:hAnsi="Arial" w:cs="Arial"/>
          <w:sz w:val="24"/>
          <w:szCs w:val="24"/>
        </w:rPr>
      </w:pPr>
    </w:p>
    <w:p w14:paraId="41FE72BA" w14:textId="77777777" w:rsidR="00A553BA" w:rsidRPr="00E00F13" w:rsidRDefault="00A553BA" w:rsidP="00623219">
      <w:pPr>
        <w:spacing w:after="0" w:line="360" w:lineRule="auto"/>
        <w:jc w:val="both"/>
        <w:rPr>
          <w:rFonts w:ascii="Arial" w:hAnsi="Arial" w:cs="Arial"/>
          <w:b/>
          <w:bCs/>
          <w:sz w:val="24"/>
          <w:szCs w:val="24"/>
        </w:rPr>
      </w:pPr>
      <w:r w:rsidRPr="00E00F13">
        <w:rPr>
          <w:rFonts w:ascii="Arial" w:hAnsi="Arial" w:cs="Arial"/>
          <w:b/>
          <w:bCs/>
          <w:sz w:val="24"/>
          <w:szCs w:val="24"/>
        </w:rPr>
        <w:t>Sobre los enfoques diferenciales</w:t>
      </w:r>
    </w:p>
    <w:p w14:paraId="38F45CB4" w14:textId="33C5B005" w:rsidR="003612A9" w:rsidRPr="00E00F13" w:rsidRDefault="003612A9" w:rsidP="00623219">
      <w:pPr>
        <w:spacing w:after="0" w:line="360" w:lineRule="auto"/>
        <w:jc w:val="both"/>
        <w:rPr>
          <w:rFonts w:ascii="Arial" w:hAnsi="Arial" w:cs="Arial"/>
          <w:sz w:val="24"/>
          <w:szCs w:val="24"/>
        </w:rPr>
      </w:pPr>
      <w:r w:rsidRPr="00E00F13">
        <w:rPr>
          <w:rFonts w:ascii="Arial" w:hAnsi="Arial" w:cs="Arial"/>
          <w:sz w:val="24"/>
          <w:szCs w:val="24"/>
        </w:rPr>
        <w:t xml:space="preserve">En la actualidad, el Ministerio está trabajando en las guías de estandarización para la población étnica y para la campesina. </w:t>
      </w:r>
    </w:p>
    <w:p w14:paraId="3E7D173D" w14:textId="77777777" w:rsidR="00A553BA" w:rsidRPr="00E00F13" w:rsidRDefault="00A553BA" w:rsidP="003612A9">
      <w:pPr>
        <w:spacing w:after="0" w:line="360" w:lineRule="auto"/>
        <w:jc w:val="both"/>
        <w:rPr>
          <w:rFonts w:ascii="Arial" w:hAnsi="Arial" w:cs="Arial"/>
          <w:sz w:val="24"/>
          <w:szCs w:val="24"/>
        </w:rPr>
      </w:pPr>
    </w:p>
    <w:p w14:paraId="147602A6" w14:textId="21A8E003" w:rsidR="003612A9" w:rsidRPr="00E00F13" w:rsidRDefault="003612A9" w:rsidP="003612A9">
      <w:pPr>
        <w:spacing w:after="0" w:line="360" w:lineRule="auto"/>
        <w:jc w:val="both"/>
        <w:rPr>
          <w:rFonts w:ascii="Arial" w:hAnsi="Arial" w:cs="Arial"/>
          <w:sz w:val="24"/>
          <w:szCs w:val="24"/>
        </w:rPr>
      </w:pPr>
      <w:r w:rsidRPr="00E00F13">
        <w:rPr>
          <w:rFonts w:ascii="Arial" w:hAnsi="Arial" w:cs="Arial"/>
          <w:sz w:val="24"/>
          <w:szCs w:val="24"/>
        </w:rPr>
        <w:t xml:space="preserve">En el desarrollo de los sistemas de información, las preguntas </w:t>
      </w:r>
      <w:r w:rsidR="008D557F" w:rsidRPr="00E00F13">
        <w:rPr>
          <w:rFonts w:ascii="Arial" w:hAnsi="Arial" w:cs="Arial"/>
          <w:sz w:val="24"/>
          <w:szCs w:val="24"/>
        </w:rPr>
        <w:t>en los formularios debe</w:t>
      </w:r>
      <w:r w:rsidR="00DF69C3" w:rsidRPr="00E00F13">
        <w:rPr>
          <w:rFonts w:ascii="Arial" w:hAnsi="Arial" w:cs="Arial"/>
          <w:sz w:val="24"/>
          <w:szCs w:val="24"/>
        </w:rPr>
        <w:t>n</w:t>
      </w:r>
      <w:r w:rsidR="008D557F" w:rsidRPr="00E00F13">
        <w:rPr>
          <w:rFonts w:ascii="Arial" w:hAnsi="Arial" w:cs="Arial"/>
          <w:sz w:val="24"/>
          <w:szCs w:val="24"/>
        </w:rPr>
        <w:t xml:space="preserve"> ser más específica</w:t>
      </w:r>
      <w:r w:rsidR="00DF69C3" w:rsidRPr="00E00F13">
        <w:rPr>
          <w:rFonts w:ascii="Arial" w:hAnsi="Arial" w:cs="Arial"/>
          <w:sz w:val="24"/>
          <w:szCs w:val="24"/>
        </w:rPr>
        <w:t>s</w:t>
      </w:r>
      <w:r w:rsidR="008D557F" w:rsidRPr="00E00F13">
        <w:rPr>
          <w:rFonts w:ascii="Arial" w:hAnsi="Arial" w:cs="Arial"/>
          <w:sz w:val="24"/>
          <w:szCs w:val="24"/>
        </w:rPr>
        <w:t xml:space="preserve">. Es necesario que los formularios permitan preguntar de manera diferencial </w:t>
      </w:r>
      <w:r w:rsidRPr="00E00F13">
        <w:rPr>
          <w:rFonts w:ascii="Arial" w:hAnsi="Arial" w:cs="Arial"/>
          <w:sz w:val="24"/>
          <w:szCs w:val="24"/>
        </w:rPr>
        <w:t>acerca del género, el territorio, pueblos étnicos y víctimas</w:t>
      </w:r>
      <w:r w:rsidR="00DF69C3" w:rsidRPr="00E00F13">
        <w:rPr>
          <w:rFonts w:ascii="Arial" w:hAnsi="Arial" w:cs="Arial"/>
          <w:sz w:val="24"/>
          <w:szCs w:val="24"/>
        </w:rPr>
        <w:t>,</w:t>
      </w:r>
      <w:r w:rsidRPr="00E00F13">
        <w:rPr>
          <w:rFonts w:ascii="Arial" w:hAnsi="Arial" w:cs="Arial"/>
          <w:sz w:val="24"/>
          <w:szCs w:val="24"/>
        </w:rPr>
        <w:t xml:space="preserve"> entre otros, </w:t>
      </w:r>
      <w:r w:rsidR="00DF69C3" w:rsidRPr="00E00F13">
        <w:rPr>
          <w:rFonts w:ascii="Arial" w:hAnsi="Arial" w:cs="Arial"/>
          <w:sz w:val="24"/>
          <w:szCs w:val="24"/>
        </w:rPr>
        <w:t>y también</w:t>
      </w:r>
      <w:r w:rsidR="008D557F" w:rsidRPr="00E00F13">
        <w:rPr>
          <w:rFonts w:ascii="Arial" w:hAnsi="Arial" w:cs="Arial"/>
          <w:sz w:val="24"/>
          <w:szCs w:val="24"/>
        </w:rPr>
        <w:t xml:space="preserve"> qué tipo de víctimas son (individuales o colectivas)</w:t>
      </w:r>
      <w:r w:rsidR="006E5814" w:rsidRPr="00E00F13">
        <w:rPr>
          <w:rFonts w:ascii="Arial" w:hAnsi="Arial" w:cs="Arial"/>
          <w:sz w:val="24"/>
          <w:szCs w:val="24"/>
        </w:rPr>
        <w:t>,</w:t>
      </w:r>
      <w:r w:rsidRPr="00E00F13">
        <w:rPr>
          <w:rFonts w:ascii="Arial" w:hAnsi="Arial" w:cs="Arial"/>
          <w:sz w:val="24"/>
          <w:szCs w:val="24"/>
        </w:rPr>
        <w:t xml:space="preserve"> con la finalidad de obtener datos suficientes </w:t>
      </w:r>
      <w:r w:rsidR="008D557F" w:rsidRPr="00E00F13">
        <w:rPr>
          <w:rFonts w:ascii="Arial" w:hAnsi="Arial" w:cs="Arial"/>
          <w:sz w:val="24"/>
          <w:szCs w:val="24"/>
        </w:rPr>
        <w:t xml:space="preserve">y desagregados </w:t>
      </w:r>
      <w:r w:rsidRPr="00E00F13">
        <w:rPr>
          <w:rFonts w:ascii="Arial" w:hAnsi="Arial" w:cs="Arial"/>
          <w:sz w:val="24"/>
          <w:szCs w:val="24"/>
        </w:rPr>
        <w:t>que nos permitan construir variables y, con ellas, cursos de acción política determinada</w:t>
      </w:r>
      <w:r w:rsidR="00DF69C3" w:rsidRPr="00E00F13">
        <w:rPr>
          <w:rFonts w:ascii="Arial" w:hAnsi="Arial" w:cs="Arial"/>
          <w:sz w:val="24"/>
          <w:szCs w:val="24"/>
        </w:rPr>
        <w:t>s</w:t>
      </w:r>
      <w:r w:rsidRPr="00E00F13">
        <w:rPr>
          <w:rFonts w:ascii="Arial" w:hAnsi="Arial" w:cs="Arial"/>
          <w:sz w:val="24"/>
          <w:szCs w:val="24"/>
        </w:rPr>
        <w:t xml:space="preserve"> para las distintas poblaciones, que sean consistentes y que permanezcan en el tiempo. Estas líneas de acción nos permitirán determinar si estamos cumpliendo con estas poblaciones vulnerables con la eficacia y la pertinencia requeridas. Asimismo, los formularios deberán diferenciar la información sobre las organizaciones territoriales, su funcionamiento, estructura organizativa, tipo, ubicación e idiomas que hablan. Con información más específica </w:t>
      </w:r>
      <w:r w:rsidRPr="00E00F13">
        <w:rPr>
          <w:rFonts w:ascii="Arial" w:hAnsi="Arial" w:cs="Arial"/>
          <w:sz w:val="24"/>
          <w:szCs w:val="24"/>
        </w:rPr>
        <w:lastRenderedPageBreak/>
        <w:t xml:space="preserve">el dato que se generará será más preciso y </w:t>
      </w:r>
      <w:r w:rsidR="00DF69C3" w:rsidRPr="00E00F13">
        <w:rPr>
          <w:rFonts w:ascii="Arial" w:hAnsi="Arial" w:cs="Arial"/>
          <w:sz w:val="24"/>
          <w:szCs w:val="24"/>
        </w:rPr>
        <w:t>las acciones más claras</w:t>
      </w:r>
      <w:r w:rsidRPr="00E00F13">
        <w:rPr>
          <w:rFonts w:ascii="Arial" w:hAnsi="Arial" w:cs="Arial"/>
          <w:sz w:val="24"/>
          <w:szCs w:val="24"/>
        </w:rPr>
        <w:t xml:space="preserve"> y atinad</w:t>
      </w:r>
      <w:r w:rsidR="00DF69C3" w:rsidRPr="00E00F13">
        <w:rPr>
          <w:rFonts w:ascii="Arial" w:hAnsi="Arial" w:cs="Arial"/>
          <w:sz w:val="24"/>
          <w:szCs w:val="24"/>
        </w:rPr>
        <w:t>a</w:t>
      </w:r>
      <w:r w:rsidRPr="00E00F13">
        <w:rPr>
          <w:rFonts w:ascii="Arial" w:hAnsi="Arial" w:cs="Arial"/>
          <w:sz w:val="24"/>
          <w:szCs w:val="24"/>
        </w:rPr>
        <w:t>s por población.</w:t>
      </w:r>
      <w:r w:rsidR="007F3CCE" w:rsidRPr="00E00F13">
        <w:rPr>
          <w:rFonts w:ascii="Arial" w:hAnsi="Arial" w:cs="Arial"/>
          <w:sz w:val="24"/>
          <w:szCs w:val="24"/>
        </w:rPr>
        <w:t xml:space="preserve"> Cruzar la información con otros criterios adicionales: población víctimas y discapacitada, mujer víctima y afrocolombiana, etc.</w:t>
      </w:r>
    </w:p>
    <w:p w14:paraId="1BA3B8AA" w14:textId="40DE3C1A" w:rsidR="003612A9" w:rsidRPr="00E00F13" w:rsidRDefault="003612A9" w:rsidP="003612A9">
      <w:pPr>
        <w:spacing w:after="0" w:line="360" w:lineRule="auto"/>
        <w:jc w:val="both"/>
        <w:rPr>
          <w:rFonts w:ascii="Arial" w:hAnsi="Arial" w:cs="Arial"/>
          <w:sz w:val="24"/>
          <w:szCs w:val="24"/>
        </w:rPr>
      </w:pPr>
    </w:p>
    <w:p w14:paraId="28B48A16" w14:textId="5E7B2161" w:rsidR="00234EFD" w:rsidRPr="00E00F13" w:rsidRDefault="00623219" w:rsidP="003612A9">
      <w:pPr>
        <w:spacing w:after="0" w:line="360" w:lineRule="auto"/>
        <w:jc w:val="both"/>
        <w:rPr>
          <w:rFonts w:ascii="Arial" w:hAnsi="Arial" w:cs="Arial"/>
          <w:b/>
          <w:bCs/>
          <w:sz w:val="24"/>
          <w:szCs w:val="24"/>
        </w:rPr>
      </w:pPr>
      <w:r w:rsidRPr="00E00F13">
        <w:rPr>
          <w:rFonts w:ascii="Arial" w:hAnsi="Arial" w:cs="Arial"/>
          <w:b/>
          <w:bCs/>
          <w:sz w:val="24"/>
          <w:szCs w:val="24"/>
        </w:rPr>
        <w:t>En el enfoque ambiental</w:t>
      </w:r>
    </w:p>
    <w:p w14:paraId="397F73C9" w14:textId="7C5C6E65" w:rsidR="00623219" w:rsidRPr="00E00F13" w:rsidRDefault="00623219" w:rsidP="00623219">
      <w:pPr>
        <w:spacing w:before="240"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Los elementos abordados en el enfoque ambiental pueden permanecer en el tiempo gracias a los ajustes normativos y reglamentaciones desarrolladas durante el gobierno, así como los documentos que se han venido elaborando al interior de las dependencias. Sin embargo, es paradójico que la ejecución de</w:t>
      </w:r>
      <w:r w:rsidR="00FF4CDD" w:rsidRPr="00E00F13">
        <w:rPr>
          <w:rFonts w:ascii="Arial" w:eastAsia="Times New Roman" w:hAnsi="Arial" w:cs="Arial"/>
          <w:sz w:val="24"/>
          <w:szCs w:val="24"/>
          <w:lang w:val="es-ES" w:eastAsia="es-ES_tradnl"/>
        </w:rPr>
        <w:t>l enfoque ambiental en los proyectos</w:t>
      </w:r>
      <w:r w:rsidR="000C3300" w:rsidRPr="00E00F13">
        <w:rPr>
          <w:rFonts w:ascii="Arial" w:eastAsia="Times New Roman" w:hAnsi="Arial" w:cs="Arial"/>
          <w:sz w:val="24"/>
          <w:szCs w:val="24"/>
          <w:lang w:val="es-ES" w:eastAsia="es-ES_tradnl"/>
        </w:rPr>
        <w:t>,</w:t>
      </w:r>
      <w:r w:rsidRPr="00E00F13">
        <w:rPr>
          <w:rFonts w:ascii="Arial" w:eastAsia="Times New Roman" w:hAnsi="Arial" w:cs="Arial"/>
          <w:sz w:val="24"/>
          <w:szCs w:val="24"/>
          <w:lang w:val="es-ES" w:eastAsia="es-ES_tradnl"/>
        </w:rPr>
        <w:t xml:space="preserve"> en especial de aquellos programas emblemáticos para el enfoque ambiental, permitirán evidenciar el impacto en el ambiente y los territorios. </w:t>
      </w:r>
    </w:p>
    <w:p w14:paraId="69F8C49B" w14:textId="77777777" w:rsidR="00FF4CDD" w:rsidRPr="00E00F13" w:rsidRDefault="00623219" w:rsidP="00FF4CDD">
      <w:pPr>
        <w:spacing w:before="240"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Si bien el manejo de las determinantes ambientales de manera previa a la modificación del Plan Nacional de Desarrollo (artículo 10 de la Ley 388 de 1997) venía siendo importante para garantizar el enfoque ambiental en el sector vivienda, lo cierto es que las escalas de intervención a nivel de Barrios y Veredas como en el Programa Barrios y Veredas de Paz, así como a nivel de la vivienda con los lineamientos definidos en el marco de los subsidios, podrán dar cuenta de impactos adicionales a los que se observaban con anterioridad en relación con el ordenamiento del territorio. Esto, sin dida, es una paradoja que habría que contrarrestar.</w:t>
      </w:r>
    </w:p>
    <w:p w14:paraId="0287AA7C" w14:textId="1CF37D91" w:rsidR="00FF4CDD" w:rsidRPr="00E00F13" w:rsidRDefault="00FF4CDD" w:rsidP="00FF4CDD">
      <w:pPr>
        <w:spacing w:before="240"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En concreto, sobre el enfoque ambiental las experiencias del sector muestran avances importantes en, al menos, tres asuntos: (a) en la incorporación de criterios de sostenibilidad en vivienda social; (b) el impulso a prácticas de economía circular y; (c) el desarrollo de guías técnicas y proyectos piloto, que han dado mayor visibilidad política al agua, la resiliencia y la gestión integral del hábitat. No obstante, estos progresos conviven con limitaciones persistentes: (a) fragmentación institucional, (b) insuficiencia de capacidades técnicas en los territorios, (c) baja participación comunitaria y (b) dificultades para escalar y financiar las iniciativas.</w:t>
      </w:r>
    </w:p>
    <w:p w14:paraId="29A3F6D1" w14:textId="77777777" w:rsidR="00FF4CDD" w:rsidRPr="00E00F13" w:rsidRDefault="00FF4CDD" w:rsidP="00FF4CDD">
      <w:pPr>
        <w:spacing w:after="0" w:line="360" w:lineRule="auto"/>
        <w:jc w:val="both"/>
        <w:rPr>
          <w:rFonts w:ascii="Arial" w:eastAsia="Times New Roman" w:hAnsi="Arial" w:cs="Arial"/>
          <w:b/>
          <w:bCs/>
          <w:sz w:val="24"/>
          <w:szCs w:val="24"/>
          <w:lang w:val="es-ES" w:eastAsia="es-ES_tradnl"/>
        </w:rPr>
      </w:pPr>
    </w:p>
    <w:p w14:paraId="12408A5F" w14:textId="77777777" w:rsidR="00FF4CDD" w:rsidRPr="00E00F13" w:rsidRDefault="00FF4CDD" w:rsidP="00FF4CDD">
      <w:p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lastRenderedPageBreak/>
        <w:t>Allí donde se han promovido procesos participativos, articulación territorial y adaptación a las condiciones locales, los resultados han sido más sostenibles y con mayor apropiación social. Por el contrario, cuando predominan decisiones centralizadas o intervenciones estandarizadas, disminuye la efectividad y se reproducen impactos negativos como una gestión inadecuada de residuos, viviendas que no responden al contexto o infraestructuras de saneamiento insuficientes. En conjunto, la experiencia acumulada evidencia avances relevantes, pero también la necesidad de fortalecer la gobernanza, las capacidades locales y la articulación interinstitucional para consolidar una implementación efectiva del enfoque ambiental. En este sentido, la limitada participación comunitaria, que profundiza las desigualdades y reproduce soluciones que no responden a las realidades locales, es un reto fundamental.</w:t>
      </w:r>
    </w:p>
    <w:p w14:paraId="51090BD8" w14:textId="77777777" w:rsidR="00FF4CDD" w:rsidRPr="00E00F13" w:rsidRDefault="00FF4CDD" w:rsidP="00FF4CDD">
      <w:pPr>
        <w:spacing w:after="0" w:line="360" w:lineRule="auto"/>
        <w:jc w:val="both"/>
        <w:rPr>
          <w:rFonts w:ascii="Arial" w:eastAsia="Times New Roman" w:hAnsi="Arial" w:cs="Arial"/>
          <w:sz w:val="24"/>
          <w:szCs w:val="24"/>
          <w:lang w:val="es-ES" w:eastAsia="es-ES_tradnl"/>
        </w:rPr>
      </w:pPr>
    </w:p>
    <w:p w14:paraId="6318332F" w14:textId="77777777" w:rsidR="00FF4CDD" w:rsidRPr="00E00F13" w:rsidRDefault="00FF4CDD" w:rsidP="00FF4CDD">
      <w:p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Los principales problemas identificados en la implementación del enfoque ambiental se relacionan con una persistente fragmentación institucional y la falta de articulación intersectorial, lo que dificulta la planeación conjunta y la ejecución de modelos integrados de vivienda, agua y gestión de residuos. A ello se suma la insuficiencia y desactualización de los datos, lo que impide realizar diagnósticos territoriales precisos y limita la priorización eficiente de intervenciones.</w:t>
      </w:r>
    </w:p>
    <w:p w14:paraId="32708A7C" w14:textId="77777777" w:rsidR="00FF4CDD" w:rsidRPr="00E00F13" w:rsidRDefault="00FF4CDD" w:rsidP="00FF4CDD">
      <w:pPr>
        <w:spacing w:after="0" w:line="360" w:lineRule="auto"/>
        <w:jc w:val="both"/>
        <w:rPr>
          <w:rFonts w:ascii="Arial" w:eastAsia="Times New Roman" w:hAnsi="Arial" w:cs="Arial"/>
          <w:b/>
          <w:bCs/>
          <w:sz w:val="24"/>
          <w:szCs w:val="24"/>
          <w:lang w:val="es-ES" w:eastAsia="es-ES_tradnl"/>
        </w:rPr>
      </w:pPr>
    </w:p>
    <w:p w14:paraId="227D8CEB" w14:textId="77777777" w:rsidR="00FF4CDD" w:rsidRPr="00E00F13" w:rsidRDefault="00FF4CDD" w:rsidP="00FF4CDD">
      <w:p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 xml:space="preserve">También persisten déficits estructurales, como el déficit habitacional, la escasa infraestructura para reciclaje y saneamiento y la falta de esquemas de financiamiento que incorporen adecuadamente costos de operación y mantenimiento, particularmente en infraestructuras como PTAR o plantas de valorización de residuos. </w:t>
      </w:r>
    </w:p>
    <w:p w14:paraId="4593CCFE" w14:textId="77777777" w:rsidR="00FF4CDD" w:rsidRPr="00E00F13" w:rsidRDefault="00FF4CDD" w:rsidP="00FF4CDD">
      <w:pPr>
        <w:spacing w:after="0" w:line="360" w:lineRule="auto"/>
        <w:jc w:val="both"/>
        <w:rPr>
          <w:rFonts w:ascii="Arial" w:eastAsia="Times New Roman" w:hAnsi="Arial" w:cs="Arial"/>
          <w:sz w:val="24"/>
          <w:szCs w:val="24"/>
          <w:lang w:val="es-ES" w:eastAsia="es-ES_tradnl"/>
        </w:rPr>
      </w:pPr>
    </w:p>
    <w:p w14:paraId="522BF9E6" w14:textId="77777777" w:rsidR="00FF4CDD" w:rsidRPr="00E00F13" w:rsidRDefault="00FF4CDD" w:rsidP="00FF4CDD">
      <w:p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Las capacidades técnicas y de gestión a nivel local siguen siendo débiles, dificultando la adopción de modelos sostenibles y la aplicación de criterios ambientales de manera consistente.</w:t>
      </w:r>
    </w:p>
    <w:p w14:paraId="7C1ECD49" w14:textId="77777777" w:rsidR="00FF4CDD" w:rsidRPr="00E00F13" w:rsidRDefault="00FF4CDD" w:rsidP="00FF4CDD">
      <w:pPr>
        <w:spacing w:after="0" w:line="360" w:lineRule="auto"/>
        <w:jc w:val="both"/>
        <w:rPr>
          <w:rFonts w:ascii="Arial" w:eastAsia="Times New Roman" w:hAnsi="Arial" w:cs="Arial"/>
          <w:sz w:val="24"/>
          <w:szCs w:val="24"/>
          <w:lang w:val="es-ES" w:eastAsia="es-ES_tradnl"/>
        </w:rPr>
      </w:pPr>
    </w:p>
    <w:p w14:paraId="44B65677" w14:textId="77777777" w:rsidR="00FF4CDD" w:rsidRPr="00E00F13" w:rsidRDefault="00FF4CDD" w:rsidP="00FF4CDD">
      <w:p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lastRenderedPageBreak/>
        <w:t xml:space="preserve">Otro desafío clave es la resistencia de algunos actores y del mercado a adoptar prácticas de economía circular, debido a la ausencia de incentivos claros y a cadenas de valorización todavía incipientes. </w:t>
      </w:r>
    </w:p>
    <w:p w14:paraId="221FF145" w14:textId="77777777" w:rsidR="00FF4CDD" w:rsidRPr="00E00F13" w:rsidRDefault="00FF4CDD" w:rsidP="00FF4CDD">
      <w:pPr>
        <w:spacing w:after="0" w:line="360" w:lineRule="auto"/>
        <w:jc w:val="both"/>
        <w:rPr>
          <w:rFonts w:ascii="Arial" w:eastAsia="Times New Roman" w:hAnsi="Arial" w:cs="Arial"/>
          <w:sz w:val="24"/>
          <w:szCs w:val="24"/>
          <w:lang w:val="es-ES" w:eastAsia="es-ES_tradnl"/>
        </w:rPr>
      </w:pPr>
    </w:p>
    <w:p w14:paraId="3E7795F8" w14:textId="77777777" w:rsidR="00FF4CDD" w:rsidRPr="00E00F13" w:rsidRDefault="00FF4CDD" w:rsidP="00FF4CDD">
      <w:p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Finalmente, el diseño poco diferenciado de políticas y programas, que no se adapta con suficiencia a contextos rurales o territorios de alta vulnerabilidad.</w:t>
      </w:r>
    </w:p>
    <w:p w14:paraId="0CC123E3" w14:textId="77777777" w:rsidR="00FF4CDD" w:rsidRPr="00E00F13" w:rsidRDefault="00FF4CDD" w:rsidP="00FF4CDD">
      <w:p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 xml:space="preserve"> </w:t>
      </w:r>
    </w:p>
    <w:p w14:paraId="688A784E" w14:textId="77777777" w:rsidR="00FF4CDD" w:rsidRPr="00E00F13" w:rsidRDefault="00FF4CDD" w:rsidP="00FF4CDD">
      <w:p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En conjunto, estos factores configuran un panorama donde los avances existen, pero su impacto se ve limitado por brechas institucionales, técnicas y territoriales que requieren transformaciones más profundas.</w:t>
      </w:r>
    </w:p>
    <w:p w14:paraId="2336350F" w14:textId="77777777" w:rsidR="00FF4CDD" w:rsidRPr="00E00F13" w:rsidRDefault="00FF4CDD" w:rsidP="00FF4CDD">
      <w:pPr>
        <w:spacing w:after="0" w:line="360" w:lineRule="auto"/>
        <w:jc w:val="both"/>
        <w:rPr>
          <w:rFonts w:ascii="Arial" w:eastAsia="Times New Roman" w:hAnsi="Arial" w:cs="Arial"/>
          <w:sz w:val="24"/>
          <w:szCs w:val="24"/>
          <w:lang w:val="es-ES" w:eastAsia="es-ES_tradnl"/>
        </w:rPr>
      </w:pPr>
    </w:p>
    <w:p w14:paraId="719E496D" w14:textId="77777777" w:rsidR="00FF4CDD" w:rsidRPr="00E00F13" w:rsidRDefault="00FF4CDD" w:rsidP="00FF4CDD">
      <w:pPr>
        <w:spacing w:after="0" w:line="360" w:lineRule="auto"/>
        <w:jc w:val="both"/>
        <w:rPr>
          <w:rFonts w:ascii="Arial" w:eastAsia="Times New Roman" w:hAnsi="Arial" w:cs="Arial"/>
          <w:b/>
          <w:bCs/>
          <w:sz w:val="24"/>
          <w:szCs w:val="24"/>
          <w:lang w:val="es-ES" w:eastAsia="es-ES_tradnl"/>
        </w:rPr>
      </w:pPr>
      <w:r w:rsidRPr="00E00F13">
        <w:rPr>
          <w:rFonts w:ascii="Arial" w:eastAsia="Times New Roman" w:hAnsi="Arial" w:cs="Arial"/>
          <w:sz w:val="24"/>
          <w:szCs w:val="24"/>
          <w:lang w:val="es-ES" w:eastAsia="es-ES_tradnl"/>
        </w:rPr>
        <w:t>Los desafíos hacia adelante se centran en consolidar la prevalencia de las determinantes ambientales en los POT y en orientar las decisiones de hábitat más allá del déficit habitacional, hacia la reducción de la huella ecológica y la resiliencia territorial. Para ello es esencial asegurar un financiamiento sostenido, no solo para nuevas obras, sino para la operación y el mantenimiento de infraestructuras verdes, tecnologías limpias, PTAR y sistemas de aprovechamiento de residuos.</w:t>
      </w:r>
    </w:p>
    <w:p w14:paraId="6073D7A7" w14:textId="77777777" w:rsidR="00FF4CDD" w:rsidRPr="00E00F13" w:rsidRDefault="00FF4CDD" w:rsidP="00FF4CDD">
      <w:pPr>
        <w:spacing w:after="0" w:line="360" w:lineRule="auto"/>
        <w:jc w:val="both"/>
        <w:rPr>
          <w:rFonts w:ascii="Arial" w:eastAsia="Times New Roman" w:hAnsi="Arial" w:cs="Arial"/>
          <w:sz w:val="24"/>
          <w:szCs w:val="24"/>
          <w:lang w:val="es-ES" w:eastAsia="es-ES_tradnl"/>
        </w:rPr>
      </w:pPr>
    </w:p>
    <w:p w14:paraId="572501A6" w14:textId="77777777" w:rsidR="00FF4CDD" w:rsidRPr="00E00F13" w:rsidRDefault="00FF4CDD" w:rsidP="00FF4CDD">
      <w:p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También se requiere institucionalizar la perspectiva territorial para que trascienda los cambios de administración, adaptando la normativa a realidades locales y cerrando brechas persistentes en datos, información y capacidades técnicas. La transición hacia la economía circular implica transformar cadenas productivas, crear incentivos y superar resistencias de actores públicos y privados.</w:t>
      </w:r>
    </w:p>
    <w:p w14:paraId="41BD314B" w14:textId="77777777" w:rsidR="00FF4CDD" w:rsidRPr="00E00F13" w:rsidRDefault="00FF4CDD" w:rsidP="00FF4CDD">
      <w:pPr>
        <w:spacing w:after="0" w:line="360" w:lineRule="auto"/>
        <w:jc w:val="both"/>
        <w:rPr>
          <w:rFonts w:ascii="Arial" w:eastAsia="Times New Roman" w:hAnsi="Arial" w:cs="Arial"/>
          <w:sz w:val="24"/>
          <w:szCs w:val="24"/>
          <w:lang w:val="es-ES" w:eastAsia="es-ES_tradnl"/>
        </w:rPr>
      </w:pPr>
    </w:p>
    <w:p w14:paraId="1218EAFB" w14:textId="77777777" w:rsidR="00FF4CDD" w:rsidRPr="00E00F13" w:rsidRDefault="00FF4CDD" w:rsidP="00FF4CDD">
      <w:pPr>
        <w:spacing w:after="0" w:line="360" w:lineRule="auto"/>
        <w:jc w:val="both"/>
        <w:rPr>
          <w:rFonts w:ascii="Arial" w:eastAsia="Times New Roman" w:hAnsi="Arial" w:cs="Arial"/>
          <w:sz w:val="24"/>
          <w:szCs w:val="24"/>
          <w:lang w:val="es-ES" w:eastAsia="es-ES_tradnl"/>
        </w:rPr>
      </w:pPr>
      <w:r w:rsidRPr="00E00F13">
        <w:rPr>
          <w:rFonts w:ascii="Arial" w:eastAsia="Times New Roman" w:hAnsi="Arial" w:cs="Arial"/>
          <w:sz w:val="24"/>
          <w:szCs w:val="24"/>
          <w:lang w:val="es-ES" w:eastAsia="es-ES_tradnl"/>
        </w:rPr>
        <w:t xml:space="preserve">Existen complejidades estructurales: la heterogeneidad territorial —especialmente en zonas rurales dispersas—, los conflictos de interés entre actores locales y nacionales y la necesidad de articular múltiples entidades (MVCT, </w:t>
      </w:r>
      <w:proofErr w:type="spellStart"/>
      <w:r w:rsidRPr="00E00F13">
        <w:rPr>
          <w:rFonts w:ascii="Arial" w:eastAsia="Times New Roman" w:hAnsi="Arial" w:cs="Arial"/>
          <w:sz w:val="24"/>
          <w:szCs w:val="24"/>
          <w:lang w:val="es-ES" w:eastAsia="es-ES_tradnl"/>
        </w:rPr>
        <w:t>MinAmbiente</w:t>
      </w:r>
      <w:proofErr w:type="spellEnd"/>
      <w:r w:rsidRPr="00E00F13">
        <w:rPr>
          <w:rFonts w:ascii="Arial" w:eastAsia="Times New Roman" w:hAnsi="Arial" w:cs="Arial"/>
          <w:sz w:val="24"/>
          <w:szCs w:val="24"/>
          <w:lang w:val="es-ES" w:eastAsia="es-ES_tradnl"/>
        </w:rPr>
        <w:t xml:space="preserve">, DNP, autoridades ambientales, municipios y sector privado). Con políticas robustas, instrumentos legales y presupuestales adecuados, estos desafíos pueden convertirse en oportunidades para consolidar el enfoque ambiental y materializar </w:t>
      </w:r>
      <w:r w:rsidRPr="00E00F13">
        <w:rPr>
          <w:rFonts w:ascii="Arial" w:eastAsia="Times New Roman" w:hAnsi="Arial" w:cs="Arial"/>
          <w:sz w:val="24"/>
          <w:szCs w:val="24"/>
          <w:lang w:val="es-ES" w:eastAsia="es-ES_tradnl"/>
        </w:rPr>
        <w:lastRenderedPageBreak/>
        <w:t>derechos fundamentales como el acceso al agua, la vivienda digna y la justicia ambiental.</w:t>
      </w:r>
    </w:p>
    <w:p w14:paraId="60FB65C4" w14:textId="77777777" w:rsidR="00FF4CDD" w:rsidRPr="00E00F13" w:rsidRDefault="00FF4CDD" w:rsidP="00FF4CDD">
      <w:pPr>
        <w:spacing w:after="0" w:line="360" w:lineRule="auto"/>
        <w:jc w:val="both"/>
        <w:rPr>
          <w:rFonts w:ascii="Arial" w:eastAsia="Times New Roman" w:hAnsi="Arial" w:cs="Arial"/>
          <w:sz w:val="24"/>
          <w:szCs w:val="24"/>
          <w:lang w:val="es-ES" w:eastAsia="es-ES_tradnl"/>
        </w:rPr>
      </w:pPr>
    </w:p>
    <w:p w14:paraId="5461E482" w14:textId="65756519" w:rsidR="00683A54" w:rsidRPr="00E00F13" w:rsidRDefault="00683A54" w:rsidP="00683A54">
      <w:pPr>
        <w:spacing w:after="0" w:line="360" w:lineRule="auto"/>
        <w:jc w:val="both"/>
        <w:rPr>
          <w:rFonts w:ascii="Arial" w:hAnsi="Arial" w:cs="Arial"/>
          <w:b/>
          <w:bCs/>
          <w:sz w:val="24"/>
          <w:szCs w:val="24"/>
          <w:lang w:val="es-ES" w:eastAsia="es-ES_tradnl"/>
        </w:rPr>
      </w:pPr>
      <w:r w:rsidRPr="00E00F13">
        <w:rPr>
          <w:rFonts w:ascii="Arial" w:hAnsi="Arial" w:cs="Arial"/>
          <w:b/>
          <w:bCs/>
          <w:sz w:val="24"/>
          <w:szCs w:val="24"/>
          <w:lang w:val="es-ES" w:eastAsia="es-ES_tradnl"/>
        </w:rPr>
        <w:t>E</w:t>
      </w:r>
      <w:r w:rsidR="00CD492D" w:rsidRPr="00E00F13">
        <w:rPr>
          <w:rFonts w:ascii="Arial" w:hAnsi="Arial" w:cs="Arial"/>
          <w:b/>
          <w:bCs/>
          <w:sz w:val="24"/>
          <w:szCs w:val="24"/>
          <w:lang w:val="es-ES" w:eastAsia="es-ES_tradnl"/>
        </w:rPr>
        <w:t>l</w:t>
      </w:r>
      <w:r w:rsidRPr="00E00F13">
        <w:rPr>
          <w:rFonts w:ascii="Arial" w:hAnsi="Arial" w:cs="Arial"/>
          <w:b/>
          <w:bCs/>
          <w:sz w:val="24"/>
          <w:szCs w:val="24"/>
          <w:lang w:val="es-ES" w:eastAsia="es-ES_tradnl"/>
        </w:rPr>
        <w:t xml:space="preserve"> enfoque hacia la paz</w:t>
      </w:r>
      <w:r w:rsidRPr="00E00F13">
        <w:rPr>
          <w:rFonts w:ascii="Arial" w:hAnsi="Arial" w:cs="Arial"/>
          <w:sz w:val="24"/>
          <w:szCs w:val="24"/>
        </w:rPr>
        <w:t xml:space="preserve"> </w:t>
      </w:r>
    </w:p>
    <w:p w14:paraId="63856F64" w14:textId="78551455" w:rsidR="00683A54" w:rsidRPr="00E00F13" w:rsidRDefault="00683A54" w:rsidP="00683A54">
      <w:pPr>
        <w:spacing w:after="0" w:line="360" w:lineRule="auto"/>
        <w:jc w:val="both"/>
        <w:rPr>
          <w:rFonts w:ascii="Arial" w:hAnsi="Arial" w:cs="Arial"/>
          <w:b/>
          <w:bCs/>
          <w:sz w:val="24"/>
          <w:szCs w:val="24"/>
        </w:rPr>
      </w:pPr>
      <w:r w:rsidRPr="00E00F13">
        <w:rPr>
          <w:rFonts w:ascii="Arial" w:hAnsi="Arial" w:cs="Arial"/>
          <w:sz w:val="24"/>
          <w:szCs w:val="24"/>
        </w:rPr>
        <w:t>Retos para la implementación:</w:t>
      </w:r>
    </w:p>
    <w:p w14:paraId="2BF1DA6B" w14:textId="77777777" w:rsidR="00683A54" w:rsidRPr="00E00F13" w:rsidRDefault="00683A54" w:rsidP="00683A54">
      <w:pPr>
        <w:spacing w:after="0" w:line="360" w:lineRule="auto"/>
        <w:jc w:val="both"/>
        <w:rPr>
          <w:rFonts w:ascii="Arial" w:hAnsi="Arial" w:cs="Arial"/>
          <w:sz w:val="24"/>
          <w:szCs w:val="24"/>
        </w:rPr>
      </w:pPr>
    </w:p>
    <w:p w14:paraId="110F38D5" w14:textId="77777777" w:rsidR="00683A54" w:rsidRPr="00E00F13" w:rsidRDefault="00683A54" w:rsidP="00683A54">
      <w:r w:rsidRPr="00E00F13">
        <w:rPr>
          <w:rFonts w:ascii="Arial" w:hAnsi="Arial" w:cs="Arial"/>
          <w:sz w:val="24"/>
          <w:szCs w:val="24"/>
        </w:rPr>
        <w:t>a. Capacidades institucionales</w:t>
      </w:r>
    </w:p>
    <w:p w14:paraId="1003ED44" w14:textId="04857C45" w:rsidR="00683A54" w:rsidRPr="00E00F13" w:rsidRDefault="00683A54" w:rsidP="00683A54">
      <w:pPr>
        <w:spacing w:after="0" w:line="360" w:lineRule="auto"/>
        <w:jc w:val="both"/>
        <w:rPr>
          <w:rFonts w:ascii="Arial" w:hAnsi="Arial" w:cs="Arial"/>
        </w:rPr>
      </w:pPr>
      <w:r w:rsidRPr="00E00F13">
        <w:rPr>
          <w:rFonts w:ascii="Arial" w:hAnsi="Arial" w:cs="Arial"/>
        </w:rPr>
        <w:t>Existe un desafío en la apropiación del enfoque por funcionarios y contratistas. Se requiere formación continua en lectura territorial, contexto sociopolítico, gestión en contextos de conflicto y aplicación operativa de los criterios de priorización.</w:t>
      </w:r>
    </w:p>
    <w:p w14:paraId="0FFD1426" w14:textId="77777777" w:rsidR="00683A54" w:rsidRPr="00E00F13" w:rsidRDefault="00683A54" w:rsidP="00683A54">
      <w:pPr>
        <w:spacing w:after="0" w:line="360" w:lineRule="auto"/>
        <w:jc w:val="both"/>
        <w:rPr>
          <w:rFonts w:ascii="Arial" w:hAnsi="Arial" w:cs="Arial"/>
        </w:rPr>
      </w:pPr>
    </w:p>
    <w:p w14:paraId="01B211CA" w14:textId="77777777" w:rsidR="00683A54" w:rsidRPr="00E00F13" w:rsidRDefault="00683A54" w:rsidP="00683A54">
      <w:r w:rsidRPr="00E00F13">
        <w:rPr>
          <w:rFonts w:ascii="Arial" w:hAnsi="Arial" w:cs="Arial"/>
          <w:sz w:val="24"/>
          <w:szCs w:val="24"/>
        </w:rPr>
        <w:t>b. Insuficiencia de recursos</w:t>
      </w:r>
    </w:p>
    <w:p w14:paraId="27611BD2" w14:textId="481F5552" w:rsidR="00683A54" w:rsidRPr="00E00F13" w:rsidRDefault="00683A54" w:rsidP="00683A54">
      <w:pPr>
        <w:spacing w:after="0" w:line="360" w:lineRule="auto"/>
        <w:jc w:val="both"/>
        <w:rPr>
          <w:rFonts w:ascii="Arial" w:hAnsi="Arial" w:cs="Arial"/>
        </w:rPr>
      </w:pPr>
      <w:r w:rsidRPr="00E00F13">
        <w:rPr>
          <w:rFonts w:ascii="Arial" w:hAnsi="Arial" w:cs="Arial"/>
        </w:rPr>
        <w:t>La implementación del enfoque demanda inversiones significativas. Es necesario garantizar financiamiento suficiente y progresivo que permita materializar intervenciones integrales en los territorios priorizados.</w:t>
      </w:r>
    </w:p>
    <w:p w14:paraId="7518FF88" w14:textId="77777777" w:rsidR="00277DF1" w:rsidRPr="00E00F13" w:rsidRDefault="00277DF1" w:rsidP="00683A54">
      <w:pPr>
        <w:spacing w:after="0" w:line="360" w:lineRule="auto"/>
        <w:jc w:val="both"/>
        <w:rPr>
          <w:rFonts w:ascii="Arial" w:hAnsi="Arial" w:cs="Arial"/>
        </w:rPr>
      </w:pPr>
    </w:p>
    <w:p w14:paraId="53750BED" w14:textId="77777777" w:rsidR="00683A54" w:rsidRPr="00E00F13" w:rsidRDefault="00683A54" w:rsidP="00683A54">
      <w:r w:rsidRPr="00E00F13">
        <w:rPr>
          <w:rFonts w:ascii="Arial" w:hAnsi="Arial" w:cs="Arial"/>
          <w:sz w:val="24"/>
          <w:szCs w:val="24"/>
        </w:rPr>
        <w:t>c. Definición de criterios de priorización</w:t>
      </w:r>
    </w:p>
    <w:p w14:paraId="4C575C43" w14:textId="741F75D6" w:rsidR="00683A54" w:rsidRPr="00E00F13" w:rsidRDefault="00683A54" w:rsidP="00683A54">
      <w:pPr>
        <w:spacing w:after="0" w:line="360" w:lineRule="auto"/>
        <w:jc w:val="both"/>
        <w:rPr>
          <w:rFonts w:ascii="Arial" w:hAnsi="Arial" w:cs="Arial"/>
        </w:rPr>
      </w:pPr>
      <w:r w:rsidRPr="00E00F13">
        <w:rPr>
          <w:rFonts w:ascii="Arial" w:hAnsi="Arial" w:cs="Arial"/>
        </w:rPr>
        <w:t>Es indispensable avanzar en la reglamentación de criterios cruzados de priorización que integren los distintos enfoques sectoriales. Estos criterios deben orientar la asignación de recursos y la toma de decisiones en convocatorias y proyectos.</w:t>
      </w:r>
    </w:p>
    <w:p w14:paraId="75F89A96" w14:textId="77777777" w:rsidR="00683A54" w:rsidRPr="00E00F13" w:rsidRDefault="00683A54" w:rsidP="00683A54">
      <w:pPr>
        <w:spacing w:after="0" w:line="360" w:lineRule="auto"/>
        <w:jc w:val="both"/>
        <w:rPr>
          <w:rFonts w:ascii="Arial" w:hAnsi="Arial" w:cs="Arial"/>
        </w:rPr>
      </w:pPr>
    </w:p>
    <w:p w14:paraId="4E7B5606" w14:textId="77777777" w:rsidR="00683A54" w:rsidRPr="00E00F13" w:rsidRDefault="00683A54" w:rsidP="00683A54">
      <w:r w:rsidRPr="00E00F13">
        <w:rPr>
          <w:rFonts w:ascii="Arial" w:hAnsi="Arial" w:cs="Arial"/>
          <w:sz w:val="24"/>
          <w:szCs w:val="24"/>
        </w:rPr>
        <w:t>d. Actuación en territorios con presencia de actores armados</w:t>
      </w:r>
    </w:p>
    <w:p w14:paraId="6C9FFC4B" w14:textId="548A6677" w:rsidR="00683A54" w:rsidRPr="00E00F13" w:rsidRDefault="00683A54" w:rsidP="00683A54">
      <w:pPr>
        <w:spacing w:after="0" w:line="360" w:lineRule="auto"/>
        <w:jc w:val="both"/>
        <w:rPr>
          <w:rFonts w:ascii="Arial" w:hAnsi="Arial" w:cs="Arial"/>
        </w:rPr>
      </w:pPr>
      <w:r w:rsidRPr="00E00F13">
        <w:rPr>
          <w:rFonts w:ascii="Arial" w:hAnsi="Arial" w:cs="Arial"/>
        </w:rPr>
        <w:t>Intervenir en contextos donde actores ilegales ejercen control requiere protocolos claros. El MVCT debe contar con lineamientos claros y precisos para explicar los programas, los criterios técnicos y los mecanismos de selección, reduciendo riesgos y fortaleciendo la confianza institucional.</w:t>
      </w:r>
    </w:p>
    <w:p w14:paraId="5C89BF64" w14:textId="77777777" w:rsidR="00683A54" w:rsidRPr="00E00F13" w:rsidRDefault="00683A54" w:rsidP="00683A54">
      <w:pPr>
        <w:spacing w:after="0" w:line="360" w:lineRule="auto"/>
        <w:jc w:val="both"/>
        <w:rPr>
          <w:rFonts w:ascii="Arial" w:hAnsi="Arial" w:cs="Arial"/>
        </w:rPr>
      </w:pPr>
    </w:p>
    <w:p w14:paraId="509EBA76" w14:textId="77777777" w:rsidR="00683A54" w:rsidRPr="00E00F13" w:rsidRDefault="00683A54" w:rsidP="00683A54">
      <w:r w:rsidRPr="00E00F13">
        <w:rPr>
          <w:rFonts w:ascii="Arial" w:hAnsi="Arial" w:cs="Arial"/>
          <w:sz w:val="24"/>
          <w:szCs w:val="24"/>
        </w:rPr>
        <w:t>e. Transparencia y justicia territorial</w:t>
      </w:r>
    </w:p>
    <w:p w14:paraId="74642C63" w14:textId="54A7B33D" w:rsidR="00683A54" w:rsidRPr="00E00F13" w:rsidRDefault="00683A54" w:rsidP="00683A54">
      <w:pPr>
        <w:spacing w:after="0" w:line="360" w:lineRule="auto"/>
        <w:jc w:val="both"/>
        <w:rPr>
          <w:rFonts w:ascii="Arial" w:hAnsi="Arial" w:cs="Arial"/>
        </w:rPr>
      </w:pPr>
      <w:r w:rsidRPr="00E00F13">
        <w:rPr>
          <w:rFonts w:ascii="Arial" w:hAnsi="Arial" w:cs="Arial"/>
        </w:rPr>
        <w:t>La claridad en los criterios de intervención y la información pública sobre las decisiones incrementan la confianza de las comunidades y fortalecen la percepción de justicia, elemento central para avanzar en la construcción de paz territorial.</w:t>
      </w:r>
    </w:p>
    <w:p w14:paraId="4093FCE8" w14:textId="77777777" w:rsidR="00683A54" w:rsidRPr="00E00F13" w:rsidRDefault="00683A54" w:rsidP="00683A54">
      <w:pPr>
        <w:spacing w:after="0" w:line="360" w:lineRule="auto"/>
        <w:jc w:val="both"/>
        <w:rPr>
          <w:rFonts w:ascii="Arial" w:hAnsi="Arial" w:cs="Arial"/>
        </w:rPr>
      </w:pPr>
    </w:p>
    <w:p w14:paraId="30B9D71E" w14:textId="085A30A5" w:rsidR="00683A54" w:rsidRPr="00E00F13" w:rsidRDefault="00683A54" w:rsidP="00683A54">
      <w:r w:rsidRPr="00E00F13">
        <w:rPr>
          <w:rFonts w:ascii="Arial" w:hAnsi="Arial" w:cs="Arial"/>
        </w:rPr>
        <w:lastRenderedPageBreak/>
        <w:t>f</w:t>
      </w:r>
      <w:r w:rsidRPr="00E00F13">
        <w:rPr>
          <w:rFonts w:ascii="Arial" w:hAnsi="Arial" w:cs="Arial"/>
          <w:sz w:val="24"/>
          <w:szCs w:val="24"/>
        </w:rPr>
        <w:t>. Integración programática</w:t>
      </w:r>
    </w:p>
    <w:p w14:paraId="1A211C85" w14:textId="053D2E5D" w:rsidR="00222376" w:rsidRPr="00E00F13" w:rsidRDefault="00683A54" w:rsidP="003612A9">
      <w:pPr>
        <w:spacing w:after="0" w:line="360" w:lineRule="auto"/>
        <w:jc w:val="both"/>
        <w:rPr>
          <w:rFonts w:ascii="Arial" w:hAnsi="Arial" w:cs="Arial"/>
        </w:rPr>
      </w:pPr>
      <w:r w:rsidRPr="00E00F13">
        <w:rPr>
          <w:rFonts w:ascii="Arial" w:hAnsi="Arial" w:cs="Arial"/>
        </w:rPr>
        <w:t xml:space="preserve">Articular los enfoques ambiental, </w:t>
      </w:r>
      <w:r w:rsidR="00E0184E" w:rsidRPr="00E00F13">
        <w:rPr>
          <w:rFonts w:ascii="Arial" w:hAnsi="Arial" w:cs="Arial"/>
        </w:rPr>
        <w:t xml:space="preserve">diferencial, </w:t>
      </w:r>
      <w:r w:rsidRPr="00E00F13">
        <w:rPr>
          <w:rFonts w:ascii="Arial" w:hAnsi="Arial" w:cs="Arial"/>
        </w:rPr>
        <w:t>territorial, de víctimas, del cuidado y de paz dentro de la planeación sectorial y en los instrumentos de focalización, priorización y seguimiento de programas y proyectos.</w:t>
      </w:r>
    </w:p>
    <w:p w14:paraId="4EAA4642" w14:textId="77777777" w:rsidR="00222376" w:rsidRPr="00E00F13" w:rsidRDefault="00222376" w:rsidP="003612A9">
      <w:pPr>
        <w:spacing w:after="0" w:line="360" w:lineRule="auto"/>
        <w:jc w:val="both"/>
        <w:rPr>
          <w:rFonts w:ascii="Arial" w:hAnsi="Arial" w:cs="Arial"/>
          <w:sz w:val="24"/>
          <w:szCs w:val="24"/>
        </w:rPr>
      </w:pPr>
    </w:p>
    <w:p w14:paraId="6B4AD56A" w14:textId="7CF2A445" w:rsidR="00234EFD" w:rsidRPr="00E00F13" w:rsidRDefault="00222376" w:rsidP="003075E5">
      <w:pPr>
        <w:pStyle w:val="Ttulo2"/>
        <w:rPr>
          <w:color w:val="auto"/>
        </w:rPr>
      </w:pPr>
      <w:bookmarkStart w:id="162" w:name="_Toc234242885"/>
      <w:r w:rsidRPr="00E00F13">
        <w:rPr>
          <w:color w:val="auto"/>
        </w:rPr>
        <w:t>2.</w:t>
      </w:r>
      <w:r w:rsidR="00E87EC1" w:rsidRPr="00E00F13">
        <w:rPr>
          <w:color w:val="auto"/>
        </w:rPr>
        <w:t>9.</w:t>
      </w:r>
      <w:r w:rsidRPr="00E00F13">
        <w:rPr>
          <w:color w:val="auto"/>
        </w:rPr>
        <w:t xml:space="preserve"> </w:t>
      </w:r>
      <w:r w:rsidR="00234EFD" w:rsidRPr="00E00F13">
        <w:rPr>
          <w:color w:val="auto"/>
        </w:rPr>
        <w:t>La gobernanza de los datos. El Observatorio de Hábitat Biodiverso</w:t>
      </w:r>
      <w:bookmarkEnd w:id="162"/>
    </w:p>
    <w:p w14:paraId="3C3E0656" w14:textId="6E227C99" w:rsidR="00DD3650" w:rsidRPr="00E00F13" w:rsidRDefault="00DD3650" w:rsidP="00CB4964">
      <w:pPr>
        <w:spacing w:after="0" w:line="360" w:lineRule="auto"/>
        <w:jc w:val="both"/>
        <w:rPr>
          <w:rFonts w:ascii="Arial" w:eastAsia="Segoe UI" w:hAnsi="Arial" w:cs="Arial"/>
          <w:sz w:val="24"/>
          <w:szCs w:val="24"/>
        </w:rPr>
      </w:pPr>
      <w:r w:rsidRPr="00E00F13">
        <w:rPr>
          <w:rFonts w:ascii="Arial" w:eastAsia="Segoe UI" w:hAnsi="Arial" w:cs="Arial"/>
          <w:sz w:val="24"/>
          <w:szCs w:val="24"/>
        </w:rPr>
        <w:t xml:space="preserve">El propósito del </w:t>
      </w:r>
      <w:r w:rsidR="00713A53" w:rsidRPr="00E00F13">
        <w:rPr>
          <w:rFonts w:ascii="Arial" w:eastAsia="Segoe UI" w:hAnsi="Arial" w:cs="Arial"/>
          <w:sz w:val="24"/>
          <w:szCs w:val="24"/>
        </w:rPr>
        <w:t xml:space="preserve">Observatorio </w:t>
      </w:r>
      <w:r w:rsidRPr="00E00F13">
        <w:rPr>
          <w:rFonts w:ascii="Arial" w:eastAsia="Segoe UI" w:hAnsi="Arial" w:cs="Arial"/>
          <w:sz w:val="24"/>
          <w:szCs w:val="24"/>
        </w:rPr>
        <w:t xml:space="preserve">de Hábitat Biodiverso es </w:t>
      </w:r>
      <w:r w:rsidR="00713A53" w:rsidRPr="00E00F13">
        <w:rPr>
          <w:rFonts w:ascii="Arial" w:eastAsia="Segoe UI" w:hAnsi="Arial" w:cs="Arial"/>
          <w:sz w:val="24"/>
          <w:szCs w:val="24"/>
        </w:rPr>
        <w:t xml:space="preserve">identificar cuáles son las necesidades de la gente. </w:t>
      </w:r>
      <w:r w:rsidRPr="00E00F13">
        <w:rPr>
          <w:rFonts w:ascii="Arial" w:eastAsia="Segoe UI" w:hAnsi="Arial" w:cs="Arial"/>
          <w:sz w:val="24"/>
          <w:szCs w:val="24"/>
        </w:rPr>
        <w:t>Es decir, del déficit cuantitativo. Pero el concepto de déficit cuantitativo también ha sufrido una transformación a la luz del énfasis en la relación de los seres humanos con su entorno, más allá de la unidad habitacional y de la construcción de infraestructura de agua.</w:t>
      </w:r>
    </w:p>
    <w:p w14:paraId="5A80ED8C" w14:textId="3A238F1A" w:rsidR="00BC3E72" w:rsidRPr="00E00F13" w:rsidRDefault="00713A53" w:rsidP="00CB4964">
      <w:pPr>
        <w:spacing w:after="0" w:line="360" w:lineRule="auto"/>
        <w:jc w:val="both"/>
        <w:rPr>
          <w:rFonts w:ascii="Arial" w:eastAsia="Segoe UI" w:hAnsi="Arial" w:cs="Arial"/>
          <w:sz w:val="24"/>
          <w:szCs w:val="24"/>
        </w:rPr>
      </w:pPr>
      <w:r w:rsidRPr="00E00F13">
        <w:rPr>
          <w:rFonts w:ascii="Segoe UI" w:eastAsia="Segoe UI" w:hAnsi="Segoe UI" w:cs="Segoe UI"/>
          <w:sz w:val="24"/>
          <w:szCs w:val="24"/>
        </w:rPr>
        <w:br/>
      </w:r>
      <w:r w:rsidRPr="00E00F13">
        <w:rPr>
          <w:rFonts w:ascii="Arial" w:eastAsia="Segoe UI" w:hAnsi="Arial" w:cs="Arial"/>
          <w:sz w:val="24"/>
          <w:szCs w:val="24"/>
        </w:rPr>
        <w:t>¿Y cuál es el déficit cuantitativo? ¿</w:t>
      </w:r>
      <w:r w:rsidR="00DD3650" w:rsidRPr="00E00F13">
        <w:rPr>
          <w:rFonts w:ascii="Arial" w:eastAsia="Segoe UI" w:hAnsi="Arial" w:cs="Arial"/>
          <w:sz w:val="24"/>
          <w:szCs w:val="24"/>
        </w:rPr>
        <w:t>C</w:t>
      </w:r>
      <w:r w:rsidRPr="00E00F13">
        <w:rPr>
          <w:rFonts w:ascii="Arial" w:eastAsia="Segoe UI" w:hAnsi="Arial" w:cs="Arial"/>
          <w:sz w:val="24"/>
          <w:szCs w:val="24"/>
        </w:rPr>
        <w:t>u</w:t>
      </w:r>
      <w:r w:rsidR="00DD3650" w:rsidRPr="00E00F13">
        <w:rPr>
          <w:rFonts w:ascii="Arial" w:eastAsia="Segoe UI" w:hAnsi="Arial" w:cs="Arial"/>
          <w:sz w:val="24"/>
          <w:szCs w:val="24"/>
        </w:rPr>
        <w:t>á</w:t>
      </w:r>
      <w:r w:rsidRPr="00E00F13">
        <w:rPr>
          <w:rFonts w:ascii="Arial" w:eastAsia="Segoe UI" w:hAnsi="Arial" w:cs="Arial"/>
          <w:sz w:val="24"/>
          <w:szCs w:val="24"/>
        </w:rPr>
        <w:t>ntas viviendas nuevas se necesitan? ¿</w:t>
      </w:r>
      <w:r w:rsidR="00DD3650" w:rsidRPr="00E00F13">
        <w:rPr>
          <w:rFonts w:ascii="Arial" w:eastAsia="Segoe UI" w:hAnsi="Arial" w:cs="Arial"/>
          <w:sz w:val="24"/>
          <w:szCs w:val="24"/>
        </w:rPr>
        <w:t>Q</w:t>
      </w:r>
      <w:r w:rsidRPr="00E00F13">
        <w:rPr>
          <w:rFonts w:ascii="Arial" w:eastAsia="Segoe UI" w:hAnsi="Arial" w:cs="Arial"/>
          <w:sz w:val="24"/>
          <w:szCs w:val="24"/>
        </w:rPr>
        <w:t>ué tipo de viviend</w:t>
      </w:r>
      <w:r w:rsidR="00DD3650" w:rsidRPr="00E00F13">
        <w:rPr>
          <w:rFonts w:ascii="Arial" w:eastAsia="Segoe UI" w:hAnsi="Arial" w:cs="Arial"/>
          <w:sz w:val="24"/>
          <w:szCs w:val="24"/>
        </w:rPr>
        <w:t xml:space="preserve">a: </w:t>
      </w:r>
      <w:r w:rsidRPr="00E00F13">
        <w:rPr>
          <w:rFonts w:ascii="Arial" w:eastAsia="Segoe UI" w:hAnsi="Arial" w:cs="Arial"/>
          <w:sz w:val="24"/>
          <w:szCs w:val="24"/>
        </w:rPr>
        <w:t>vivienda bioclimática, diferencial, palafítica</w:t>
      </w:r>
      <w:r w:rsidR="00DD3650" w:rsidRPr="00E00F13">
        <w:rPr>
          <w:rFonts w:ascii="Arial" w:eastAsia="Segoe UI" w:hAnsi="Arial" w:cs="Arial"/>
          <w:sz w:val="24"/>
          <w:szCs w:val="24"/>
        </w:rPr>
        <w:t xml:space="preserve">? No basta ni conduce a la solución hablar de vivienda nueva sin saber a qué se está haciendo referencia. </w:t>
      </w:r>
      <w:r w:rsidRPr="00E00F13">
        <w:rPr>
          <w:rFonts w:ascii="Arial" w:eastAsia="Segoe UI" w:hAnsi="Arial" w:cs="Arial"/>
          <w:sz w:val="24"/>
          <w:szCs w:val="24"/>
        </w:rPr>
        <w:t xml:space="preserve"> </w:t>
      </w:r>
      <w:r w:rsidR="007D503A" w:rsidRPr="00E00F13">
        <w:rPr>
          <w:rFonts w:ascii="Arial" w:eastAsia="Segoe UI" w:hAnsi="Arial" w:cs="Arial"/>
          <w:sz w:val="24"/>
          <w:szCs w:val="24"/>
        </w:rPr>
        <w:t>L</w:t>
      </w:r>
      <w:r w:rsidR="00DD3650" w:rsidRPr="00E00F13">
        <w:rPr>
          <w:rFonts w:ascii="Arial" w:eastAsia="Segoe UI" w:hAnsi="Arial" w:cs="Arial"/>
          <w:sz w:val="24"/>
          <w:szCs w:val="24"/>
        </w:rPr>
        <w:t>o importante es determinar: la vivienda nueva con relación a qué, en conexión con qué contexto. La relación de</w:t>
      </w:r>
      <w:r w:rsidRPr="00E00F13">
        <w:rPr>
          <w:rFonts w:ascii="Arial" w:eastAsia="Segoe UI" w:hAnsi="Arial" w:cs="Arial"/>
          <w:sz w:val="24"/>
          <w:szCs w:val="24"/>
        </w:rPr>
        <w:t xml:space="preserve"> los servicios ecosistémicos con</w:t>
      </w:r>
      <w:r w:rsidR="00DD3650" w:rsidRPr="00E00F13">
        <w:rPr>
          <w:rFonts w:ascii="Arial" w:eastAsia="Segoe UI" w:hAnsi="Arial" w:cs="Arial"/>
          <w:sz w:val="24"/>
          <w:szCs w:val="24"/>
        </w:rPr>
        <w:t xml:space="preserve">, por </w:t>
      </w:r>
      <w:r w:rsidRPr="00E00F13">
        <w:rPr>
          <w:rFonts w:ascii="Arial" w:eastAsia="Segoe UI" w:hAnsi="Arial" w:cs="Arial"/>
          <w:sz w:val="24"/>
          <w:szCs w:val="24"/>
        </w:rPr>
        <w:t>ejemplo, el ordenamiento territorial alrededor del agua</w:t>
      </w:r>
      <w:r w:rsidR="00DD3650" w:rsidRPr="00E00F13">
        <w:rPr>
          <w:rFonts w:ascii="Arial" w:eastAsia="Segoe UI" w:hAnsi="Arial" w:cs="Arial"/>
          <w:sz w:val="24"/>
          <w:szCs w:val="24"/>
        </w:rPr>
        <w:t>,</w:t>
      </w:r>
      <w:r w:rsidRPr="00E00F13">
        <w:rPr>
          <w:rFonts w:ascii="Arial" w:eastAsia="Segoe UI" w:hAnsi="Arial" w:cs="Arial"/>
          <w:sz w:val="24"/>
          <w:szCs w:val="24"/>
        </w:rPr>
        <w:t xml:space="preserve"> o con</w:t>
      </w:r>
      <w:r w:rsidR="00DD3650" w:rsidRPr="00E00F13">
        <w:rPr>
          <w:rFonts w:ascii="Arial" w:eastAsia="Segoe UI" w:hAnsi="Arial" w:cs="Arial"/>
          <w:sz w:val="24"/>
          <w:szCs w:val="24"/>
        </w:rPr>
        <w:t xml:space="preserve"> s</w:t>
      </w:r>
      <w:r w:rsidRPr="00E00F13">
        <w:rPr>
          <w:rFonts w:ascii="Arial" w:eastAsia="Segoe UI" w:hAnsi="Arial" w:cs="Arial"/>
          <w:sz w:val="24"/>
          <w:szCs w:val="24"/>
        </w:rPr>
        <w:t>ervicios ambientales</w:t>
      </w:r>
      <w:r w:rsidR="00DD3650" w:rsidRPr="00E00F13">
        <w:rPr>
          <w:rFonts w:ascii="Arial" w:eastAsia="Segoe UI" w:hAnsi="Arial" w:cs="Arial"/>
          <w:sz w:val="24"/>
          <w:szCs w:val="24"/>
        </w:rPr>
        <w:t>, o con</w:t>
      </w:r>
      <w:r w:rsidRPr="00E00F13">
        <w:rPr>
          <w:rFonts w:ascii="Arial" w:eastAsia="Segoe UI" w:hAnsi="Arial" w:cs="Arial"/>
          <w:sz w:val="24"/>
          <w:szCs w:val="24"/>
        </w:rPr>
        <w:t xml:space="preserve"> servicios culturales. </w:t>
      </w:r>
    </w:p>
    <w:p w14:paraId="0E367107" w14:textId="77777777" w:rsidR="00BC3E72" w:rsidRPr="00E00F13" w:rsidRDefault="00BC3E72" w:rsidP="00CB4964">
      <w:pPr>
        <w:spacing w:after="0" w:line="360" w:lineRule="auto"/>
        <w:jc w:val="both"/>
        <w:rPr>
          <w:rFonts w:ascii="Arial" w:eastAsia="Segoe UI" w:hAnsi="Arial" w:cs="Arial"/>
          <w:sz w:val="24"/>
          <w:szCs w:val="24"/>
        </w:rPr>
      </w:pPr>
    </w:p>
    <w:p w14:paraId="31D4F228" w14:textId="49F158CE" w:rsidR="00BC3E72" w:rsidRPr="00E00F13" w:rsidRDefault="00713A53" w:rsidP="00CB4964">
      <w:pPr>
        <w:spacing w:after="0" w:line="360" w:lineRule="auto"/>
        <w:jc w:val="both"/>
        <w:rPr>
          <w:rFonts w:ascii="Arial" w:eastAsia="Segoe UI" w:hAnsi="Arial" w:cs="Arial"/>
          <w:sz w:val="24"/>
          <w:szCs w:val="24"/>
        </w:rPr>
      </w:pPr>
      <w:r w:rsidRPr="00E00F13">
        <w:rPr>
          <w:rFonts w:ascii="Arial" w:eastAsia="Segoe UI" w:hAnsi="Arial" w:cs="Arial"/>
          <w:sz w:val="24"/>
          <w:szCs w:val="24"/>
        </w:rPr>
        <w:t xml:space="preserve">Es decir, </w:t>
      </w:r>
      <w:r w:rsidR="00DD3650" w:rsidRPr="00E00F13">
        <w:rPr>
          <w:rFonts w:ascii="Arial" w:eastAsia="Segoe UI" w:hAnsi="Arial" w:cs="Arial"/>
          <w:sz w:val="24"/>
          <w:szCs w:val="24"/>
        </w:rPr>
        <w:t>se parte</w:t>
      </w:r>
      <w:r w:rsidRPr="00E00F13">
        <w:rPr>
          <w:rFonts w:ascii="Arial" w:eastAsia="Segoe UI" w:hAnsi="Arial" w:cs="Arial"/>
          <w:sz w:val="24"/>
          <w:szCs w:val="24"/>
        </w:rPr>
        <w:t xml:space="preserve"> del hecho de que el paradigma de la medición del déficit tiene que superar la unidad de vivienda </w:t>
      </w:r>
      <w:r w:rsidR="00DD3650" w:rsidRPr="00E00F13">
        <w:rPr>
          <w:rFonts w:ascii="Arial" w:eastAsia="Segoe UI" w:hAnsi="Arial" w:cs="Arial"/>
          <w:sz w:val="24"/>
          <w:szCs w:val="24"/>
        </w:rPr>
        <w:t>para</w:t>
      </w:r>
      <w:r w:rsidRPr="00E00F13">
        <w:rPr>
          <w:rFonts w:ascii="Arial" w:eastAsia="Segoe UI" w:hAnsi="Arial" w:cs="Arial"/>
          <w:sz w:val="24"/>
          <w:szCs w:val="24"/>
        </w:rPr>
        <w:t xml:space="preserve"> entender qu</w:t>
      </w:r>
      <w:r w:rsidR="00DD3650" w:rsidRPr="00E00F13">
        <w:rPr>
          <w:rFonts w:ascii="Arial" w:eastAsia="Segoe UI" w:hAnsi="Arial" w:cs="Arial"/>
          <w:sz w:val="24"/>
          <w:szCs w:val="24"/>
        </w:rPr>
        <w:t>e en el país</w:t>
      </w:r>
      <w:r w:rsidRPr="00E00F13">
        <w:rPr>
          <w:rFonts w:ascii="Arial" w:eastAsia="Segoe UI" w:hAnsi="Arial" w:cs="Arial"/>
          <w:sz w:val="24"/>
          <w:szCs w:val="24"/>
        </w:rPr>
        <w:t xml:space="preserve"> existen </w:t>
      </w:r>
      <w:r w:rsidR="007D503A" w:rsidRPr="00E00F13">
        <w:rPr>
          <w:rFonts w:ascii="Arial" w:eastAsia="Segoe UI" w:hAnsi="Arial" w:cs="Arial"/>
          <w:sz w:val="24"/>
          <w:szCs w:val="24"/>
        </w:rPr>
        <w:t xml:space="preserve">diversos tipos </w:t>
      </w:r>
      <w:r w:rsidRPr="00E00F13">
        <w:rPr>
          <w:rFonts w:ascii="Arial" w:eastAsia="Segoe UI" w:hAnsi="Arial" w:cs="Arial"/>
          <w:sz w:val="24"/>
          <w:szCs w:val="24"/>
        </w:rPr>
        <w:t>de vivienda</w:t>
      </w:r>
      <w:r w:rsidR="00DD3650" w:rsidRPr="00E00F13">
        <w:rPr>
          <w:rFonts w:ascii="Arial" w:eastAsia="Segoe UI" w:hAnsi="Arial" w:cs="Arial"/>
          <w:sz w:val="24"/>
          <w:szCs w:val="24"/>
        </w:rPr>
        <w:t xml:space="preserve"> y formas de vida</w:t>
      </w:r>
      <w:r w:rsidR="00CB4964" w:rsidRPr="00E00F13">
        <w:rPr>
          <w:rFonts w:ascii="Arial" w:eastAsia="Segoe UI" w:hAnsi="Arial" w:cs="Arial"/>
          <w:sz w:val="24"/>
          <w:szCs w:val="24"/>
        </w:rPr>
        <w:t xml:space="preserve"> colectivas</w:t>
      </w:r>
      <w:r w:rsidRPr="00E00F13">
        <w:rPr>
          <w:rFonts w:ascii="Arial" w:eastAsia="Segoe UI" w:hAnsi="Arial" w:cs="Arial"/>
          <w:sz w:val="24"/>
          <w:szCs w:val="24"/>
        </w:rPr>
        <w:t>.</w:t>
      </w:r>
      <w:r w:rsidR="00BC3E72" w:rsidRPr="00E00F13">
        <w:rPr>
          <w:rFonts w:ascii="Arial" w:eastAsia="Segoe UI" w:hAnsi="Arial" w:cs="Arial"/>
          <w:sz w:val="24"/>
          <w:szCs w:val="24"/>
        </w:rPr>
        <w:t xml:space="preserve"> </w:t>
      </w:r>
      <w:r w:rsidR="00CB4964" w:rsidRPr="00E00F13">
        <w:rPr>
          <w:rFonts w:ascii="Arial" w:eastAsia="Segoe UI" w:hAnsi="Arial" w:cs="Arial"/>
          <w:sz w:val="24"/>
          <w:szCs w:val="24"/>
        </w:rPr>
        <w:t xml:space="preserve">Asimismo, que </w:t>
      </w:r>
      <w:r w:rsidR="007D503A" w:rsidRPr="00E00F13">
        <w:rPr>
          <w:rFonts w:ascii="Arial" w:eastAsia="Segoe UI" w:hAnsi="Arial" w:cs="Arial"/>
          <w:sz w:val="24"/>
          <w:szCs w:val="24"/>
        </w:rPr>
        <w:t>los tipos y</w:t>
      </w:r>
      <w:r w:rsidRPr="00E00F13">
        <w:rPr>
          <w:rFonts w:ascii="Arial" w:eastAsia="Segoe UI" w:hAnsi="Arial" w:cs="Arial"/>
          <w:sz w:val="24"/>
          <w:szCs w:val="24"/>
        </w:rPr>
        <w:t xml:space="preserve"> formas de vivienda </w:t>
      </w:r>
      <w:r w:rsidR="00CB4964" w:rsidRPr="00E00F13">
        <w:rPr>
          <w:rFonts w:ascii="Arial" w:eastAsia="Segoe UI" w:hAnsi="Arial" w:cs="Arial"/>
          <w:sz w:val="24"/>
          <w:szCs w:val="24"/>
        </w:rPr>
        <w:t xml:space="preserve">también </w:t>
      </w:r>
      <w:r w:rsidRPr="00E00F13">
        <w:rPr>
          <w:rFonts w:ascii="Arial" w:eastAsia="Segoe UI" w:hAnsi="Arial" w:cs="Arial"/>
          <w:sz w:val="24"/>
          <w:szCs w:val="24"/>
        </w:rPr>
        <w:t>contemplan una relación intrínseca con otros ecosistemas, por ejemplo</w:t>
      </w:r>
      <w:r w:rsidR="00CB4964" w:rsidRPr="00E00F13">
        <w:rPr>
          <w:rFonts w:ascii="Arial" w:eastAsia="Segoe UI" w:hAnsi="Arial" w:cs="Arial"/>
          <w:sz w:val="24"/>
          <w:szCs w:val="24"/>
        </w:rPr>
        <w:t>,</w:t>
      </w:r>
      <w:r w:rsidRPr="00E00F13">
        <w:rPr>
          <w:rFonts w:ascii="Arial" w:eastAsia="Segoe UI" w:hAnsi="Arial" w:cs="Arial"/>
          <w:sz w:val="24"/>
          <w:szCs w:val="24"/>
        </w:rPr>
        <w:t xml:space="preserve"> con el agua. </w:t>
      </w:r>
      <w:r w:rsidR="00CB4964" w:rsidRPr="00E00F13">
        <w:rPr>
          <w:rFonts w:ascii="Arial" w:eastAsia="Segoe UI" w:hAnsi="Arial" w:cs="Arial"/>
          <w:sz w:val="24"/>
          <w:szCs w:val="24"/>
        </w:rPr>
        <w:t>Lo</w:t>
      </w:r>
      <w:r w:rsidRPr="00E00F13">
        <w:rPr>
          <w:rFonts w:ascii="Arial" w:eastAsia="Segoe UI" w:hAnsi="Arial" w:cs="Arial"/>
          <w:sz w:val="24"/>
          <w:szCs w:val="24"/>
        </w:rPr>
        <w:t xml:space="preserve"> productivo tiene que ver</w:t>
      </w:r>
      <w:r w:rsidR="00BC3E72" w:rsidRPr="00E00F13">
        <w:rPr>
          <w:rFonts w:ascii="Arial" w:eastAsia="Segoe UI" w:hAnsi="Arial" w:cs="Arial"/>
          <w:sz w:val="24"/>
          <w:szCs w:val="24"/>
        </w:rPr>
        <w:t xml:space="preserve"> </w:t>
      </w:r>
      <w:r w:rsidRPr="00E00F13">
        <w:rPr>
          <w:rFonts w:ascii="Arial" w:eastAsia="Segoe UI" w:hAnsi="Arial" w:cs="Arial"/>
          <w:sz w:val="24"/>
          <w:szCs w:val="24"/>
        </w:rPr>
        <w:t>con vivienda productiva para</w:t>
      </w:r>
      <w:r w:rsidR="00CB4964" w:rsidRPr="00E00F13">
        <w:rPr>
          <w:rFonts w:ascii="Arial" w:eastAsia="Segoe UI" w:hAnsi="Arial" w:cs="Arial"/>
          <w:sz w:val="24"/>
          <w:szCs w:val="24"/>
        </w:rPr>
        <w:t xml:space="preserve"> el</w:t>
      </w:r>
      <w:r w:rsidRPr="00E00F13">
        <w:rPr>
          <w:rFonts w:ascii="Arial" w:eastAsia="Segoe UI" w:hAnsi="Arial" w:cs="Arial"/>
          <w:sz w:val="24"/>
          <w:szCs w:val="24"/>
        </w:rPr>
        <w:t xml:space="preserve"> campesinado, pero vivienda también para </w:t>
      </w:r>
      <w:proofErr w:type="gramStart"/>
      <w:r w:rsidRPr="00E00F13">
        <w:rPr>
          <w:rFonts w:ascii="Arial" w:eastAsia="Segoe UI" w:hAnsi="Arial" w:cs="Arial"/>
          <w:sz w:val="24"/>
          <w:szCs w:val="24"/>
        </w:rPr>
        <w:t>personas anfibias o sujetos anfibios</w:t>
      </w:r>
      <w:proofErr w:type="gramEnd"/>
      <w:r w:rsidR="00BC3E72" w:rsidRPr="00E00F13">
        <w:rPr>
          <w:rFonts w:ascii="Arial" w:eastAsia="Segoe UI" w:hAnsi="Arial" w:cs="Arial"/>
          <w:sz w:val="24"/>
          <w:szCs w:val="24"/>
        </w:rPr>
        <w:t xml:space="preserve">; esas son las </w:t>
      </w:r>
      <w:r w:rsidR="0091081C" w:rsidRPr="00E00F13">
        <w:rPr>
          <w:rFonts w:ascii="Arial" w:eastAsia="Segoe UI" w:hAnsi="Arial" w:cs="Arial"/>
          <w:sz w:val="24"/>
          <w:szCs w:val="24"/>
        </w:rPr>
        <w:t>vivienda</w:t>
      </w:r>
      <w:r w:rsidR="00BC3E72" w:rsidRPr="00E00F13">
        <w:rPr>
          <w:rFonts w:ascii="Arial" w:eastAsia="Segoe UI" w:hAnsi="Arial" w:cs="Arial"/>
          <w:sz w:val="24"/>
          <w:szCs w:val="24"/>
        </w:rPr>
        <w:t>s</w:t>
      </w:r>
      <w:r w:rsidR="0091081C" w:rsidRPr="00E00F13">
        <w:rPr>
          <w:rFonts w:ascii="Arial" w:eastAsia="Segoe UI" w:hAnsi="Arial" w:cs="Arial"/>
          <w:sz w:val="24"/>
          <w:szCs w:val="24"/>
        </w:rPr>
        <w:t xml:space="preserve"> para quienes viven en el río. Viviendas para personas que viven de la agricultura</w:t>
      </w:r>
      <w:r w:rsidR="00BC3E72" w:rsidRPr="00E00F13">
        <w:rPr>
          <w:rFonts w:ascii="Arial" w:eastAsia="Segoe UI" w:hAnsi="Arial" w:cs="Arial"/>
          <w:sz w:val="24"/>
          <w:szCs w:val="24"/>
        </w:rPr>
        <w:t xml:space="preserve"> también</w:t>
      </w:r>
      <w:r w:rsidR="0091081C" w:rsidRPr="00E00F13">
        <w:rPr>
          <w:rFonts w:ascii="Arial" w:eastAsia="Segoe UI" w:hAnsi="Arial" w:cs="Arial"/>
          <w:sz w:val="24"/>
          <w:szCs w:val="24"/>
        </w:rPr>
        <w:t xml:space="preserve"> tienen relación directa con el agua. </w:t>
      </w:r>
    </w:p>
    <w:p w14:paraId="220206A2" w14:textId="77777777" w:rsidR="00BC3E72" w:rsidRPr="00E00F13" w:rsidRDefault="00BC3E72" w:rsidP="00CB4964">
      <w:pPr>
        <w:spacing w:after="0" w:line="360" w:lineRule="auto"/>
        <w:jc w:val="both"/>
        <w:rPr>
          <w:rFonts w:ascii="Arial" w:eastAsia="Segoe UI" w:hAnsi="Arial" w:cs="Arial"/>
          <w:sz w:val="24"/>
          <w:szCs w:val="24"/>
        </w:rPr>
      </w:pPr>
    </w:p>
    <w:p w14:paraId="5664A66A" w14:textId="6483CF9D" w:rsidR="00713A53" w:rsidRPr="00E00F13" w:rsidRDefault="0091081C" w:rsidP="00CB4964">
      <w:pPr>
        <w:spacing w:after="0" w:line="360" w:lineRule="auto"/>
        <w:jc w:val="both"/>
        <w:rPr>
          <w:rFonts w:ascii="Arial" w:eastAsia="Segoe UI" w:hAnsi="Arial" w:cs="Arial"/>
          <w:sz w:val="24"/>
          <w:szCs w:val="24"/>
        </w:rPr>
      </w:pPr>
      <w:r w:rsidRPr="00E00F13">
        <w:rPr>
          <w:rFonts w:ascii="Arial" w:eastAsia="Segoe UI" w:hAnsi="Arial" w:cs="Arial"/>
          <w:sz w:val="24"/>
          <w:szCs w:val="24"/>
        </w:rPr>
        <w:t>Las distintas clases de viviendas sirven «para poner la cabeza donde dormir»</w:t>
      </w:r>
      <w:r w:rsidR="00BC3E72" w:rsidRPr="00E00F13">
        <w:rPr>
          <w:rFonts w:ascii="Arial" w:eastAsia="Segoe UI" w:hAnsi="Arial" w:cs="Arial"/>
          <w:sz w:val="24"/>
          <w:szCs w:val="24"/>
        </w:rPr>
        <w:t>. P</w:t>
      </w:r>
      <w:r w:rsidRPr="00E00F13">
        <w:rPr>
          <w:rFonts w:ascii="Arial" w:eastAsia="Segoe UI" w:hAnsi="Arial" w:cs="Arial"/>
          <w:sz w:val="24"/>
          <w:szCs w:val="24"/>
        </w:rPr>
        <w:t>ero el punto es que no todo el mundo duerme de la misma manera.</w:t>
      </w:r>
    </w:p>
    <w:p w14:paraId="2FC0A4A9" w14:textId="0C79AD15" w:rsidR="00BC3E72" w:rsidRPr="00E00F13" w:rsidRDefault="00BC3E72" w:rsidP="00CB4964">
      <w:pPr>
        <w:spacing w:after="0" w:line="360" w:lineRule="auto"/>
        <w:jc w:val="both"/>
        <w:rPr>
          <w:rFonts w:ascii="Arial" w:eastAsia="Segoe UI" w:hAnsi="Arial" w:cs="Arial"/>
          <w:sz w:val="24"/>
          <w:szCs w:val="24"/>
        </w:rPr>
      </w:pPr>
    </w:p>
    <w:p w14:paraId="77F03C99" w14:textId="70DE1929" w:rsidR="00B16FC5" w:rsidRPr="00E00F13" w:rsidRDefault="007D503A" w:rsidP="00B16FC5">
      <w:pPr>
        <w:spacing w:after="0" w:line="360" w:lineRule="auto"/>
        <w:jc w:val="both"/>
        <w:rPr>
          <w:rFonts w:ascii="Arial" w:eastAsia="Segoe UI" w:hAnsi="Arial" w:cs="Arial"/>
          <w:sz w:val="24"/>
          <w:szCs w:val="24"/>
        </w:rPr>
      </w:pPr>
      <w:r w:rsidRPr="00E00F13">
        <w:rPr>
          <w:rFonts w:ascii="Arial" w:eastAsia="Segoe UI" w:hAnsi="Arial" w:cs="Arial"/>
          <w:sz w:val="24"/>
          <w:szCs w:val="24"/>
        </w:rPr>
        <w:t xml:space="preserve">El Observatorio responde a la necesidad de cómo medir la realidad para que el cambio de paradigma sea posible. </w:t>
      </w:r>
      <w:r w:rsidR="00F75351" w:rsidRPr="00E00F13">
        <w:rPr>
          <w:rFonts w:ascii="Arial" w:eastAsia="Segoe UI" w:hAnsi="Arial" w:cs="Arial"/>
          <w:sz w:val="24"/>
          <w:szCs w:val="24"/>
        </w:rPr>
        <w:t>El Observatorio es necesario en cuanto permite tener información contrastable, verificable y permanente que permita reconocer y trabajar con esas otras visiones de la realidad. Por ello la medición de la realidad es fundamental porque es la que permite</w:t>
      </w:r>
      <w:r w:rsidR="00A77C41" w:rsidRPr="00E00F13">
        <w:rPr>
          <w:rFonts w:ascii="Arial" w:eastAsia="Segoe UI" w:hAnsi="Arial" w:cs="Arial"/>
          <w:sz w:val="24"/>
          <w:szCs w:val="24"/>
        </w:rPr>
        <w:t xml:space="preserve"> al MVCT</w:t>
      </w:r>
      <w:r w:rsidR="00F75351" w:rsidRPr="00E00F13">
        <w:rPr>
          <w:rFonts w:ascii="Arial" w:eastAsia="Segoe UI" w:hAnsi="Arial" w:cs="Arial"/>
          <w:sz w:val="24"/>
          <w:szCs w:val="24"/>
        </w:rPr>
        <w:t xml:space="preserve"> saber qué decisiones </w:t>
      </w:r>
      <w:r w:rsidR="00A77C41" w:rsidRPr="00E00F13">
        <w:rPr>
          <w:rFonts w:ascii="Arial" w:eastAsia="Segoe UI" w:hAnsi="Arial" w:cs="Arial"/>
          <w:sz w:val="24"/>
          <w:szCs w:val="24"/>
        </w:rPr>
        <w:t>debe</w:t>
      </w:r>
      <w:r w:rsidR="00F75351" w:rsidRPr="00E00F13">
        <w:rPr>
          <w:rFonts w:ascii="Arial" w:eastAsia="Segoe UI" w:hAnsi="Arial" w:cs="Arial"/>
          <w:sz w:val="24"/>
          <w:szCs w:val="24"/>
        </w:rPr>
        <w:t xml:space="preserve"> tomar para poder relacionarse con esa realidad.</w:t>
      </w:r>
      <w:r w:rsidR="005C34AD" w:rsidRPr="00E00F13">
        <w:rPr>
          <w:rFonts w:ascii="Arial" w:eastAsia="Segoe UI" w:hAnsi="Arial" w:cs="Arial"/>
          <w:sz w:val="24"/>
          <w:szCs w:val="24"/>
        </w:rPr>
        <w:t xml:space="preserve"> Responde a la pregunta de qué es lo que el MVCT necesita saber </w:t>
      </w:r>
      <w:r w:rsidRPr="00E00F13">
        <w:rPr>
          <w:rFonts w:ascii="Arial" w:eastAsia="Segoe UI" w:hAnsi="Arial" w:cs="Arial"/>
          <w:sz w:val="24"/>
          <w:szCs w:val="24"/>
        </w:rPr>
        <w:t xml:space="preserve">para determinar </w:t>
      </w:r>
      <w:r w:rsidR="005C34AD" w:rsidRPr="00E00F13">
        <w:rPr>
          <w:rFonts w:ascii="Arial" w:eastAsia="Segoe UI" w:hAnsi="Arial" w:cs="Arial"/>
          <w:sz w:val="24"/>
          <w:szCs w:val="24"/>
        </w:rPr>
        <w:t xml:space="preserve">dónde «meter la cabeza» en condiciones de dignidad. </w:t>
      </w:r>
      <w:r w:rsidR="00B16FC5" w:rsidRPr="00E00F13">
        <w:rPr>
          <w:rFonts w:ascii="Arial" w:eastAsia="Segoe UI" w:hAnsi="Arial" w:cs="Arial"/>
          <w:sz w:val="24"/>
          <w:szCs w:val="24"/>
        </w:rPr>
        <w:t>Sin información actualizada sobre el sector se tomarían decisiones de política pública sin saber en qué realidad estamos actuando.</w:t>
      </w:r>
    </w:p>
    <w:p w14:paraId="13783C33" w14:textId="06AA1F36" w:rsidR="00BF4985" w:rsidRPr="00E00F13" w:rsidRDefault="00BF4985" w:rsidP="00B16FC5">
      <w:pPr>
        <w:spacing w:after="0" w:line="360" w:lineRule="auto"/>
        <w:jc w:val="both"/>
        <w:rPr>
          <w:rFonts w:ascii="Arial" w:eastAsia="Segoe UI" w:hAnsi="Arial" w:cs="Arial"/>
          <w:sz w:val="24"/>
          <w:szCs w:val="24"/>
        </w:rPr>
      </w:pPr>
    </w:p>
    <w:p w14:paraId="477C1450" w14:textId="35CF6FFF" w:rsidR="00BF4985" w:rsidRPr="00E00F13" w:rsidRDefault="00BF4985" w:rsidP="00BF4985">
      <w:pPr>
        <w:spacing w:after="0" w:line="360" w:lineRule="auto"/>
        <w:jc w:val="both"/>
        <w:rPr>
          <w:rFonts w:ascii="Arial" w:eastAsia="Segoe UI" w:hAnsi="Arial" w:cs="Arial"/>
          <w:sz w:val="24"/>
          <w:szCs w:val="24"/>
        </w:rPr>
      </w:pPr>
      <w:r w:rsidRPr="00E00F13">
        <w:rPr>
          <w:rFonts w:ascii="Arial" w:eastAsia="Segoe UI" w:hAnsi="Arial" w:cs="Arial"/>
          <w:sz w:val="24"/>
          <w:szCs w:val="24"/>
        </w:rPr>
        <w:t>Es preciso aclarar que el Observatorio no tiene que ver solamente con la producción de reporte de información, porque esa responsabilidad sigue siendo de la Oficina Asesora de Planeación del MVCT, sino que va más allá del reporte de información o de ser un repositorio de datos, sino que es una estrategia de gobernanza de la información. Y como estrategia de gobernanza de la información, ofrece lineamientos y acompañamiento en términos de la estructura de la información, en clave de su uso y de su funcionalidad interna.</w:t>
      </w:r>
    </w:p>
    <w:p w14:paraId="7DA16F81" w14:textId="353F9D80" w:rsidR="007D503A" w:rsidRPr="00E00F13" w:rsidRDefault="007D503A" w:rsidP="00B16FC5">
      <w:pPr>
        <w:spacing w:after="0" w:line="360" w:lineRule="auto"/>
        <w:jc w:val="both"/>
        <w:rPr>
          <w:rFonts w:ascii="Arial" w:eastAsia="Segoe UI" w:hAnsi="Arial" w:cs="Arial"/>
          <w:sz w:val="24"/>
          <w:szCs w:val="24"/>
        </w:rPr>
      </w:pPr>
    </w:p>
    <w:p w14:paraId="648A183B" w14:textId="63B46E7C" w:rsidR="007D503A" w:rsidRPr="00E00F13" w:rsidRDefault="00CD492D" w:rsidP="00222376">
      <w:pPr>
        <w:pStyle w:val="Ttulo3"/>
        <w:rPr>
          <w:rFonts w:eastAsia="Segoe UI"/>
          <w:color w:val="auto"/>
        </w:rPr>
      </w:pPr>
      <w:r w:rsidRPr="00E00F13">
        <w:rPr>
          <w:rFonts w:eastAsia="Segoe UI"/>
          <w:color w:val="auto"/>
        </w:rPr>
        <w:tab/>
      </w:r>
      <w:bookmarkStart w:id="163" w:name="_Toc234242886"/>
      <w:r w:rsidR="00171430" w:rsidRPr="00E00F13">
        <w:rPr>
          <w:rFonts w:eastAsia="Segoe UI"/>
          <w:color w:val="auto"/>
        </w:rPr>
        <w:t>Reto</w:t>
      </w:r>
      <w:bookmarkEnd w:id="163"/>
    </w:p>
    <w:p w14:paraId="073A1FD4" w14:textId="3F1D2794" w:rsidR="00171430" w:rsidRPr="00E00F13" w:rsidRDefault="00171430" w:rsidP="00171430">
      <w:pPr>
        <w:spacing w:after="0" w:line="360" w:lineRule="auto"/>
        <w:jc w:val="both"/>
        <w:rPr>
          <w:rFonts w:ascii="Arial" w:hAnsi="Arial" w:cs="Arial"/>
          <w:sz w:val="24"/>
          <w:szCs w:val="24"/>
        </w:rPr>
      </w:pPr>
      <w:r w:rsidRPr="00E00F13">
        <w:rPr>
          <w:rFonts w:ascii="Arial" w:hAnsi="Arial" w:cs="Arial"/>
          <w:sz w:val="24"/>
          <w:szCs w:val="24"/>
        </w:rPr>
        <w:t xml:space="preserve">Es un reto para el Observatorio contar con los datos que permitan responder a su misionalidad. Es así </w:t>
      </w:r>
      <w:proofErr w:type="gramStart"/>
      <w:r w:rsidRPr="00E00F13">
        <w:rPr>
          <w:rFonts w:ascii="Arial" w:hAnsi="Arial" w:cs="Arial"/>
          <w:sz w:val="24"/>
          <w:szCs w:val="24"/>
        </w:rPr>
        <w:t>que</w:t>
      </w:r>
      <w:proofErr w:type="gramEnd"/>
      <w:r w:rsidRPr="00E00F13">
        <w:rPr>
          <w:rFonts w:ascii="Arial" w:hAnsi="Arial" w:cs="Arial"/>
          <w:sz w:val="24"/>
          <w:szCs w:val="24"/>
        </w:rPr>
        <w:t xml:space="preserve"> se hace necesario establecer mecanismos de validación de la información que produce el Observatorio en clave del aporte de indicadores del Departamento Nacional de Planeación (DNP). Si se logra que el DNP entienda la importancia de la medición del tipo de información, el Observatorio se convertiría en un aliado estratégico, pilar o un soporte para las acciones de seguimiento, acompañamiento e implementación de política del DNP.</w:t>
      </w:r>
    </w:p>
    <w:p w14:paraId="5C842ABC" w14:textId="72084E58" w:rsidR="00171430" w:rsidRPr="00E00F13" w:rsidRDefault="00171430" w:rsidP="00171430">
      <w:pPr>
        <w:spacing w:after="0" w:line="360" w:lineRule="auto"/>
        <w:jc w:val="both"/>
        <w:rPr>
          <w:rFonts w:ascii="Arial" w:hAnsi="Arial" w:cs="Arial"/>
          <w:sz w:val="24"/>
          <w:szCs w:val="24"/>
        </w:rPr>
      </w:pPr>
    </w:p>
    <w:p w14:paraId="686D65B9" w14:textId="382A0DE9" w:rsidR="00682626" w:rsidRPr="00E00F13" w:rsidRDefault="00456E73" w:rsidP="00222376">
      <w:pPr>
        <w:spacing w:after="0" w:line="360" w:lineRule="auto"/>
        <w:jc w:val="both"/>
        <w:rPr>
          <w:rFonts w:ascii="Arial" w:hAnsi="Arial" w:cs="Arial"/>
          <w:sz w:val="24"/>
          <w:szCs w:val="24"/>
        </w:rPr>
      </w:pPr>
      <w:r w:rsidRPr="00E00F13">
        <w:rPr>
          <w:rFonts w:ascii="Arial" w:hAnsi="Arial" w:cs="Arial"/>
          <w:sz w:val="24"/>
          <w:szCs w:val="24"/>
        </w:rPr>
        <w:t>También es un reto que al interior del Ministerio se entienda el propósito del Observatorio como instancia para pensar en el tipo de información para medir las transformaciones a partir de los elementos que contienen el cambio de paradigma.</w:t>
      </w:r>
      <w:r w:rsidR="00682626" w:rsidRPr="00E00F13">
        <w:rPr>
          <w:rFonts w:ascii="Arial" w:hAnsi="Arial" w:cs="Arial"/>
          <w:sz w:val="24"/>
          <w:szCs w:val="24"/>
        </w:rPr>
        <w:t xml:space="preserve"> </w:t>
      </w:r>
      <w:r w:rsidR="00682626" w:rsidRPr="00E00F13">
        <w:rPr>
          <w:rFonts w:ascii="Arial" w:hAnsi="Arial" w:cs="Arial"/>
          <w:sz w:val="24"/>
          <w:szCs w:val="24"/>
        </w:rPr>
        <w:lastRenderedPageBreak/>
        <w:t xml:space="preserve">Durante el proceso de construcción del Observatorio no fue difícil darse cuenta </w:t>
      </w:r>
      <w:proofErr w:type="gramStart"/>
      <w:r w:rsidR="00682626" w:rsidRPr="00E00F13">
        <w:rPr>
          <w:rFonts w:ascii="Arial" w:hAnsi="Arial" w:cs="Arial"/>
          <w:sz w:val="24"/>
          <w:szCs w:val="24"/>
        </w:rPr>
        <w:t>que</w:t>
      </w:r>
      <w:proofErr w:type="gramEnd"/>
      <w:r w:rsidR="00682626" w:rsidRPr="00E00F13">
        <w:rPr>
          <w:rFonts w:ascii="Arial" w:hAnsi="Arial" w:cs="Arial"/>
          <w:sz w:val="24"/>
          <w:szCs w:val="24"/>
        </w:rPr>
        <w:t xml:space="preserve"> el país no se conoce a sí mismo. Los datos </w:t>
      </w:r>
      <w:r w:rsidR="00DB7F6D" w:rsidRPr="00E00F13">
        <w:rPr>
          <w:rFonts w:ascii="Arial" w:hAnsi="Arial" w:cs="Arial"/>
          <w:sz w:val="24"/>
          <w:szCs w:val="24"/>
        </w:rPr>
        <w:t xml:space="preserve">usualmente están en función de parámetros tradicionales de medición por déficit cuantitativo, pero no con los nuevos elementos con los que se deben medir las políticas, que son más integrales que lo estrictamente cuantitativo. El país debe conocerse a sí mismo para conocer </w:t>
      </w:r>
      <w:r w:rsidR="00222376" w:rsidRPr="00E00F13">
        <w:rPr>
          <w:rFonts w:ascii="Arial" w:hAnsi="Arial" w:cs="Arial"/>
          <w:sz w:val="24"/>
          <w:szCs w:val="24"/>
        </w:rPr>
        <w:t xml:space="preserve">cuáles </w:t>
      </w:r>
      <w:r w:rsidR="00DB7F6D" w:rsidRPr="00E00F13">
        <w:rPr>
          <w:rFonts w:ascii="Arial" w:hAnsi="Arial" w:cs="Arial"/>
          <w:sz w:val="24"/>
          <w:szCs w:val="24"/>
        </w:rPr>
        <w:t>son las</w:t>
      </w:r>
      <w:r w:rsidR="00682626" w:rsidRPr="00E00F13">
        <w:rPr>
          <w:rFonts w:ascii="Arial" w:hAnsi="Arial" w:cs="Arial"/>
          <w:sz w:val="24"/>
          <w:szCs w:val="24"/>
        </w:rPr>
        <w:t xml:space="preserve"> transformaciones que necesitamos. </w:t>
      </w:r>
    </w:p>
    <w:p w14:paraId="43B27576" w14:textId="47E469F6" w:rsidR="00BF4985" w:rsidRPr="00E00F13" w:rsidRDefault="00BF4985" w:rsidP="00171430">
      <w:pPr>
        <w:spacing w:after="0" w:line="360" w:lineRule="auto"/>
        <w:jc w:val="both"/>
        <w:rPr>
          <w:rFonts w:ascii="Arial" w:hAnsi="Arial" w:cs="Arial"/>
          <w:sz w:val="24"/>
          <w:szCs w:val="24"/>
        </w:rPr>
      </w:pPr>
    </w:p>
    <w:p w14:paraId="3B5D595D" w14:textId="77777777" w:rsidR="00171430" w:rsidRPr="00E00F13" w:rsidRDefault="00171430" w:rsidP="00B16FC5">
      <w:pPr>
        <w:spacing w:after="0" w:line="360" w:lineRule="auto"/>
        <w:jc w:val="both"/>
        <w:rPr>
          <w:rFonts w:ascii="Arial" w:eastAsia="Segoe UI" w:hAnsi="Arial" w:cs="Arial"/>
          <w:sz w:val="24"/>
          <w:szCs w:val="24"/>
        </w:rPr>
      </w:pPr>
    </w:p>
    <w:p w14:paraId="74D49505" w14:textId="1A65DDB9" w:rsidR="009C6BEB" w:rsidRPr="00E00F13" w:rsidRDefault="009C6BEB" w:rsidP="003F26BE">
      <w:pPr>
        <w:spacing w:after="0" w:line="360" w:lineRule="auto"/>
        <w:jc w:val="both"/>
        <w:rPr>
          <w:rFonts w:ascii="Arial" w:hAnsi="Arial" w:cs="Arial"/>
          <w:sz w:val="24"/>
          <w:szCs w:val="24"/>
        </w:rPr>
      </w:pPr>
    </w:p>
    <w:p w14:paraId="50F7D441" w14:textId="4E96977B" w:rsidR="009C6BEB" w:rsidRPr="00E00F13" w:rsidRDefault="009C6BEB" w:rsidP="003F26BE">
      <w:pPr>
        <w:spacing w:after="0" w:line="360" w:lineRule="auto"/>
        <w:jc w:val="both"/>
        <w:rPr>
          <w:rFonts w:ascii="Arial" w:hAnsi="Arial" w:cs="Arial"/>
          <w:sz w:val="24"/>
          <w:szCs w:val="24"/>
        </w:rPr>
      </w:pPr>
    </w:p>
    <w:p w14:paraId="023E29AC" w14:textId="25D152C0" w:rsidR="009C6BEB" w:rsidRPr="00E00F13" w:rsidRDefault="009C6BEB" w:rsidP="003F26BE">
      <w:pPr>
        <w:spacing w:after="0" w:line="360" w:lineRule="auto"/>
        <w:jc w:val="both"/>
        <w:rPr>
          <w:rFonts w:ascii="Arial" w:hAnsi="Arial" w:cs="Arial"/>
          <w:sz w:val="24"/>
          <w:szCs w:val="24"/>
        </w:rPr>
      </w:pPr>
    </w:p>
    <w:p w14:paraId="6A604A1F" w14:textId="1BFF754C" w:rsidR="009C6BEB" w:rsidRPr="00E00F13" w:rsidRDefault="009C6BEB" w:rsidP="003F26BE">
      <w:pPr>
        <w:spacing w:after="0" w:line="360" w:lineRule="auto"/>
        <w:jc w:val="both"/>
        <w:rPr>
          <w:rFonts w:ascii="Arial" w:hAnsi="Arial" w:cs="Arial"/>
          <w:sz w:val="24"/>
          <w:szCs w:val="24"/>
        </w:rPr>
      </w:pPr>
    </w:p>
    <w:p w14:paraId="3243ADD1" w14:textId="696FF028" w:rsidR="00CD492D" w:rsidRPr="00E00F13" w:rsidRDefault="00CD492D" w:rsidP="003F26BE">
      <w:pPr>
        <w:spacing w:after="0" w:line="360" w:lineRule="auto"/>
        <w:jc w:val="both"/>
        <w:rPr>
          <w:rFonts w:ascii="Arial" w:hAnsi="Arial" w:cs="Arial"/>
          <w:sz w:val="24"/>
          <w:szCs w:val="24"/>
        </w:rPr>
      </w:pPr>
    </w:p>
    <w:p w14:paraId="065D2872" w14:textId="026BB43E" w:rsidR="00CD492D" w:rsidRPr="00E00F13" w:rsidRDefault="00CD492D" w:rsidP="003F26BE">
      <w:pPr>
        <w:spacing w:after="0" w:line="360" w:lineRule="auto"/>
        <w:jc w:val="both"/>
        <w:rPr>
          <w:rFonts w:ascii="Arial" w:hAnsi="Arial" w:cs="Arial"/>
          <w:sz w:val="24"/>
          <w:szCs w:val="24"/>
        </w:rPr>
      </w:pPr>
    </w:p>
    <w:p w14:paraId="78EE6F2F" w14:textId="7D51A187" w:rsidR="00CD492D" w:rsidRPr="00E00F13" w:rsidRDefault="00CD492D" w:rsidP="003F26BE">
      <w:pPr>
        <w:spacing w:after="0" w:line="360" w:lineRule="auto"/>
        <w:jc w:val="both"/>
        <w:rPr>
          <w:rFonts w:ascii="Arial" w:hAnsi="Arial" w:cs="Arial"/>
          <w:sz w:val="24"/>
          <w:szCs w:val="24"/>
        </w:rPr>
      </w:pPr>
    </w:p>
    <w:p w14:paraId="3FAEA7D6" w14:textId="122C706E" w:rsidR="00CD492D" w:rsidRPr="00E00F13" w:rsidRDefault="00CD492D" w:rsidP="003F26BE">
      <w:pPr>
        <w:spacing w:after="0" w:line="360" w:lineRule="auto"/>
        <w:jc w:val="both"/>
        <w:rPr>
          <w:rFonts w:ascii="Arial" w:hAnsi="Arial" w:cs="Arial"/>
          <w:sz w:val="24"/>
          <w:szCs w:val="24"/>
        </w:rPr>
      </w:pPr>
    </w:p>
    <w:p w14:paraId="4DE1D552" w14:textId="7E37CD90" w:rsidR="00CD492D" w:rsidRPr="00E00F13" w:rsidRDefault="00CD492D" w:rsidP="003F26BE">
      <w:pPr>
        <w:spacing w:after="0" w:line="360" w:lineRule="auto"/>
        <w:jc w:val="both"/>
        <w:rPr>
          <w:rFonts w:ascii="Arial" w:hAnsi="Arial" w:cs="Arial"/>
          <w:sz w:val="24"/>
          <w:szCs w:val="24"/>
        </w:rPr>
      </w:pPr>
    </w:p>
    <w:p w14:paraId="3DD5F623" w14:textId="02FB49CF" w:rsidR="00CD492D" w:rsidRPr="00E00F13" w:rsidRDefault="00CD492D" w:rsidP="003F26BE">
      <w:pPr>
        <w:spacing w:after="0" w:line="360" w:lineRule="auto"/>
        <w:jc w:val="both"/>
        <w:rPr>
          <w:rFonts w:ascii="Arial" w:hAnsi="Arial" w:cs="Arial"/>
          <w:sz w:val="24"/>
          <w:szCs w:val="24"/>
        </w:rPr>
      </w:pPr>
    </w:p>
    <w:p w14:paraId="7D4B4889" w14:textId="64177DAD" w:rsidR="00CD492D" w:rsidRPr="00E00F13" w:rsidRDefault="00CD492D" w:rsidP="003F26BE">
      <w:pPr>
        <w:spacing w:after="0" w:line="360" w:lineRule="auto"/>
        <w:jc w:val="both"/>
        <w:rPr>
          <w:rFonts w:ascii="Arial" w:hAnsi="Arial" w:cs="Arial"/>
          <w:sz w:val="24"/>
          <w:szCs w:val="24"/>
        </w:rPr>
      </w:pPr>
    </w:p>
    <w:p w14:paraId="743D3CDF" w14:textId="3B2D8D8B" w:rsidR="00CD492D" w:rsidRPr="00E00F13" w:rsidRDefault="00CD492D" w:rsidP="003F26BE">
      <w:pPr>
        <w:spacing w:after="0" w:line="360" w:lineRule="auto"/>
        <w:jc w:val="both"/>
        <w:rPr>
          <w:rFonts w:ascii="Arial" w:hAnsi="Arial" w:cs="Arial"/>
          <w:sz w:val="24"/>
          <w:szCs w:val="24"/>
        </w:rPr>
      </w:pPr>
    </w:p>
    <w:p w14:paraId="5D9BD1FB" w14:textId="7EE0A67D" w:rsidR="00CD492D" w:rsidRPr="00E00F13" w:rsidRDefault="00CD492D" w:rsidP="003F26BE">
      <w:pPr>
        <w:spacing w:after="0" w:line="360" w:lineRule="auto"/>
        <w:jc w:val="both"/>
        <w:rPr>
          <w:rFonts w:ascii="Arial" w:hAnsi="Arial" w:cs="Arial"/>
          <w:sz w:val="24"/>
          <w:szCs w:val="24"/>
        </w:rPr>
      </w:pPr>
    </w:p>
    <w:p w14:paraId="0043E826" w14:textId="77777777" w:rsidR="00E87EC1" w:rsidRPr="00E00F13" w:rsidRDefault="00E87EC1" w:rsidP="003F26BE">
      <w:pPr>
        <w:spacing w:after="0" w:line="360" w:lineRule="auto"/>
        <w:jc w:val="both"/>
        <w:rPr>
          <w:rFonts w:ascii="Arial" w:hAnsi="Arial" w:cs="Arial"/>
          <w:sz w:val="24"/>
          <w:szCs w:val="24"/>
        </w:rPr>
      </w:pPr>
    </w:p>
    <w:p w14:paraId="0B6001D3" w14:textId="763CE89E" w:rsidR="00CD492D" w:rsidRPr="00E00F13" w:rsidRDefault="00CD492D" w:rsidP="003F26BE">
      <w:pPr>
        <w:spacing w:after="0" w:line="360" w:lineRule="auto"/>
        <w:jc w:val="both"/>
        <w:rPr>
          <w:rFonts w:ascii="Arial" w:hAnsi="Arial" w:cs="Arial"/>
          <w:sz w:val="24"/>
          <w:szCs w:val="24"/>
        </w:rPr>
      </w:pPr>
    </w:p>
    <w:p w14:paraId="19B4E472" w14:textId="45CD6CF5" w:rsidR="00CD492D" w:rsidRPr="00E00F13" w:rsidRDefault="00CD492D" w:rsidP="003F26BE">
      <w:pPr>
        <w:spacing w:after="0" w:line="360" w:lineRule="auto"/>
        <w:jc w:val="both"/>
        <w:rPr>
          <w:rFonts w:ascii="Arial" w:hAnsi="Arial" w:cs="Arial"/>
          <w:sz w:val="24"/>
          <w:szCs w:val="24"/>
        </w:rPr>
      </w:pPr>
    </w:p>
    <w:p w14:paraId="74D9C054" w14:textId="15B989D5" w:rsidR="00CD492D" w:rsidRPr="00E00F13" w:rsidRDefault="00CD492D" w:rsidP="003F26BE">
      <w:pPr>
        <w:spacing w:after="0" w:line="360" w:lineRule="auto"/>
        <w:jc w:val="both"/>
        <w:rPr>
          <w:rFonts w:ascii="Arial" w:hAnsi="Arial" w:cs="Arial"/>
          <w:sz w:val="24"/>
          <w:szCs w:val="24"/>
        </w:rPr>
      </w:pPr>
    </w:p>
    <w:p w14:paraId="09E95E77" w14:textId="01C9B848" w:rsidR="00CD492D" w:rsidRPr="00E00F13" w:rsidRDefault="00CD492D" w:rsidP="003F26BE">
      <w:pPr>
        <w:spacing w:after="0" w:line="360" w:lineRule="auto"/>
        <w:jc w:val="both"/>
        <w:rPr>
          <w:rFonts w:ascii="Arial" w:hAnsi="Arial" w:cs="Arial"/>
          <w:sz w:val="24"/>
          <w:szCs w:val="24"/>
        </w:rPr>
      </w:pPr>
    </w:p>
    <w:p w14:paraId="2A3BEA5B" w14:textId="0FA99FBA" w:rsidR="0056248B" w:rsidRPr="00E00F13" w:rsidRDefault="00722B98" w:rsidP="00CD492D">
      <w:pPr>
        <w:pStyle w:val="Ttulo1"/>
        <w:rPr>
          <w:color w:val="auto"/>
        </w:rPr>
      </w:pPr>
      <w:bookmarkStart w:id="164" w:name="_Toc234242887"/>
      <w:r w:rsidRPr="00E00F13">
        <w:rPr>
          <w:color w:val="auto"/>
        </w:rPr>
        <w:lastRenderedPageBreak/>
        <w:t>3</w:t>
      </w:r>
      <w:r w:rsidR="009C6BEB" w:rsidRPr="00E00F13">
        <w:rPr>
          <w:color w:val="auto"/>
        </w:rPr>
        <w:t xml:space="preserve">. </w:t>
      </w:r>
      <w:r w:rsidR="0056248B" w:rsidRPr="00E00F13">
        <w:rPr>
          <w:color w:val="auto"/>
        </w:rPr>
        <w:t>Ruta para la continuidad</w:t>
      </w:r>
      <w:bookmarkStart w:id="165" w:name="_Toc213341877"/>
      <w:r w:rsidR="00CD492D" w:rsidRPr="00E00F13">
        <w:rPr>
          <w:color w:val="auto"/>
        </w:rPr>
        <w:t xml:space="preserve">. </w:t>
      </w:r>
      <w:r w:rsidR="0056248B" w:rsidRPr="00E00F13">
        <w:rPr>
          <w:color w:val="auto"/>
        </w:rPr>
        <w:t>Lo que queda por delante: desafíos y complejidades</w:t>
      </w:r>
      <w:bookmarkEnd w:id="164"/>
      <w:bookmarkEnd w:id="165"/>
    </w:p>
    <w:p w14:paraId="6A9A37BF" w14:textId="77777777" w:rsidR="00B424AB" w:rsidRPr="00E00F13" w:rsidRDefault="00CD492D" w:rsidP="00163082">
      <w:pPr>
        <w:pStyle w:val="Ttulo3"/>
        <w:rPr>
          <w:color w:val="auto"/>
        </w:rPr>
      </w:pPr>
      <w:r w:rsidRPr="00E00F13">
        <w:rPr>
          <w:color w:val="auto"/>
        </w:rPr>
        <w:tab/>
      </w:r>
    </w:p>
    <w:p w14:paraId="139E7D70" w14:textId="76D87F58" w:rsidR="00163082" w:rsidRPr="00E00F13" w:rsidRDefault="00163082" w:rsidP="00163082">
      <w:pPr>
        <w:pStyle w:val="Ttulo3"/>
        <w:rPr>
          <w:color w:val="auto"/>
        </w:rPr>
      </w:pPr>
      <w:bookmarkStart w:id="166" w:name="_Toc234242888"/>
      <w:r w:rsidRPr="00E00F13">
        <w:rPr>
          <w:color w:val="auto"/>
        </w:rPr>
        <w:t>Implementación de los cambios normativos</w:t>
      </w:r>
      <w:bookmarkEnd w:id="166"/>
    </w:p>
    <w:p w14:paraId="0591F377" w14:textId="48083014" w:rsidR="00492F86" w:rsidRPr="00E00F13" w:rsidRDefault="00492F86" w:rsidP="00492F86">
      <w:pPr>
        <w:spacing w:after="0" w:line="360" w:lineRule="auto"/>
        <w:jc w:val="both"/>
        <w:rPr>
          <w:rFonts w:ascii="Arial" w:hAnsi="Arial" w:cs="Arial"/>
          <w:sz w:val="24"/>
          <w:szCs w:val="24"/>
        </w:rPr>
      </w:pPr>
      <w:r w:rsidRPr="00E00F13">
        <w:rPr>
          <w:rFonts w:ascii="Arial" w:hAnsi="Arial" w:cs="Arial"/>
          <w:sz w:val="24"/>
          <w:szCs w:val="24"/>
        </w:rPr>
        <w:t xml:space="preserve">El Ministerio logró instalar un nuevo paradigma: la vivienda como proceso social, </w:t>
      </w:r>
      <w:r w:rsidR="324DB8EE" w:rsidRPr="00E00F13">
        <w:rPr>
          <w:rFonts w:ascii="Arial" w:hAnsi="Arial" w:cs="Arial"/>
          <w:sz w:val="24"/>
          <w:szCs w:val="24"/>
        </w:rPr>
        <w:t>la gestión comunitaria d</w:t>
      </w:r>
      <w:r w:rsidRPr="00E00F13">
        <w:rPr>
          <w:rFonts w:ascii="Arial" w:hAnsi="Arial" w:cs="Arial"/>
          <w:sz w:val="24"/>
          <w:szCs w:val="24"/>
        </w:rPr>
        <w:t xml:space="preserve">el agua </w:t>
      </w:r>
      <w:r w:rsidR="675852B0" w:rsidRPr="00E00F13">
        <w:rPr>
          <w:rFonts w:ascii="Arial" w:hAnsi="Arial" w:cs="Arial"/>
          <w:sz w:val="24"/>
          <w:szCs w:val="24"/>
        </w:rPr>
        <w:t>para el consumo humano</w:t>
      </w:r>
      <w:r w:rsidR="002671AC" w:rsidRPr="00E00F13">
        <w:rPr>
          <w:rFonts w:ascii="Arial" w:hAnsi="Arial" w:cs="Arial"/>
          <w:sz w:val="24"/>
          <w:szCs w:val="24"/>
        </w:rPr>
        <w:t xml:space="preserve">, </w:t>
      </w:r>
      <w:r w:rsidR="4DAB4A62" w:rsidRPr="00E00F13">
        <w:rPr>
          <w:rFonts w:ascii="Arial" w:hAnsi="Arial" w:cs="Arial"/>
          <w:sz w:val="24"/>
          <w:szCs w:val="24"/>
        </w:rPr>
        <w:t>el</w:t>
      </w:r>
      <w:r w:rsidR="2AB0FD23" w:rsidRPr="00E00F13">
        <w:rPr>
          <w:rFonts w:ascii="Arial" w:hAnsi="Arial" w:cs="Arial"/>
          <w:sz w:val="24"/>
          <w:szCs w:val="24"/>
        </w:rPr>
        <w:t xml:space="preserve"> saneamiento básico</w:t>
      </w:r>
      <w:r w:rsidR="002671AC" w:rsidRPr="00E00F13">
        <w:rPr>
          <w:rFonts w:ascii="Arial" w:hAnsi="Arial" w:cs="Arial"/>
          <w:sz w:val="24"/>
          <w:szCs w:val="24"/>
        </w:rPr>
        <w:t xml:space="preserve"> como base para el fortalecimiento de la economía circular </w:t>
      </w:r>
      <w:r w:rsidRPr="00E00F13">
        <w:rPr>
          <w:rFonts w:ascii="Arial" w:hAnsi="Arial" w:cs="Arial"/>
          <w:sz w:val="24"/>
          <w:szCs w:val="24"/>
        </w:rPr>
        <w:t xml:space="preserve">y la </w:t>
      </w:r>
      <w:r w:rsidR="6564663E" w:rsidRPr="00E00F13">
        <w:rPr>
          <w:rFonts w:ascii="Arial" w:hAnsi="Arial" w:cs="Arial"/>
          <w:sz w:val="24"/>
          <w:szCs w:val="24"/>
        </w:rPr>
        <w:t>organización social</w:t>
      </w:r>
      <w:r w:rsidRPr="00E00F13">
        <w:rPr>
          <w:rFonts w:ascii="Arial" w:hAnsi="Arial" w:cs="Arial"/>
          <w:sz w:val="24"/>
          <w:szCs w:val="24"/>
        </w:rPr>
        <w:t xml:space="preserve"> como sujeto político</w:t>
      </w:r>
      <w:r w:rsidR="25FE63F8" w:rsidRPr="00E00F13">
        <w:rPr>
          <w:rFonts w:ascii="Arial" w:hAnsi="Arial" w:cs="Arial"/>
          <w:sz w:val="24"/>
          <w:szCs w:val="24"/>
        </w:rPr>
        <w:t xml:space="preserve"> de las transformaciones</w:t>
      </w:r>
      <w:r w:rsidRPr="00E00F13">
        <w:rPr>
          <w:rFonts w:ascii="Arial" w:hAnsi="Arial" w:cs="Arial"/>
          <w:sz w:val="24"/>
          <w:szCs w:val="24"/>
        </w:rPr>
        <w:t>.</w:t>
      </w:r>
    </w:p>
    <w:p w14:paraId="78867CEA" w14:textId="5A731770" w:rsidR="004C4BD7" w:rsidRPr="00E00F13" w:rsidRDefault="004C4BD7" w:rsidP="00492F86">
      <w:pPr>
        <w:spacing w:after="0" w:line="360" w:lineRule="auto"/>
        <w:jc w:val="both"/>
        <w:rPr>
          <w:rFonts w:ascii="Arial" w:hAnsi="Arial" w:cs="Arial"/>
          <w:sz w:val="24"/>
          <w:szCs w:val="24"/>
        </w:rPr>
      </w:pPr>
    </w:p>
    <w:p w14:paraId="02CE93A3" w14:textId="7BD18E03" w:rsidR="000B34A1" w:rsidRPr="00E00F13" w:rsidRDefault="004C4BD7" w:rsidP="004C4BD7">
      <w:pPr>
        <w:spacing w:after="0" w:line="360" w:lineRule="auto"/>
        <w:jc w:val="both"/>
        <w:rPr>
          <w:rFonts w:ascii="Arial" w:hAnsi="Arial" w:cs="Arial"/>
          <w:sz w:val="24"/>
          <w:szCs w:val="24"/>
        </w:rPr>
      </w:pPr>
      <w:r w:rsidRPr="00E00F13">
        <w:rPr>
          <w:rFonts w:ascii="Arial" w:hAnsi="Arial" w:cs="Arial"/>
          <w:sz w:val="24"/>
          <w:szCs w:val="24"/>
        </w:rPr>
        <w:t xml:space="preserve">Esta nueva visión </w:t>
      </w:r>
      <w:r w:rsidR="000B34A1" w:rsidRPr="00E00F13">
        <w:rPr>
          <w:rFonts w:ascii="Arial" w:hAnsi="Arial" w:cs="Arial"/>
          <w:sz w:val="24"/>
          <w:szCs w:val="24"/>
        </w:rPr>
        <w:t xml:space="preserve">fortalece las </w:t>
      </w:r>
      <w:r w:rsidR="0064713F" w:rsidRPr="00E00F13">
        <w:rPr>
          <w:rFonts w:ascii="Arial" w:hAnsi="Arial" w:cs="Arial"/>
          <w:sz w:val="24"/>
          <w:szCs w:val="24"/>
        </w:rPr>
        <w:t>gobernanzas</w:t>
      </w:r>
      <w:r w:rsidR="000B34A1" w:rsidRPr="00E00F13">
        <w:rPr>
          <w:rFonts w:ascii="Arial" w:hAnsi="Arial" w:cs="Arial"/>
          <w:sz w:val="24"/>
          <w:szCs w:val="24"/>
        </w:rPr>
        <w:t xml:space="preserve"> </w:t>
      </w:r>
      <w:r w:rsidR="0064713F" w:rsidRPr="00E00F13">
        <w:rPr>
          <w:rFonts w:ascii="Arial" w:hAnsi="Arial" w:cs="Arial"/>
          <w:sz w:val="24"/>
          <w:szCs w:val="24"/>
        </w:rPr>
        <w:t xml:space="preserve">locales </w:t>
      </w:r>
      <w:r w:rsidR="00837BCF" w:rsidRPr="00E00F13">
        <w:rPr>
          <w:rFonts w:ascii="Arial" w:hAnsi="Arial" w:cs="Arial"/>
          <w:sz w:val="24"/>
          <w:szCs w:val="24"/>
        </w:rPr>
        <w:t xml:space="preserve">y </w:t>
      </w:r>
      <w:r w:rsidR="00B9641D" w:rsidRPr="00E00F13">
        <w:rPr>
          <w:rFonts w:ascii="Arial" w:hAnsi="Arial" w:cs="Arial"/>
          <w:sz w:val="24"/>
          <w:szCs w:val="24"/>
        </w:rPr>
        <w:t xml:space="preserve">facilita </w:t>
      </w:r>
      <w:r w:rsidR="00EF04E9" w:rsidRPr="00E00F13">
        <w:rPr>
          <w:rFonts w:ascii="Arial" w:hAnsi="Arial" w:cs="Arial"/>
          <w:sz w:val="24"/>
          <w:szCs w:val="24"/>
        </w:rPr>
        <w:t>la implementación de modelos conve</w:t>
      </w:r>
      <w:r w:rsidR="00C5238C" w:rsidRPr="00E00F13">
        <w:rPr>
          <w:rFonts w:ascii="Arial" w:hAnsi="Arial" w:cs="Arial"/>
          <w:sz w:val="24"/>
          <w:szCs w:val="24"/>
        </w:rPr>
        <w:t>ncionales y diferenciales</w:t>
      </w:r>
      <w:r w:rsidR="003636E9" w:rsidRPr="00E00F13">
        <w:rPr>
          <w:rFonts w:ascii="Arial" w:hAnsi="Arial" w:cs="Arial"/>
          <w:sz w:val="24"/>
          <w:szCs w:val="24"/>
        </w:rPr>
        <w:t xml:space="preserve"> que respondan a las particularidades territoriales</w:t>
      </w:r>
      <w:r w:rsidR="00CD397C" w:rsidRPr="00E00F13">
        <w:rPr>
          <w:rFonts w:ascii="Arial" w:hAnsi="Arial" w:cs="Arial"/>
          <w:sz w:val="24"/>
          <w:szCs w:val="24"/>
        </w:rPr>
        <w:t>, en especial en escenarios de alta conflictividad social</w:t>
      </w:r>
      <w:r w:rsidR="004926B0" w:rsidRPr="00E00F13">
        <w:rPr>
          <w:rFonts w:ascii="Arial" w:hAnsi="Arial" w:cs="Arial"/>
          <w:sz w:val="24"/>
          <w:szCs w:val="24"/>
        </w:rPr>
        <w:t xml:space="preserve"> y armada</w:t>
      </w:r>
      <w:r w:rsidR="00B9641D" w:rsidRPr="00E00F13">
        <w:rPr>
          <w:rFonts w:ascii="Arial" w:hAnsi="Arial" w:cs="Arial"/>
          <w:sz w:val="24"/>
          <w:szCs w:val="24"/>
        </w:rPr>
        <w:t xml:space="preserve">. </w:t>
      </w:r>
      <w:r w:rsidR="004926B0" w:rsidRPr="00E00F13">
        <w:rPr>
          <w:rFonts w:ascii="Arial" w:hAnsi="Arial" w:cs="Arial"/>
          <w:sz w:val="24"/>
          <w:szCs w:val="24"/>
        </w:rPr>
        <w:t xml:space="preserve">Lo anterior, </w:t>
      </w:r>
      <w:r w:rsidR="00B52DCD" w:rsidRPr="00E00F13">
        <w:rPr>
          <w:rFonts w:ascii="Arial" w:hAnsi="Arial" w:cs="Arial"/>
          <w:sz w:val="24"/>
          <w:szCs w:val="24"/>
        </w:rPr>
        <w:t>a través de la movilización de las redes locales preexistentes, la vinculación de actores comunitarios y la generación de nuevas reglas de relacionamiento</w:t>
      </w:r>
      <w:r w:rsidR="00D26561" w:rsidRPr="00E00F13">
        <w:rPr>
          <w:rFonts w:ascii="Arial" w:hAnsi="Arial" w:cs="Arial"/>
          <w:sz w:val="24"/>
          <w:szCs w:val="24"/>
        </w:rPr>
        <w:t xml:space="preserve"> entre el MVCT</w:t>
      </w:r>
      <w:r w:rsidR="00A926ED" w:rsidRPr="00E00F13">
        <w:rPr>
          <w:rFonts w:ascii="Arial" w:hAnsi="Arial" w:cs="Arial"/>
          <w:sz w:val="24"/>
          <w:szCs w:val="24"/>
        </w:rPr>
        <w:t>, las</w:t>
      </w:r>
      <w:r w:rsidR="00505082" w:rsidRPr="00E00F13">
        <w:rPr>
          <w:rFonts w:ascii="Arial" w:hAnsi="Arial" w:cs="Arial"/>
          <w:sz w:val="24"/>
          <w:szCs w:val="24"/>
        </w:rPr>
        <w:t xml:space="preserve"> autoridades </w:t>
      </w:r>
      <w:r w:rsidR="009C421E" w:rsidRPr="00E00F13">
        <w:rPr>
          <w:rFonts w:ascii="Arial" w:hAnsi="Arial" w:cs="Arial"/>
          <w:sz w:val="24"/>
          <w:szCs w:val="24"/>
        </w:rPr>
        <w:t xml:space="preserve">locales y </w:t>
      </w:r>
      <w:r w:rsidR="00D26561" w:rsidRPr="00E00F13">
        <w:rPr>
          <w:rFonts w:ascii="Arial" w:hAnsi="Arial" w:cs="Arial"/>
          <w:sz w:val="24"/>
          <w:szCs w:val="24"/>
        </w:rPr>
        <w:t>la comunidad</w:t>
      </w:r>
      <w:r w:rsidR="00B52DCD" w:rsidRPr="00E00F13">
        <w:rPr>
          <w:rFonts w:ascii="Arial" w:hAnsi="Arial" w:cs="Arial"/>
          <w:sz w:val="24"/>
          <w:szCs w:val="24"/>
        </w:rPr>
        <w:t xml:space="preserve">, </w:t>
      </w:r>
      <w:r w:rsidR="00D12373" w:rsidRPr="00E00F13">
        <w:rPr>
          <w:rFonts w:ascii="Arial" w:hAnsi="Arial" w:cs="Arial"/>
          <w:sz w:val="24"/>
          <w:szCs w:val="24"/>
        </w:rPr>
        <w:t>creando</w:t>
      </w:r>
      <w:r w:rsidR="00936CD1" w:rsidRPr="00E00F13">
        <w:rPr>
          <w:rFonts w:ascii="Arial" w:hAnsi="Arial" w:cs="Arial"/>
          <w:sz w:val="24"/>
          <w:szCs w:val="24"/>
        </w:rPr>
        <w:t xml:space="preserve"> espacios para la economía popular y solidaria</w:t>
      </w:r>
      <w:r w:rsidR="009F3BBD" w:rsidRPr="00E00F13">
        <w:rPr>
          <w:rFonts w:ascii="Arial" w:hAnsi="Arial" w:cs="Arial"/>
          <w:sz w:val="24"/>
          <w:szCs w:val="24"/>
        </w:rPr>
        <w:t>;</w:t>
      </w:r>
      <w:r w:rsidR="00936CD1" w:rsidRPr="00E00F13">
        <w:rPr>
          <w:rFonts w:ascii="Arial" w:hAnsi="Arial" w:cs="Arial"/>
          <w:sz w:val="24"/>
          <w:szCs w:val="24"/>
        </w:rPr>
        <w:t xml:space="preserve"> </w:t>
      </w:r>
      <w:r w:rsidR="003A7175" w:rsidRPr="00E00F13">
        <w:rPr>
          <w:rFonts w:ascii="Arial" w:hAnsi="Arial" w:cs="Arial"/>
          <w:sz w:val="24"/>
          <w:szCs w:val="24"/>
        </w:rPr>
        <w:t>a</w:t>
      </w:r>
      <w:r w:rsidR="00936CD1" w:rsidRPr="00E00F13">
        <w:rPr>
          <w:rFonts w:ascii="Arial" w:hAnsi="Arial" w:cs="Arial"/>
          <w:sz w:val="24"/>
          <w:szCs w:val="24"/>
        </w:rPr>
        <w:t xml:space="preserve">cciones que en su conjunto </w:t>
      </w:r>
      <w:r w:rsidR="009F3BBD" w:rsidRPr="00E00F13">
        <w:rPr>
          <w:rFonts w:ascii="Arial" w:hAnsi="Arial" w:cs="Arial"/>
          <w:sz w:val="24"/>
          <w:szCs w:val="24"/>
        </w:rPr>
        <w:t>contribuyen</w:t>
      </w:r>
      <w:r w:rsidR="00936CD1" w:rsidRPr="00E00F13">
        <w:rPr>
          <w:rFonts w:ascii="Arial" w:hAnsi="Arial" w:cs="Arial"/>
          <w:sz w:val="24"/>
          <w:szCs w:val="24"/>
        </w:rPr>
        <w:t xml:space="preserve"> a dinámicas de construcción de paz.</w:t>
      </w:r>
    </w:p>
    <w:p w14:paraId="4B35C7B0" w14:textId="77777777" w:rsidR="00492F86" w:rsidRPr="00E00F13" w:rsidRDefault="00492F86" w:rsidP="00492F86">
      <w:pPr>
        <w:spacing w:after="0" w:line="360" w:lineRule="auto"/>
        <w:jc w:val="both"/>
        <w:rPr>
          <w:rFonts w:ascii="Arial" w:hAnsi="Arial" w:cs="Arial"/>
          <w:sz w:val="24"/>
          <w:szCs w:val="24"/>
        </w:rPr>
      </w:pPr>
    </w:p>
    <w:p w14:paraId="73DE4245" w14:textId="4BA7A935" w:rsidR="00492F86" w:rsidRPr="00E00F13" w:rsidRDefault="0967CD64" w:rsidP="00492F86">
      <w:pPr>
        <w:spacing w:after="0" w:line="360" w:lineRule="auto"/>
        <w:jc w:val="both"/>
        <w:rPr>
          <w:rFonts w:ascii="Arial" w:hAnsi="Arial" w:cs="Arial"/>
          <w:sz w:val="24"/>
          <w:szCs w:val="24"/>
        </w:rPr>
      </w:pPr>
      <w:r w:rsidRPr="00E00F13">
        <w:rPr>
          <w:rFonts w:ascii="Arial" w:hAnsi="Arial" w:cs="Arial"/>
          <w:sz w:val="24"/>
          <w:szCs w:val="24"/>
        </w:rPr>
        <w:t>El Ministerio</w:t>
      </w:r>
      <w:r w:rsidR="00492F86" w:rsidRPr="00E00F13">
        <w:rPr>
          <w:rFonts w:ascii="Arial" w:hAnsi="Arial" w:cs="Arial"/>
          <w:sz w:val="24"/>
          <w:szCs w:val="24"/>
        </w:rPr>
        <w:t xml:space="preserve"> consolidó un piso normativo y una metodología estatal para el relacionamiento comunitario y la ejecución territorial. De manera que los avances son sustantivos y sientan bases para otro tipo de política pública en viviend</w:t>
      </w:r>
      <w:r w:rsidR="001E152F" w:rsidRPr="00E00F13">
        <w:rPr>
          <w:rFonts w:ascii="Arial" w:hAnsi="Arial" w:cs="Arial"/>
          <w:sz w:val="24"/>
          <w:szCs w:val="24"/>
        </w:rPr>
        <w:t xml:space="preserve">a, </w:t>
      </w:r>
      <w:r w:rsidR="00492F86" w:rsidRPr="00E00F13">
        <w:rPr>
          <w:rFonts w:ascii="Arial" w:hAnsi="Arial" w:cs="Arial"/>
          <w:sz w:val="24"/>
          <w:szCs w:val="24"/>
        </w:rPr>
        <w:t>agua</w:t>
      </w:r>
      <w:r w:rsidR="001E152F" w:rsidRPr="00E00F13">
        <w:rPr>
          <w:rFonts w:ascii="Arial" w:hAnsi="Arial" w:cs="Arial"/>
          <w:sz w:val="24"/>
          <w:szCs w:val="24"/>
        </w:rPr>
        <w:t xml:space="preserve"> y saneamiento básico,</w:t>
      </w:r>
      <w:r w:rsidR="00492F86" w:rsidRPr="00E00F13">
        <w:rPr>
          <w:rFonts w:ascii="Arial" w:hAnsi="Arial" w:cs="Arial"/>
          <w:sz w:val="24"/>
          <w:szCs w:val="24"/>
        </w:rPr>
        <w:t xml:space="preserve"> pero la implementación requiere una segunda fase de construcción institucional</w:t>
      </w:r>
      <w:r w:rsidR="00502285" w:rsidRPr="00E00F13">
        <w:rPr>
          <w:rFonts w:ascii="Arial" w:hAnsi="Arial" w:cs="Arial"/>
          <w:sz w:val="24"/>
          <w:szCs w:val="24"/>
        </w:rPr>
        <w:t xml:space="preserve"> en lo relativo a la aplicación de la normativa a partir de manuales y metodologías que reglamenten lo escrito y den viabilidad operativa a la ejecución</w:t>
      </w:r>
      <w:r w:rsidR="00492F86" w:rsidRPr="00E00F13">
        <w:rPr>
          <w:rFonts w:ascii="Arial" w:hAnsi="Arial" w:cs="Arial"/>
          <w:sz w:val="24"/>
          <w:szCs w:val="24"/>
        </w:rPr>
        <w:t>.</w:t>
      </w:r>
    </w:p>
    <w:p w14:paraId="30A137CB" w14:textId="77777777" w:rsidR="00492F86" w:rsidRPr="00E00F13" w:rsidRDefault="00492F86" w:rsidP="00492F86">
      <w:pPr>
        <w:spacing w:after="0" w:line="360" w:lineRule="auto"/>
        <w:jc w:val="both"/>
        <w:rPr>
          <w:rFonts w:ascii="Arial" w:hAnsi="Arial" w:cs="Arial"/>
          <w:sz w:val="24"/>
          <w:szCs w:val="24"/>
        </w:rPr>
      </w:pPr>
    </w:p>
    <w:p w14:paraId="4077FC88" w14:textId="496A304E" w:rsidR="00722B98" w:rsidRPr="00E00F13" w:rsidRDefault="00492F86" w:rsidP="00722B98">
      <w:pPr>
        <w:spacing w:after="0" w:line="360" w:lineRule="auto"/>
        <w:jc w:val="both"/>
        <w:rPr>
          <w:rFonts w:ascii="Arial" w:hAnsi="Arial" w:cs="Arial"/>
          <w:sz w:val="24"/>
          <w:szCs w:val="24"/>
        </w:rPr>
      </w:pPr>
      <w:r w:rsidRPr="00E00F13">
        <w:rPr>
          <w:rFonts w:ascii="Arial" w:hAnsi="Arial" w:cs="Arial"/>
          <w:sz w:val="24"/>
          <w:szCs w:val="24"/>
        </w:rPr>
        <w:t xml:space="preserve">La transformación ya no está en definir la política, sino en </w:t>
      </w:r>
      <w:r w:rsidR="00502285" w:rsidRPr="00E00F13">
        <w:rPr>
          <w:rFonts w:ascii="Arial" w:hAnsi="Arial" w:cs="Arial"/>
          <w:sz w:val="24"/>
          <w:szCs w:val="24"/>
        </w:rPr>
        <w:t xml:space="preserve">terminar de </w:t>
      </w:r>
      <w:r w:rsidRPr="00E00F13">
        <w:rPr>
          <w:rFonts w:ascii="Arial" w:hAnsi="Arial" w:cs="Arial"/>
          <w:sz w:val="24"/>
          <w:szCs w:val="24"/>
        </w:rPr>
        <w:t>construir la arquitectura institucional que permita ejecutarla a escala, con seguridad, calidad y legitimidad territorial.</w:t>
      </w:r>
    </w:p>
    <w:p w14:paraId="4B92BB5D" w14:textId="77777777" w:rsidR="002F7692" w:rsidRPr="00E00F13" w:rsidRDefault="002F7692" w:rsidP="002F7692">
      <w:pPr>
        <w:spacing w:after="0" w:line="360" w:lineRule="auto"/>
        <w:jc w:val="both"/>
        <w:rPr>
          <w:rFonts w:ascii="Arial" w:hAnsi="Arial" w:cs="Arial"/>
          <w:sz w:val="24"/>
          <w:szCs w:val="24"/>
        </w:rPr>
      </w:pPr>
    </w:p>
    <w:p w14:paraId="09CC068B" w14:textId="36CD9CEC" w:rsidR="00163082" w:rsidRDefault="002F7692" w:rsidP="002F7692">
      <w:pPr>
        <w:spacing w:after="0" w:line="360" w:lineRule="auto"/>
        <w:jc w:val="both"/>
        <w:rPr>
          <w:rFonts w:ascii="Arial" w:hAnsi="Arial" w:cs="Arial"/>
          <w:sz w:val="24"/>
          <w:szCs w:val="24"/>
        </w:rPr>
      </w:pPr>
      <w:r w:rsidRPr="00E00F13">
        <w:rPr>
          <w:rFonts w:ascii="Arial" w:hAnsi="Arial" w:cs="Arial"/>
          <w:sz w:val="24"/>
          <w:szCs w:val="24"/>
        </w:rPr>
        <w:lastRenderedPageBreak/>
        <w:t xml:space="preserve">Queda pendiente </w:t>
      </w:r>
      <w:r w:rsidR="6A2900FB" w:rsidRPr="00E00F13">
        <w:rPr>
          <w:rFonts w:ascii="Arial" w:hAnsi="Arial" w:cs="Arial"/>
          <w:sz w:val="24"/>
          <w:szCs w:val="24"/>
        </w:rPr>
        <w:t>el desarrollo de los manuales operativos de</w:t>
      </w:r>
      <w:r w:rsidRPr="00E00F13">
        <w:rPr>
          <w:rFonts w:ascii="Arial" w:hAnsi="Arial" w:cs="Arial"/>
          <w:sz w:val="24"/>
          <w:szCs w:val="24"/>
        </w:rPr>
        <w:t xml:space="preserve"> los decretos: </w:t>
      </w:r>
      <w:r w:rsidR="46FA7BC8" w:rsidRPr="00E00F13">
        <w:rPr>
          <w:rFonts w:ascii="Arial" w:hAnsi="Arial" w:cs="Arial"/>
          <w:sz w:val="24"/>
          <w:szCs w:val="24"/>
        </w:rPr>
        <w:t xml:space="preserve">Autogestión, </w:t>
      </w:r>
      <w:r w:rsidRPr="00E00F13">
        <w:rPr>
          <w:rFonts w:ascii="Arial" w:hAnsi="Arial" w:cs="Arial"/>
          <w:sz w:val="24"/>
          <w:szCs w:val="24"/>
        </w:rPr>
        <w:t xml:space="preserve">Basura Cero, Gestión Comunitaria del Agua, Convenios solidarios, Subsidio comunitario, Mecanismos de fomento para gestores comunitarios, entre otros. </w:t>
      </w:r>
    </w:p>
    <w:p w14:paraId="0ED5D9C4" w14:textId="77777777" w:rsidR="005A4D27" w:rsidRDefault="005A4D27" w:rsidP="002F7692">
      <w:pPr>
        <w:spacing w:after="0" w:line="360" w:lineRule="auto"/>
        <w:jc w:val="both"/>
        <w:rPr>
          <w:rFonts w:ascii="Arial" w:hAnsi="Arial" w:cs="Arial"/>
          <w:sz w:val="24"/>
          <w:szCs w:val="24"/>
        </w:rPr>
      </w:pPr>
    </w:p>
    <w:p w14:paraId="49F396D7" w14:textId="4E81681F" w:rsidR="005A4D27" w:rsidRPr="00E00F13" w:rsidRDefault="005A4D27" w:rsidP="005A4D27">
      <w:pPr>
        <w:pStyle w:val="Ttulo3"/>
        <w:rPr>
          <w:color w:val="auto"/>
        </w:rPr>
      </w:pPr>
      <w:bookmarkStart w:id="167" w:name="_Toc234242889"/>
      <w:r>
        <w:rPr>
          <w:color w:val="auto"/>
        </w:rPr>
        <w:t>C</w:t>
      </w:r>
      <w:r w:rsidRPr="00E00F13">
        <w:rPr>
          <w:color w:val="auto"/>
        </w:rPr>
        <w:t>ambios normativos</w:t>
      </w:r>
      <w:r>
        <w:rPr>
          <w:color w:val="auto"/>
        </w:rPr>
        <w:t xml:space="preserve"> en proceso de adopción</w:t>
      </w:r>
      <w:bookmarkEnd w:id="167"/>
    </w:p>
    <w:p w14:paraId="4801FB5C" w14:textId="77777777" w:rsidR="00C20B1D" w:rsidRDefault="00C20B1D" w:rsidP="002F7692">
      <w:pPr>
        <w:spacing w:after="0" w:line="360" w:lineRule="auto"/>
        <w:jc w:val="both"/>
        <w:rPr>
          <w:rFonts w:ascii="Arial" w:hAnsi="Arial" w:cs="Arial"/>
          <w:sz w:val="24"/>
          <w:szCs w:val="24"/>
        </w:rPr>
      </w:pPr>
    </w:p>
    <w:p w14:paraId="6D765D8A" w14:textId="5690FD8F" w:rsidR="008422FB" w:rsidRDefault="005A4D27" w:rsidP="00C20B1D">
      <w:pPr>
        <w:spacing w:after="0" w:line="360" w:lineRule="auto"/>
        <w:jc w:val="both"/>
        <w:rPr>
          <w:rFonts w:ascii="Arial" w:hAnsi="Arial" w:cs="Arial"/>
          <w:sz w:val="24"/>
          <w:szCs w:val="24"/>
        </w:rPr>
      </w:pPr>
      <w:r>
        <w:rPr>
          <w:rFonts w:ascii="Arial" w:hAnsi="Arial" w:cs="Arial"/>
          <w:sz w:val="24"/>
          <w:szCs w:val="24"/>
        </w:rPr>
        <w:t>Algunos</w:t>
      </w:r>
      <w:r w:rsidR="00C20B1D">
        <w:rPr>
          <w:rFonts w:ascii="Arial" w:hAnsi="Arial" w:cs="Arial"/>
          <w:sz w:val="24"/>
          <w:szCs w:val="24"/>
        </w:rPr>
        <w:t xml:space="preserve"> elementos </w:t>
      </w:r>
      <w:r w:rsidR="00CC2D25">
        <w:rPr>
          <w:rFonts w:ascii="Arial" w:hAnsi="Arial" w:cs="Arial"/>
          <w:sz w:val="24"/>
          <w:szCs w:val="24"/>
        </w:rPr>
        <w:t>se encuentran en proceso de reglamentación o pendientes de firma</w:t>
      </w:r>
      <w:r>
        <w:rPr>
          <w:rFonts w:ascii="Arial" w:hAnsi="Arial" w:cs="Arial"/>
          <w:sz w:val="24"/>
          <w:szCs w:val="24"/>
        </w:rPr>
        <w:t>, lo cual amerita su seguimiento y continuidad en razón a la importancia que amerita casa uno de estos procesos</w:t>
      </w:r>
      <w:r w:rsidR="00C20B1D">
        <w:rPr>
          <w:rFonts w:ascii="Arial" w:hAnsi="Arial" w:cs="Arial"/>
          <w:sz w:val="24"/>
          <w:szCs w:val="24"/>
        </w:rPr>
        <w:t xml:space="preserve">: </w:t>
      </w:r>
    </w:p>
    <w:p w14:paraId="4BC09D38" w14:textId="77777777" w:rsidR="005A4D27" w:rsidRDefault="005A4D27" w:rsidP="00C20B1D">
      <w:pPr>
        <w:spacing w:after="0" w:line="360" w:lineRule="auto"/>
        <w:jc w:val="both"/>
        <w:rPr>
          <w:rFonts w:ascii="Arial" w:hAnsi="Arial" w:cs="Arial"/>
          <w:sz w:val="24"/>
          <w:szCs w:val="24"/>
        </w:rPr>
      </w:pPr>
    </w:p>
    <w:p w14:paraId="7256F4EA" w14:textId="77777777" w:rsidR="00CC2D25" w:rsidRDefault="00C20B1D" w:rsidP="00C20B1D">
      <w:pPr>
        <w:pStyle w:val="Prrafodelista"/>
        <w:numPr>
          <w:ilvl w:val="0"/>
          <w:numId w:val="69"/>
        </w:numPr>
        <w:spacing w:after="0" w:line="360" w:lineRule="auto"/>
        <w:jc w:val="both"/>
        <w:rPr>
          <w:rFonts w:ascii="Arial" w:hAnsi="Arial" w:cs="Arial"/>
          <w:sz w:val="24"/>
          <w:szCs w:val="24"/>
        </w:rPr>
      </w:pPr>
      <w:r>
        <w:rPr>
          <w:rFonts w:ascii="Arial" w:hAnsi="Arial" w:cs="Arial"/>
          <w:sz w:val="24"/>
          <w:szCs w:val="24"/>
        </w:rPr>
        <w:t xml:space="preserve">Vivienda progresiva: </w:t>
      </w:r>
    </w:p>
    <w:p w14:paraId="70BB6939" w14:textId="77777777" w:rsidR="005A4D27" w:rsidRDefault="005A4D27" w:rsidP="00493D3A">
      <w:pPr>
        <w:pStyle w:val="Prrafodelista"/>
        <w:spacing w:after="0" w:line="360" w:lineRule="auto"/>
        <w:ind w:left="783"/>
        <w:jc w:val="both"/>
        <w:rPr>
          <w:rFonts w:ascii="Arial" w:hAnsi="Arial" w:cs="Arial"/>
          <w:sz w:val="24"/>
          <w:szCs w:val="24"/>
        </w:rPr>
      </w:pPr>
    </w:p>
    <w:p w14:paraId="00C2F80B" w14:textId="6150135B" w:rsidR="00C20B1D" w:rsidRDefault="00C20B1D" w:rsidP="00CC2D25">
      <w:pPr>
        <w:spacing w:after="0" w:line="360" w:lineRule="auto"/>
        <w:jc w:val="both"/>
        <w:rPr>
          <w:rFonts w:ascii="Arial" w:hAnsi="Arial" w:cs="Arial"/>
          <w:sz w:val="24"/>
          <w:szCs w:val="24"/>
        </w:rPr>
      </w:pPr>
      <w:r w:rsidRPr="00493D3A">
        <w:rPr>
          <w:rFonts w:ascii="Arial" w:hAnsi="Arial" w:cs="Arial"/>
          <w:sz w:val="24"/>
          <w:szCs w:val="24"/>
        </w:rPr>
        <w:t xml:space="preserve">Uno de los temas en proceso de reglamentación, </w:t>
      </w:r>
      <w:r w:rsidR="000259F2">
        <w:rPr>
          <w:rFonts w:ascii="Arial" w:hAnsi="Arial" w:cs="Arial"/>
          <w:sz w:val="24"/>
          <w:szCs w:val="24"/>
        </w:rPr>
        <w:t xml:space="preserve">que se encuentra pendiente de firma del presidente para la fecha de cierre de este documento, </w:t>
      </w:r>
      <w:r w:rsidRPr="00493D3A">
        <w:rPr>
          <w:rFonts w:ascii="Arial" w:hAnsi="Arial" w:cs="Arial"/>
          <w:sz w:val="24"/>
          <w:szCs w:val="24"/>
        </w:rPr>
        <w:t>es</w:t>
      </w:r>
      <w:r w:rsidR="00CC2D25">
        <w:rPr>
          <w:rFonts w:ascii="Arial" w:hAnsi="Arial" w:cs="Arial"/>
          <w:sz w:val="24"/>
          <w:szCs w:val="24"/>
        </w:rPr>
        <w:t xml:space="preserve"> la definición de </w:t>
      </w:r>
      <w:r w:rsidR="00CC2D25" w:rsidRPr="00CC2D25">
        <w:rPr>
          <w:rFonts w:ascii="Arial" w:hAnsi="Arial" w:cs="Arial"/>
          <w:sz w:val="24"/>
          <w:szCs w:val="24"/>
        </w:rPr>
        <w:t>los lineamientos y las condiciones especiales para la formulación, diseño, autorización, desarrollo  implementación  y legalización de la vivienda progresiva, como modalidad transversal a los programas existentes en la oferta institucional del Ministerio de Vivienda, Ciudad y Territorio y de las entidades del Gobierno Nacional,</w:t>
      </w:r>
      <w:r w:rsidR="00CC2D25">
        <w:rPr>
          <w:rFonts w:ascii="Arial" w:hAnsi="Arial" w:cs="Arial"/>
          <w:sz w:val="24"/>
          <w:szCs w:val="24"/>
        </w:rPr>
        <w:t xml:space="preserve"> y</w:t>
      </w:r>
      <w:r w:rsidR="00CC2D25" w:rsidRPr="00CC2D25">
        <w:rPr>
          <w:rFonts w:ascii="Arial" w:hAnsi="Arial" w:cs="Arial"/>
          <w:sz w:val="24"/>
          <w:szCs w:val="24"/>
        </w:rPr>
        <w:t xml:space="preserve"> las condiciones de operación de la vivienda,  posibilitando una respuesta oportuna de soluciones habitacionales en el marco de situaciones de emergencia y las demás definidas en el ámbito de aplicación.</w:t>
      </w:r>
    </w:p>
    <w:p w14:paraId="09A80883" w14:textId="77777777" w:rsidR="000259F2" w:rsidRDefault="000259F2" w:rsidP="00CC2D25">
      <w:pPr>
        <w:spacing w:after="0" w:line="360" w:lineRule="auto"/>
        <w:jc w:val="both"/>
        <w:rPr>
          <w:rFonts w:ascii="Arial" w:hAnsi="Arial" w:cs="Arial"/>
          <w:sz w:val="24"/>
          <w:szCs w:val="24"/>
        </w:rPr>
      </w:pPr>
    </w:p>
    <w:p w14:paraId="3D0C6710" w14:textId="72A10B0B" w:rsidR="000259F2" w:rsidRPr="003261D2" w:rsidRDefault="000259F2" w:rsidP="000259F2">
      <w:pPr>
        <w:spacing w:after="0" w:line="360" w:lineRule="auto"/>
        <w:jc w:val="both"/>
        <w:rPr>
          <w:rFonts w:ascii="Arial" w:hAnsi="Arial" w:cs="Arial"/>
          <w:sz w:val="24"/>
          <w:szCs w:val="24"/>
          <w:lang w:val="es-ES"/>
        </w:rPr>
      </w:pPr>
      <w:r>
        <w:rPr>
          <w:rFonts w:ascii="Arial" w:hAnsi="Arial" w:cs="Arial"/>
          <w:sz w:val="24"/>
          <w:szCs w:val="24"/>
        </w:rPr>
        <w:t xml:space="preserve">Con esto, se pretende </w:t>
      </w:r>
      <w:r w:rsidRPr="003261D2">
        <w:rPr>
          <w:rFonts w:ascii="Arial" w:hAnsi="Arial" w:cs="Arial"/>
          <w:sz w:val="24"/>
          <w:szCs w:val="24"/>
        </w:rPr>
        <w:t>abordar una problemática importante: l</w:t>
      </w:r>
      <w:r w:rsidRPr="003261D2">
        <w:rPr>
          <w:rFonts w:ascii="Arial" w:hAnsi="Arial" w:cs="Arial"/>
          <w:sz w:val="24"/>
          <w:szCs w:val="24"/>
          <w:lang w:val="es-ES"/>
        </w:rPr>
        <w:t xml:space="preserve">as </w:t>
      </w:r>
      <w:r w:rsidRPr="00493D3A">
        <w:rPr>
          <w:rFonts w:ascii="Arial" w:hAnsi="Arial" w:cs="Arial"/>
          <w:sz w:val="24"/>
          <w:szCs w:val="24"/>
          <w:lang w:val="es-ES"/>
        </w:rPr>
        <w:t>soluciones de vivienda que inicialmente se conciben como temporales en casos específicos de atención de emergencia</w:t>
      </w:r>
      <w:r w:rsidR="003261D2" w:rsidRPr="00493D3A">
        <w:rPr>
          <w:rFonts w:ascii="Arial" w:hAnsi="Arial" w:cs="Arial"/>
          <w:sz w:val="24"/>
          <w:szCs w:val="24"/>
          <w:lang w:val="es-ES"/>
        </w:rPr>
        <w:t xml:space="preserve"> y otros,</w:t>
      </w:r>
      <w:r w:rsidRPr="00493D3A">
        <w:rPr>
          <w:rFonts w:ascii="Arial" w:hAnsi="Arial" w:cs="Arial"/>
          <w:sz w:val="24"/>
          <w:szCs w:val="24"/>
          <w:lang w:val="es-ES"/>
        </w:rPr>
        <w:t xml:space="preserve"> suelen convertirse en </w:t>
      </w:r>
      <w:r w:rsidR="003261D2" w:rsidRPr="00493D3A">
        <w:rPr>
          <w:rFonts w:ascii="Arial" w:hAnsi="Arial" w:cs="Arial"/>
          <w:sz w:val="24"/>
          <w:szCs w:val="24"/>
          <w:lang w:val="es-ES"/>
        </w:rPr>
        <w:t xml:space="preserve">viviendas </w:t>
      </w:r>
      <w:r w:rsidRPr="00493D3A">
        <w:rPr>
          <w:rFonts w:ascii="Arial" w:hAnsi="Arial" w:cs="Arial"/>
          <w:sz w:val="24"/>
          <w:szCs w:val="24"/>
          <w:lang w:val="es-ES"/>
        </w:rPr>
        <w:t>definitivas sin garantizar los estándares mínimos de habitabilidad</w:t>
      </w:r>
      <w:r w:rsidR="003261D2" w:rsidRPr="003261D2">
        <w:rPr>
          <w:rFonts w:ascii="Arial" w:hAnsi="Arial" w:cs="Arial"/>
          <w:sz w:val="24"/>
          <w:szCs w:val="24"/>
          <w:lang w:val="es-ES"/>
        </w:rPr>
        <w:t>, generando una serie de problemáticas</w:t>
      </w:r>
      <w:r w:rsidRPr="003261D2">
        <w:rPr>
          <w:rFonts w:ascii="Arial" w:hAnsi="Arial" w:cs="Arial"/>
          <w:sz w:val="24"/>
          <w:szCs w:val="24"/>
          <w:lang w:val="es-ES"/>
        </w:rPr>
        <w:t>:</w:t>
      </w:r>
    </w:p>
    <w:p w14:paraId="1FDA9A9F" w14:textId="17B50424" w:rsidR="000259F2" w:rsidRPr="00493D3A" w:rsidRDefault="000259F2" w:rsidP="00493D3A">
      <w:pPr>
        <w:pStyle w:val="Prrafodelista"/>
        <w:numPr>
          <w:ilvl w:val="0"/>
          <w:numId w:val="70"/>
        </w:numPr>
        <w:spacing w:after="0" w:line="360" w:lineRule="auto"/>
        <w:jc w:val="both"/>
        <w:rPr>
          <w:rFonts w:ascii="Arial" w:hAnsi="Arial" w:cs="Arial"/>
          <w:sz w:val="24"/>
          <w:szCs w:val="24"/>
        </w:rPr>
      </w:pPr>
      <w:r w:rsidRPr="00493D3A">
        <w:rPr>
          <w:rFonts w:ascii="Arial" w:hAnsi="Arial" w:cs="Arial"/>
          <w:sz w:val="24"/>
          <w:szCs w:val="24"/>
        </w:rPr>
        <w:t>Permanencia excesiva de alojamientos transitorios</w:t>
      </w:r>
      <w:r w:rsidR="003261D2">
        <w:rPr>
          <w:rFonts w:ascii="Arial" w:hAnsi="Arial" w:cs="Arial"/>
          <w:sz w:val="24"/>
          <w:szCs w:val="24"/>
        </w:rPr>
        <w:t>, pues</w:t>
      </w:r>
      <w:r w:rsidRPr="00493D3A">
        <w:rPr>
          <w:rFonts w:ascii="Arial" w:hAnsi="Arial" w:cs="Arial"/>
          <w:sz w:val="24"/>
          <w:szCs w:val="24"/>
        </w:rPr>
        <w:t xml:space="preserve"> </w:t>
      </w:r>
      <w:r w:rsidR="003261D2">
        <w:rPr>
          <w:rFonts w:ascii="Arial" w:hAnsi="Arial" w:cs="Arial"/>
          <w:sz w:val="24"/>
          <w:szCs w:val="24"/>
        </w:rPr>
        <w:t>e</w:t>
      </w:r>
      <w:r w:rsidRPr="00493D3A">
        <w:rPr>
          <w:rFonts w:ascii="Arial" w:hAnsi="Arial" w:cs="Arial"/>
          <w:sz w:val="24"/>
          <w:szCs w:val="24"/>
        </w:rPr>
        <w:t xml:space="preserve">n casos de emergencias o procesos de reincorporación (como los ETCR), la población continúa habitando por años en alojamientos que no tenían </w:t>
      </w:r>
      <w:r w:rsidRPr="00493D3A">
        <w:rPr>
          <w:rFonts w:ascii="Arial" w:hAnsi="Arial" w:cs="Arial"/>
          <w:sz w:val="24"/>
          <w:szCs w:val="24"/>
        </w:rPr>
        <w:lastRenderedPageBreak/>
        <w:t>vocación de permanencia, los cuales están construidos con materiales que se deterioran fácilmente y no responden a las condiciones bioclimáticas del entorno</w:t>
      </w:r>
      <w:r w:rsidR="008422FB">
        <w:rPr>
          <w:rFonts w:ascii="Arial" w:hAnsi="Arial" w:cs="Arial"/>
          <w:sz w:val="24"/>
          <w:szCs w:val="24"/>
        </w:rPr>
        <w:t xml:space="preserve"> ni culturales de las comunidades</w:t>
      </w:r>
      <w:r w:rsidRPr="00493D3A">
        <w:rPr>
          <w:rFonts w:ascii="Arial" w:hAnsi="Arial" w:cs="Arial"/>
          <w:sz w:val="24"/>
          <w:szCs w:val="24"/>
        </w:rPr>
        <w:t>.</w:t>
      </w:r>
    </w:p>
    <w:p w14:paraId="206A7605" w14:textId="0FB6A272" w:rsidR="000259F2" w:rsidRPr="000259F2" w:rsidRDefault="000259F2" w:rsidP="000259F2">
      <w:pPr>
        <w:numPr>
          <w:ilvl w:val="0"/>
          <w:numId w:val="70"/>
        </w:numPr>
        <w:tabs>
          <w:tab w:val="num" w:pos="720"/>
        </w:tabs>
        <w:spacing w:after="0" w:line="360" w:lineRule="auto"/>
        <w:jc w:val="both"/>
        <w:rPr>
          <w:rFonts w:ascii="Arial" w:hAnsi="Arial" w:cs="Arial"/>
          <w:sz w:val="24"/>
          <w:szCs w:val="24"/>
          <w:lang w:val="es-ES"/>
        </w:rPr>
      </w:pPr>
      <w:r w:rsidRPr="00493D3A">
        <w:rPr>
          <w:rFonts w:ascii="Arial" w:hAnsi="Arial" w:cs="Arial"/>
          <w:sz w:val="24"/>
          <w:szCs w:val="24"/>
          <w:lang w:val="es-ES"/>
        </w:rPr>
        <w:t>Ineficiencia en el gasto público</w:t>
      </w:r>
      <w:r w:rsidR="003261D2" w:rsidRPr="00493D3A">
        <w:rPr>
          <w:rFonts w:ascii="Arial" w:hAnsi="Arial" w:cs="Arial"/>
          <w:sz w:val="24"/>
          <w:szCs w:val="24"/>
          <w:lang w:val="es-ES"/>
        </w:rPr>
        <w:t>, pues e</w:t>
      </w:r>
      <w:r w:rsidRPr="003261D2">
        <w:rPr>
          <w:rFonts w:ascii="Arial" w:hAnsi="Arial" w:cs="Arial"/>
          <w:sz w:val="24"/>
          <w:szCs w:val="24"/>
          <w:lang w:val="es-ES"/>
        </w:rPr>
        <w:t>l</w:t>
      </w:r>
      <w:r w:rsidRPr="000259F2">
        <w:rPr>
          <w:rFonts w:ascii="Arial" w:hAnsi="Arial" w:cs="Arial"/>
          <w:sz w:val="24"/>
          <w:szCs w:val="24"/>
          <w:lang w:val="es-ES"/>
        </w:rPr>
        <w:t xml:space="preserve"> Estado realiza inversiones iniciales en alojamientos temporales que, al no estar articulados con una visión de vivienda definitiva, generan una duplicidad de gastos cuando finalmente se debe intervenir para construir soluciones permanentes o legalizar mejoras.</w:t>
      </w:r>
    </w:p>
    <w:p w14:paraId="049EFD79" w14:textId="198E545A" w:rsidR="000259F2" w:rsidRPr="008422FB" w:rsidRDefault="000259F2" w:rsidP="008422FB">
      <w:pPr>
        <w:numPr>
          <w:ilvl w:val="0"/>
          <w:numId w:val="70"/>
        </w:numPr>
        <w:tabs>
          <w:tab w:val="num" w:pos="720"/>
        </w:tabs>
        <w:spacing w:after="0" w:line="360" w:lineRule="auto"/>
        <w:jc w:val="both"/>
        <w:rPr>
          <w:rFonts w:ascii="Arial" w:hAnsi="Arial" w:cs="Arial"/>
          <w:sz w:val="24"/>
          <w:szCs w:val="24"/>
          <w:lang w:val="es-ES"/>
        </w:rPr>
      </w:pPr>
      <w:r w:rsidRPr="00493D3A">
        <w:rPr>
          <w:rFonts w:ascii="Arial" w:hAnsi="Arial" w:cs="Arial"/>
          <w:sz w:val="24"/>
          <w:szCs w:val="24"/>
          <w:lang w:val="es-ES"/>
        </w:rPr>
        <w:t>Vulnerabilidad ante riesgos y crisis climática</w:t>
      </w:r>
      <w:r w:rsidR="003261D2" w:rsidRPr="00493D3A">
        <w:rPr>
          <w:rFonts w:ascii="Arial" w:hAnsi="Arial" w:cs="Arial"/>
          <w:sz w:val="24"/>
          <w:szCs w:val="24"/>
          <w:lang w:val="es-ES"/>
        </w:rPr>
        <w:t xml:space="preserve">, pues </w:t>
      </w:r>
      <w:r w:rsidR="003261D2" w:rsidRPr="003261D2">
        <w:rPr>
          <w:rFonts w:ascii="Arial" w:hAnsi="Arial" w:cs="Arial"/>
          <w:sz w:val="24"/>
          <w:szCs w:val="24"/>
          <w:lang w:val="es-ES"/>
        </w:rPr>
        <w:t>e</w:t>
      </w:r>
      <w:r w:rsidRPr="003261D2">
        <w:rPr>
          <w:rFonts w:ascii="Arial" w:hAnsi="Arial" w:cs="Arial"/>
          <w:sz w:val="24"/>
          <w:szCs w:val="24"/>
          <w:lang w:val="es-ES"/>
        </w:rPr>
        <w:t>xiste</w:t>
      </w:r>
      <w:r w:rsidRPr="000259F2">
        <w:rPr>
          <w:rFonts w:ascii="Arial" w:hAnsi="Arial" w:cs="Arial"/>
          <w:sz w:val="24"/>
          <w:szCs w:val="24"/>
          <w:lang w:val="es-ES"/>
        </w:rPr>
        <w:t xml:space="preserve"> una falta de lineamientos para reducir la vulnerabilidad </w:t>
      </w:r>
      <w:r w:rsidR="008422FB">
        <w:rPr>
          <w:rFonts w:ascii="Arial" w:hAnsi="Arial" w:cs="Arial"/>
          <w:sz w:val="24"/>
          <w:szCs w:val="24"/>
          <w:lang w:val="es-ES"/>
        </w:rPr>
        <w:t>progresivamente lo cual impid</w:t>
      </w:r>
      <w:r w:rsidR="003261D2">
        <w:rPr>
          <w:rFonts w:ascii="Arial" w:hAnsi="Arial" w:cs="Arial"/>
          <w:sz w:val="24"/>
          <w:szCs w:val="24"/>
          <w:lang w:val="es-ES"/>
        </w:rPr>
        <w:t>e la legalización de aquellos asentamientos</w:t>
      </w:r>
      <w:r w:rsidRPr="008422FB">
        <w:rPr>
          <w:rFonts w:ascii="Arial" w:hAnsi="Arial" w:cs="Arial"/>
          <w:sz w:val="24"/>
          <w:szCs w:val="24"/>
          <w:lang w:val="es-ES"/>
        </w:rPr>
        <w:t>.</w:t>
      </w:r>
    </w:p>
    <w:p w14:paraId="7BF32C28" w14:textId="601BB01F" w:rsidR="00CC2D25" w:rsidRDefault="000259F2" w:rsidP="00CC2D25">
      <w:pPr>
        <w:numPr>
          <w:ilvl w:val="0"/>
          <w:numId w:val="70"/>
        </w:numPr>
        <w:tabs>
          <w:tab w:val="num" w:pos="720"/>
        </w:tabs>
        <w:spacing w:after="0" w:line="360" w:lineRule="auto"/>
        <w:jc w:val="both"/>
        <w:rPr>
          <w:rFonts w:ascii="Arial" w:hAnsi="Arial" w:cs="Arial"/>
          <w:sz w:val="24"/>
          <w:szCs w:val="24"/>
          <w:lang w:val="es-ES"/>
        </w:rPr>
      </w:pPr>
      <w:r w:rsidRPr="00493D3A">
        <w:rPr>
          <w:rFonts w:ascii="Arial" w:hAnsi="Arial" w:cs="Arial"/>
          <w:sz w:val="24"/>
          <w:szCs w:val="24"/>
          <w:lang w:val="es-ES"/>
        </w:rPr>
        <w:t>Inseguridad jurídica de la tenencia</w:t>
      </w:r>
      <w:r w:rsidR="003261D2" w:rsidRPr="00493D3A">
        <w:rPr>
          <w:rFonts w:ascii="Arial" w:hAnsi="Arial" w:cs="Arial"/>
          <w:sz w:val="24"/>
          <w:szCs w:val="24"/>
          <w:lang w:val="es-ES"/>
        </w:rPr>
        <w:t>, pues e</w:t>
      </w:r>
      <w:r w:rsidRPr="003261D2">
        <w:rPr>
          <w:rFonts w:ascii="Arial" w:hAnsi="Arial" w:cs="Arial"/>
          <w:sz w:val="24"/>
          <w:szCs w:val="24"/>
          <w:lang w:val="es-ES"/>
        </w:rPr>
        <w:t>n</w:t>
      </w:r>
      <w:r w:rsidRPr="000259F2">
        <w:rPr>
          <w:rFonts w:ascii="Arial" w:hAnsi="Arial" w:cs="Arial"/>
          <w:sz w:val="24"/>
          <w:szCs w:val="24"/>
          <w:lang w:val="es-ES"/>
        </w:rPr>
        <w:t xml:space="preserve"> muchos proyectos de vivienda temporal, como los destinados a reincorporados, los predios cuentan con procesos de titulación, pero no se reconocen legalmente las mejoras (las construcciones), lo que impide a los hogares acceder a otros subsidios como el de mejoramiento de vivienda</w:t>
      </w:r>
      <w:r w:rsidR="003261D2">
        <w:rPr>
          <w:rFonts w:ascii="Arial" w:hAnsi="Arial" w:cs="Arial"/>
          <w:sz w:val="24"/>
          <w:szCs w:val="24"/>
          <w:lang w:val="es-ES"/>
        </w:rPr>
        <w:t>.</w:t>
      </w:r>
    </w:p>
    <w:p w14:paraId="36176B7F" w14:textId="77777777" w:rsidR="003261D2" w:rsidRPr="00493D3A" w:rsidRDefault="003261D2" w:rsidP="00493D3A">
      <w:pPr>
        <w:spacing w:after="0" w:line="360" w:lineRule="auto"/>
        <w:ind w:left="1068"/>
        <w:jc w:val="both"/>
        <w:rPr>
          <w:rFonts w:ascii="Arial" w:hAnsi="Arial" w:cs="Arial"/>
          <w:sz w:val="24"/>
          <w:szCs w:val="24"/>
          <w:lang w:val="es-ES"/>
        </w:rPr>
      </w:pPr>
    </w:p>
    <w:p w14:paraId="63ACDFBB" w14:textId="77777777" w:rsidR="00F43715" w:rsidRDefault="00C20B1D" w:rsidP="00F43715">
      <w:pPr>
        <w:pStyle w:val="Prrafodelista"/>
        <w:numPr>
          <w:ilvl w:val="0"/>
          <w:numId w:val="69"/>
        </w:numPr>
        <w:spacing w:after="0" w:line="360" w:lineRule="auto"/>
        <w:jc w:val="both"/>
        <w:rPr>
          <w:rFonts w:ascii="Arial" w:hAnsi="Arial" w:cs="Arial"/>
          <w:sz w:val="24"/>
          <w:szCs w:val="24"/>
        </w:rPr>
      </w:pPr>
      <w:r>
        <w:rPr>
          <w:rFonts w:ascii="Arial" w:hAnsi="Arial" w:cs="Arial"/>
          <w:sz w:val="24"/>
          <w:szCs w:val="24"/>
        </w:rPr>
        <w:t xml:space="preserve">Vivienda cooperativa: </w:t>
      </w:r>
    </w:p>
    <w:p w14:paraId="64CFC43B" w14:textId="77777777" w:rsidR="005A4D27" w:rsidRDefault="005A4D27" w:rsidP="00493D3A">
      <w:pPr>
        <w:pStyle w:val="Prrafodelista"/>
        <w:spacing w:after="0" w:line="360" w:lineRule="auto"/>
        <w:ind w:left="783"/>
        <w:jc w:val="both"/>
        <w:rPr>
          <w:rFonts w:ascii="Arial" w:hAnsi="Arial" w:cs="Arial"/>
          <w:sz w:val="24"/>
          <w:szCs w:val="24"/>
        </w:rPr>
      </w:pPr>
    </w:p>
    <w:p w14:paraId="4EB01505" w14:textId="71455877" w:rsidR="00F43715" w:rsidRPr="00493D3A" w:rsidRDefault="00C20B1D" w:rsidP="00493D3A">
      <w:pPr>
        <w:spacing w:after="0" w:line="360" w:lineRule="auto"/>
        <w:jc w:val="both"/>
        <w:rPr>
          <w:rFonts w:ascii="Arial" w:hAnsi="Arial" w:cs="Arial"/>
          <w:sz w:val="24"/>
          <w:szCs w:val="24"/>
        </w:rPr>
      </w:pPr>
      <w:r w:rsidRPr="00493D3A">
        <w:rPr>
          <w:rFonts w:ascii="Arial" w:hAnsi="Arial" w:cs="Arial"/>
          <w:sz w:val="24"/>
          <w:szCs w:val="24"/>
        </w:rPr>
        <w:t>Uno de los temas pendientes de reglamentación</w:t>
      </w:r>
      <w:r w:rsidR="00CC2D25">
        <w:rPr>
          <w:rFonts w:ascii="Arial" w:hAnsi="Arial" w:cs="Arial"/>
          <w:sz w:val="24"/>
          <w:szCs w:val="24"/>
        </w:rPr>
        <w:t xml:space="preserve">, que fue publicado para comentarios para la fecha de cierre de este documento, </w:t>
      </w:r>
      <w:r w:rsidRPr="00493D3A">
        <w:rPr>
          <w:rFonts w:ascii="Arial" w:hAnsi="Arial" w:cs="Arial"/>
          <w:sz w:val="24"/>
          <w:szCs w:val="24"/>
        </w:rPr>
        <w:t xml:space="preserve"> es el reconocimiento del sistema de vivienda cooperativa como actor del sistema habitacional nacional, y el establecimiento de las responsabilidades de fomento, habilitación, financiación, formación e inspección entre las entidades del Estado competentes, en función tanto de la especificidad jurídica y social del modelo cooperativo de vivienda de propiedad cooperativa regulado de los artículos 76 al 83 de la Ley 79 de 1988. </w:t>
      </w:r>
    </w:p>
    <w:p w14:paraId="4222B565" w14:textId="77777777" w:rsidR="00F43715" w:rsidRDefault="00F43715" w:rsidP="00F43715">
      <w:pPr>
        <w:spacing w:after="0" w:line="360" w:lineRule="auto"/>
        <w:jc w:val="both"/>
        <w:rPr>
          <w:rFonts w:ascii="Arial" w:hAnsi="Arial" w:cs="Arial"/>
          <w:sz w:val="24"/>
          <w:szCs w:val="24"/>
        </w:rPr>
      </w:pPr>
    </w:p>
    <w:p w14:paraId="3A05D495" w14:textId="77777777" w:rsidR="00F43715" w:rsidRDefault="00C20B1D" w:rsidP="00F43715">
      <w:pPr>
        <w:spacing w:after="0" w:line="360" w:lineRule="auto"/>
        <w:jc w:val="both"/>
        <w:rPr>
          <w:rFonts w:ascii="Arial" w:hAnsi="Arial" w:cs="Arial"/>
          <w:sz w:val="24"/>
          <w:szCs w:val="24"/>
        </w:rPr>
      </w:pPr>
      <w:r w:rsidRPr="00493D3A">
        <w:rPr>
          <w:rFonts w:ascii="Arial" w:hAnsi="Arial" w:cs="Arial"/>
          <w:sz w:val="24"/>
          <w:szCs w:val="24"/>
        </w:rPr>
        <w:t>Con esto, es posible que a través de la vivienda cooperativa se pueda gestionar el acceso a la vivienda de grupos poblaciones que aún hoy, siguen enfrentando dificultades para el acceso a esta</w:t>
      </w:r>
      <w:r w:rsidR="00F43715" w:rsidRPr="00493D3A">
        <w:rPr>
          <w:rFonts w:ascii="Arial" w:hAnsi="Arial" w:cs="Arial"/>
          <w:sz w:val="24"/>
          <w:szCs w:val="24"/>
        </w:rPr>
        <w:t xml:space="preserve"> y resolver las principales dificultades que este modelo enfrenta hoy: </w:t>
      </w:r>
    </w:p>
    <w:p w14:paraId="28930D87" w14:textId="77777777" w:rsidR="002B6C5F" w:rsidRDefault="00F43715" w:rsidP="002B6C5F">
      <w:pPr>
        <w:pStyle w:val="Prrafodelista"/>
        <w:numPr>
          <w:ilvl w:val="1"/>
          <w:numId w:val="22"/>
        </w:numPr>
        <w:spacing w:after="0" w:line="360" w:lineRule="auto"/>
        <w:jc w:val="both"/>
        <w:rPr>
          <w:rFonts w:ascii="Arial" w:hAnsi="Arial" w:cs="Arial"/>
          <w:sz w:val="24"/>
          <w:szCs w:val="24"/>
        </w:rPr>
      </w:pPr>
      <w:r w:rsidRPr="00493D3A">
        <w:rPr>
          <w:rFonts w:ascii="Arial" w:hAnsi="Arial" w:cs="Arial"/>
          <w:sz w:val="24"/>
          <w:szCs w:val="24"/>
        </w:rPr>
        <w:lastRenderedPageBreak/>
        <w:t xml:space="preserve">la falta de certeza jurídica sobre la tenencia </w:t>
      </w:r>
      <w:proofErr w:type="gramStart"/>
      <w:r w:rsidRPr="00493D3A">
        <w:rPr>
          <w:rFonts w:ascii="Arial" w:hAnsi="Arial" w:cs="Arial"/>
          <w:sz w:val="24"/>
          <w:szCs w:val="24"/>
        </w:rPr>
        <w:t>pues</w:t>
      </w:r>
      <w:proofErr w:type="gramEnd"/>
      <w:r w:rsidRPr="00493D3A">
        <w:rPr>
          <w:rFonts w:ascii="Arial" w:hAnsi="Arial" w:cs="Arial"/>
          <w:sz w:val="24"/>
          <w:szCs w:val="24"/>
        </w:rPr>
        <w:t xml:space="preserve"> aunque la ley reconoce el derecho de "uso y goce" de los asociados, existe un vacío sobre las condiciones jurídicas operativas bajo las cuales los hogares acceden y permanecen en la vivienda; </w:t>
      </w:r>
    </w:p>
    <w:p w14:paraId="5C34A5F5" w14:textId="77777777" w:rsidR="002B6C5F" w:rsidRDefault="00F43715" w:rsidP="002B6C5F">
      <w:pPr>
        <w:pStyle w:val="Prrafodelista"/>
        <w:numPr>
          <w:ilvl w:val="1"/>
          <w:numId w:val="22"/>
        </w:numPr>
        <w:spacing w:after="0" w:line="360" w:lineRule="auto"/>
        <w:jc w:val="both"/>
        <w:rPr>
          <w:rFonts w:ascii="Arial" w:hAnsi="Arial" w:cs="Arial"/>
          <w:sz w:val="24"/>
          <w:szCs w:val="24"/>
        </w:rPr>
      </w:pPr>
      <w:r w:rsidRPr="00493D3A">
        <w:rPr>
          <w:rFonts w:ascii="Arial" w:hAnsi="Arial" w:cs="Arial"/>
          <w:sz w:val="24"/>
          <w:szCs w:val="24"/>
        </w:rPr>
        <w:t xml:space="preserve">la imposibilidad de acceder a subsidios, pues legalmente los subsidios únicamente se destinan al hogar, y si la vivienda es de propiedad cooperativa no es posible acceder a un subsidio; </w:t>
      </w:r>
    </w:p>
    <w:p w14:paraId="02B5814F" w14:textId="77777777" w:rsidR="002B6C5F" w:rsidRDefault="00F43715" w:rsidP="002B6C5F">
      <w:pPr>
        <w:pStyle w:val="Prrafodelista"/>
        <w:numPr>
          <w:ilvl w:val="1"/>
          <w:numId w:val="22"/>
        </w:numPr>
        <w:spacing w:after="0" w:line="360" w:lineRule="auto"/>
        <w:jc w:val="both"/>
        <w:rPr>
          <w:rFonts w:ascii="Arial" w:hAnsi="Arial" w:cs="Arial"/>
          <w:sz w:val="24"/>
          <w:szCs w:val="24"/>
        </w:rPr>
      </w:pPr>
      <w:r w:rsidRPr="00493D3A">
        <w:rPr>
          <w:rFonts w:ascii="Arial" w:hAnsi="Arial" w:cs="Arial"/>
          <w:sz w:val="24"/>
          <w:szCs w:val="24"/>
        </w:rPr>
        <w:t xml:space="preserve">la incompatibilidad con el sistema financiero tradicional, pues dado que la propiedad es colectiva e indivisible (la cooperativa es la dueña permanente del terreno y la construcción), los asociados no pueden ofrecer su vivienda como garantía hipotecaria individual y no pueden acceder a estos mecanismos de financiación; y </w:t>
      </w:r>
    </w:p>
    <w:p w14:paraId="4562D1BB" w14:textId="578B264B" w:rsidR="00F43715" w:rsidRDefault="00F43715" w:rsidP="002B6C5F">
      <w:pPr>
        <w:pStyle w:val="Prrafodelista"/>
        <w:numPr>
          <w:ilvl w:val="1"/>
          <w:numId w:val="22"/>
        </w:numPr>
        <w:spacing w:after="0" w:line="360" w:lineRule="auto"/>
        <w:jc w:val="both"/>
        <w:rPr>
          <w:rFonts w:ascii="Arial" w:hAnsi="Arial" w:cs="Arial"/>
          <w:sz w:val="24"/>
          <w:szCs w:val="24"/>
        </w:rPr>
      </w:pPr>
      <w:r w:rsidRPr="00493D3A">
        <w:rPr>
          <w:rFonts w:ascii="Arial" w:hAnsi="Arial" w:cs="Arial"/>
          <w:sz w:val="24"/>
          <w:szCs w:val="24"/>
        </w:rPr>
        <w:t xml:space="preserve">La falta de reglamentación técnica ha impedido que estas cooperativas se articulen de forma efectiva con instrumentos estatales para la habilitación de suelo y que cuenten con un esquema especializado de asistencia técnica que certifique la viabilidad de sus proyectos. </w:t>
      </w:r>
    </w:p>
    <w:p w14:paraId="7828C3BB" w14:textId="77777777" w:rsidR="005A4D27" w:rsidRPr="00493D3A" w:rsidRDefault="005A4D27" w:rsidP="00493D3A">
      <w:pPr>
        <w:spacing w:after="0" w:line="360" w:lineRule="auto"/>
        <w:ind w:left="1080"/>
        <w:jc w:val="both"/>
        <w:rPr>
          <w:rFonts w:ascii="Arial" w:hAnsi="Arial" w:cs="Arial"/>
          <w:sz w:val="24"/>
          <w:szCs w:val="24"/>
        </w:rPr>
      </w:pPr>
    </w:p>
    <w:p w14:paraId="74CEDED1" w14:textId="1A531511" w:rsidR="00C31FF0" w:rsidRPr="00493D3A" w:rsidRDefault="00C31FF0" w:rsidP="00493D3A">
      <w:pPr>
        <w:spacing w:after="0" w:line="360" w:lineRule="auto"/>
        <w:jc w:val="both"/>
        <w:rPr>
          <w:rFonts w:ascii="Arial" w:hAnsi="Arial" w:cs="Arial"/>
          <w:sz w:val="24"/>
          <w:szCs w:val="24"/>
        </w:rPr>
      </w:pPr>
      <w:r>
        <w:rPr>
          <w:rFonts w:ascii="Arial" w:hAnsi="Arial" w:cs="Arial"/>
          <w:sz w:val="24"/>
          <w:szCs w:val="24"/>
        </w:rPr>
        <w:t>En relación con esta propuesta reglamentaria es importante mencionar que</w:t>
      </w:r>
      <w:r w:rsidR="005A4D27">
        <w:rPr>
          <w:rFonts w:ascii="Arial" w:hAnsi="Arial" w:cs="Arial"/>
          <w:sz w:val="24"/>
          <w:szCs w:val="24"/>
        </w:rPr>
        <w:t xml:space="preserve"> es necesario avanzar en mecanismos de</w:t>
      </w:r>
      <w:r w:rsidR="005A4D27" w:rsidRPr="005A4D27">
        <w:rPr>
          <w:rFonts w:ascii="Arial" w:hAnsi="Arial" w:cs="Arial"/>
          <w:sz w:val="24"/>
          <w:szCs w:val="24"/>
        </w:rPr>
        <w:t xml:space="preserve"> diversificación de los mecanismos de financiación</w:t>
      </w:r>
      <w:r w:rsidR="005A4D27">
        <w:rPr>
          <w:rFonts w:ascii="Arial" w:hAnsi="Arial" w:cs="Arial"/>
          <w:sz w:val="24"/>
          <w:szCs w:val="24"/>
        </w:rPr>
        <w:t xml:space="preserve"> de la vivienda, lo cual requiere de la articulación directa con el Sector Hacienda de manera que se</w:t>
      </w:r>
      <w:r w:rsidR="005A4D27" w:rsidRPr="005A4D27">
        <w:rPr>
          <w:rFonts w:ascii="Arial" w:hAnsi="Arial" w:cs="Arial"/>
          <w:sz w:val="24"/>
          <w:szCs w:val="24"/>
        </w:rPr>
        <w:t xml:space="preserve"> estructur</w:t>
      </w:r>
      <w:r w:rsidR="005A4D27">
        <w:rPr>
          <w:rFonts w:ascii="Arial" w:hAnsi="Arial" w:cs="Arial"/>
          <w:sz w:val="24"/>
          <w:szCs w:val="24"/>
        </w:rPr>
        <w:t>en</w:t>
      </w:r>
      <w:r w:rsidR="005A4D27" w:rsidRPr="005A4D27">
        <w:rPr>
          <w:rFonts w:ascii="Arial" w:hAnsi="Arial" w:cs="Arial"/>
          <w:sz w:val="24"/>
          <w:szCs w:val="24"/>
        </w:rPr>
        <w:t xml:space="preserve"> líneas de crédito directo, operaciones de redescuento y esquemas de garantías diseñados específicamente para cooperativas</w:t>
      </w:r>
      <w:r w:rsidR="005A4D27">
        <w:rPr>
          <w:rFonts w:ascii="Arial" w:hAnsi="Arial" w:cs="Arial"/>
          <w:sz w:val="24"/>
          <w:szCs w:val="24"/>
        </w:rPr>
        <w:t>. En el mismo sentido, a través de la creación de instrumentos de c</w:t>
      </w:r>
      <w:r w:rsidR="005A4D27" w:rsidRPr="005A4D27">
        <w:rPr>
          <w:rFonts w:ascii="Arial" w:hAnsi="Arial" w:cs="Arial"/>
          <w:sz w:val="24"/>
          <w:szCs w:val="24"/>
        </w:rPr>
        <w:t xml:space="preserve">rédito colectivo </w:t>
      </w:r>
      <w:r w:rsidR="005A4D27">
        <w:rPr>
          <w:rFonts w:ascii="Arial" w:hAnsi="Arial" w:cs="Arial"/>
          <w:sz w:val="24"/>
          <w:szCs w:val="24"/>
        </w:rPr>
        <w:t>que recaigan sobre la</w:t>
      </w:r>
      <w:r w:rsidR="005A4D27" w:rsidRPr="005A4D27">
        <w:rPr>
          <w:rFonts w:ascii="Arial" w:hAnsi="Arial" w:cs="Arial"/>
          <w:sz w:val="24"/>
          <w:szCs w:val="24"/>
        </w:rPr>
        <w:t xml:space="preserve"> cooperativa como persona jurídica, </w:t>
      </w:r>
      <w:r w:rsidR="005A4D27">
        <w:rPr>
          <w:rFonts w:ascii="Arial" w:hAnsi="Arial" w:cs="Arial"/>
          <w:sz w:val="24"/>
          <w:szCs w:val="24"/>
        </w:rPr>
        <w:t>se posibilite el acceso a</w:t>
      </w:r>
      <w:r w:rsidR="005A4D27" w:rsidRPr="005A4D27">
        <w:rPr>
          <w:rFonts w:ascii="Arial" w:hAnsi="Arial" w:cs="Arial"/>
          <w:sz w:val="24"/>
          <w:szCs w:val="24"/>
        </w:rPr>
        <w:t xml:space="preserve"> condiciones de tasa, plazo y garantías más favorables para hogares de bajos ingresos</w:t>
      </w:r>
      <w:r w:rsidR="005A4D27">
        <w:rPr>
          <w:rFonts w:ascii="Arial" w:hAnsi="Arial" w:cs="Arial"/>
          <w:sz w:val="24"/>
          <w:szCs w:val="24"/>
        </w:rPr>
        <w:t xml:space="preserve">. Esto permitiría que los </w:t>
      </w:r>
      <w:r w:rsidR="005A4D27" w:rsidRPr="005A4D27">
        <w:rPr>
          <w:rFonts w:ascii="Arial" w:hAnsi="Arial" w:cs="Arial"/>
          <w:sz w:val="24"/>
          <w:szCs w:val="24"/>
        </w:rPr>
        <w:t xml:space="preserve">trabajadores informales que no pueden acreditar ingresos estables ante la banca </w:t>
      </w:r>
      <w:proofErr w:type="gramStart"/>
      <w:r w:rsidR="005A4D27" w:rsidRPr="005A4D27">
        <w:rPr>
          <w:rFonts w:ascii="Arial" w:hAnsi="Arial" w:cs="Arial"/>
          <w:sz w:val="24"/>
          <w:szCs w:val="24"/>
        </w:rPr>
        <w:t>convencional,</w:t>
      </w:r>
      <w:proofErr w:type="gramEnd"/>
      <w:r w:rsidR="005A4D27" w:rsidRPr="005A4D27">
        <w:rPr>
          <w:rFonts w:ascii="Arial" w:hAnsi="Arial" w:cs="Arial"/>
          <w:sz w:val="24"/>
          <w:szCs w:val="24"/>
        </w:rPr>
        <w:t xml:space="preserve"> </w:t>
      </w:r>
      <w:r w:rsidR="005A4D27">
        <w:rPr>
          <w:rFonts w:ascii="Arial" w:hAnsi="Arial" w:cs="Arial"/>
          <w:sz w:val="24"/>
          <w:szCs w:val="24"/>
        </w:rPr>
        <w:t>puedan soportarse en</w:t>
      </w:r>
      <w:r w:rsidR="005A4D27" w:rsidRPr="005A4D27">
        <w:rPr>
          <w:rFonts w:ascii="Arial" w:hAnsi="Arial" w:cs="Arial"/>
          <w:sz w:val="24"/>
          <w:szCs w:val="24"/>
        </w:rPr>
        <w:t xml:space="preserve"> el esfuerzo colectivo y el trabajo (ayuda mutua) como instrumentos legítimos de acceso a la vivienda</w:t>
      </w:r>
      <w:r w:rsidR="005A4D27">
        <w:rPr>
          <w:rFonts w:ascii="Arial" w:hAnsi="Arial" w:cs="Arial"/>
          <w:sz w:val="24"/>
          <w:szCs w:val="24"/>
        </w:rPr>
        <w:t>.</w:t>
      </w:r>
    </w:p>
    <w:p w14:paraId="0A001D64" w14:textId="77777777" w:rsidR="008422FB" w:rsidRDefault="008422FB" w:rsidP="00493D3A">
      <w:pPr>
        <w:pStyle w:val="Prrafodelista"/>
        <w:spacing w:after="0" w:line="360" w:lineRule="auto"/>
        <w:ind w:left="1440"/>
        <w:jc w:val="both"/>
        <w:rPr>
          <w:rFonts w:ascii="Arial" w:hAnsi="Arial" w:cs="Arial"/>
          <w:sz w:val="24"/>
          <w:szCs w:val="24"/>
        </w:rPr>
      </w:pPr>
    </w:p>
    <w:p w14:paraId="04A4B040" w14:textId="1935635A" w:rsidR="008422FB" w:rsidRDefault="008422FB" w:rsidP="008422FB">
      <w:pPr>
        <w:pStyle w:val="Prrafodelista"/>
        <w:numPr>
          <w:ilvl w:val="0"/>
          <w:numId w:val="22"/>
        </w:numPr>
        <w:spacing w:after="0" w:line="360" w:lineRule="auto"/>
        <w:jc w:val="both"/>
        <w:rPr>
          <w:rFonts w:ascii="Arial" w:hAnsi="Arial" w:cs="Arial"/>
          <w:sz w:val="24"/>
          <w:szCs w:val="24"/>
        </w:rPr>
      </w:pPr>
      <w:r>
        <w:rPr>
          <w:rFonts w:ascii="Arial" w:hAnsi="Arial" w:cs="Arial"/>
          <w:sz w:val="24"/>
          <w:szCs w:val="24"/>
        </w:rPr>
        <w:lastRenderedPageBreak/>
        <w:t>Topes de vivienda:</w:t>
      </w:r>
    </w:p>
    <w:p w14:paraId="077F3EE1" w14:textId="77777777" w:rsidR="005A4D27" w:rsidRDefault="005A4D27" w:rsidP="00493D3A">
      <w:pPr>
        <w:pStyle w:val="Prrafodelista"/>
        <w:spacing w:after="0" w:line="360" w:lineRule="auto"/>
        <w:ind w:left="783"/>
        <w:jc w:val="both"/>
        <w:rPr>
          <w:rFonts w:ascii="Arial" w:hAnsi="Arial" w:cs="Arial"/>
          <w:sz w:val="24"/>
          <w:szCs w:val="24"/>
        </w:rPr>
      </w:pPr>
    </w:p>
    <w:p w14:paraId="755DC136" w14:textId="4CB5FC1E" w:rsidR="008422FB" w:rsidRDefault="008422FB" w:rsidP="008422FB">
      <w:pPr>
        <w:spacing w:after="0" w:line="360" w:lineRule="auto"/>
        <w:jc w:val="both"/>
        <w:rPr>
          <w:rFonts w:ascii="Arial" w:hAnsi="Arial" w:cs="Arial"/>
          <w:sz w:val="24"/>
          <w:szCs w:val="24"/>
        </w:rPr>
      </w:pPr>
      <w:r>
        <w:rPr>
          <w:rFonts w:ascii="Arial" w:hAnsi="Arial" w:cs="Arial"/>
          <w:sz w:val="24"/>
          <w:szCs w:val="24"/>
        </w:rPr>
        <w:t xml:space="preserve">Uno de los proyectos de Decreto, que fue publicado pero que no culminó el proceso de firmas, es el que pretende </w:t>
      </w:r>
      <w:r w:rsidRPr="008422FB">
        <w:rPr>
          <w:rFonts w:ascii="Arial" w:hAnsi="Arial" w:cs="Arial"/>
          <w:sz w:val="24"/>
          <w:szCs w:val="24"/>
        </w:rPr>
        <w:t xml:space="preserve">la desindexación de los topes de la Vivienda de Interés Social (VIS) del salario mínimo </w:t>
      </w:r>
      <w:r w:rsidR="00E223A9">
        <w:rPr>
          <w:rFonts w:ascii="Arial" w:hAnsi="Arial" w:cs="Arial"/>
          <w:sz w:val="24"/>
          <w:szCs w:val="24"/>
        </w:rPr>
        <w:t>pues al</w:t>
      </w:r>
      <w:r w:rsidRPr="008422FB">
        <w:rPr>
          <w:rFonts w:ascii="Arial" w:hAnsi="Arial" w:cs="Arial"/>
          <w:sz w:val="24"/>
          <w:szCs w:val="24"/>
        </w:rPr>
        <w:t xml:space="preserve"> comercializar</w:t>
      </w:r>
      <w:r w:rsidR="00E223A9">
        <w:rPr>
          <w:rFonts w:ascii="Arial" w:hAnsi="Arial" w:cs="Arial"/>
          <w:sz w:val="24"/>
          <w:szCs w:val="24"/>
        </w:rPr>
        <w:t>se</w:t>
      </w:r>
      <w:r w:rsidRPr="008422FB">
        <w:rPr>
          <w:rFonts w:ascii="Arial" w:hAnsi="Arial" w:cs="Arial"/>
          <w:sz w:val="24"/>
          <w:szCs w:val="24"/>
        </w:rPr>
        <w:t xml:space="preserve"> las viviendas en salarios mínimos (SMMLV) en lugar de pesos fijos, </w:t>
      </w:r>
      <w:r w:rsidR="006B01F6">
        <w:rPr>
          <w:rFonts w:ascii="Arial" w:hAnsi="Arial" w:cs="Arial"/>
          <w:sz w:val="24"/>
          <w:szCs w:val="24"/>
        </w:rPr>
        <w:t>se</w:t>
      </w:r>
      <w:r w:rsidRPr="008422FB">
        <w:rPr>
          <w:rFonts w:ascii="Arial" w:hAnsi="Arial" w:cs="Arial"/>
          <w:sz w:val="24"/>
          <w:szCs w:val="24"/>
        </w:rPr>
        <w:t xml:space="preserve"> traslada injustificadamente al comprador el riesgo de los incrementos anuales del salario</w:t>
      </w:r>
      <w:r w:rsidR="006B01F6">
        <w:rPr>
          <w:rFonts w:ascii="Arial" w:hAnsi="Arial" w:cs="Arial"/>
          <w:sz w:val="24"/>
          <w:szCs w:val="24"/>
        </w:rPr>
        <w:t xml:space="preserve">. De esta forma se busca abordar las siguientes problemáticas: </w:t>
      </w:r>
    </w:p>
    <w:p w14:paraId="33D1E2DD" w14:textId="77777777" w:rsidR="006B01F6" w:rsidRDefault="006B01F6" w:rsidP="006B01F6">
      <w:pPr>
        <w:pStyle w:val="Prrafodelista"/>
        <w:numPr>
          <w:ilvl w:val="1"/>
          <w:numId w:val="22"/>
        </w:numPr>
        <w:spacing w:after="0" w:line="360" w:lineRule="auto"/>
        <w:jc w:val="both"/>
        <w:rPr>
          <w:rFonts w:ascii="Arial" w:hAnsi="Arial" w:cs="Arial"/>
          <w:sz w:val="24"/>
          <w:szCs w:val="24"/>
        </w:rPr>
      </w:pPr>
      <w:r w:rsidRPr="00493D3A">
        <w:rPr>
          <w:rFonts w:ascii="Arial" w:hAnsi="Arial" w:cs="Arial"/>
          <w:sz w:val="24"/>
          <w:szCs w:val="24"/>
        </w:rPr>
        <w:t>Riesgo desproporcionado para el consumidor</w:t>
      </w:r>
      <w:r>
        <w:rPr>
          <w:rFonts w:ascii="Arial" w:hAnsi="Arial" w:cs="Arial"/>
          <w:sz w:val="24"/>
          <w:szCs w:val="24"/>
        </w:rPr>
        <w:t>, pues a</w:t>
      </w:r>
      <w:r w:rsidRPr="00493D3A">
        <w:rPr>
          <w:rFonts w:ascii="Arial" w:hAnsi="Arial" w:cs="Arial"/>
          <w:sz w:val="24"/>
          <w:szCs w:val="24"/>
        </w:rPr>
        <w:t>l expresar el precio en SMMLV, los hogares de menores ingresos enfrentan incrementos automáticos en el valor final de la vivienda que no pueden anticipar ni controlar</w:t>
      </w:r>
      <w:r>
        <w:rPr>
          <w:rFonts w:ascii="Arial" w:hAnsi="Arial" w:cs="Arial"/>
          <w:sz w:val="24"/>
          <w:szCs w:val="24"/>
        </w:rPr>
        <w:t xml:space="preserve">. </w:t>
      </w:r>
      <w:r w:rsidRPr="00493D3A">
        <w:rPr>
          <w:rFonts w:ascii="Arial" w:hAnsi="Arial" w:cs="Arial"/>
          <w:sz w:val="24"/>
          <w:szCs w:val="24"/>
        </w:rPr>
        <w:t>Esto genera incertidumbre sobre el valor real del inmueble y pone en riesgo el cierre financiero de los hogares, obligándolos a mayores niveles de endeudamiento o provocando el desistimiento del negocio</w:t>
      </w:r>
      <w:r>
        <w:rPr>
          <w:rFonts w:ascii="Arial" w:hAnsi="Arial" w:cs="Arial"/>
          <w:sz w:val="24"/>
          <w:szCs w:val="24"/>
        </w:rPr>
        <w:t>.</w:t>
      </w:r>
    </w:p>
    <w:p w14:paraId="63B4BC36" w14:textId="77777777" w:rsidR="006B01F6" w:rsidRDefault="006B01F6" w:rsidP="006B01F6">
      <w:pPr>
        <w:pStyle w:val="Prrafodelista"/>
        <w:numPr>
          <w:ilvl w:val="1"/>
          <w:numId w:val="22"/>
        </w:numPr>
        <w:spacing w:after="0" w:line="360" w:lineRule="auto"/>
        <w:jc w:val="both"/>
        <w:rPr>
          <w:rFonts w:ascii="Arial" w:hAnsi="Arial" w:cs="Arial"/>
          <w:sz w:val="24"/>
          <w:szCs w:val="24"/>
        </w:rPr>
      </w:pPr>
      <w:r w:rsidRPr="00493D3A">
        <w:rPr>
          <w:rFonts w:ascii="Arial" w:hAnsi="Arial" w:cs="Arial"/>
          <w:sz w:val="24"/>
          <w:szCs w:val="24"/>
        </w:rPr>
        <w:t>Desconexión con los costos reales de construcción</w:t>
      </w:r>
      <w:r>
        <w:rPr>
          <w:rFonts w:ascii="Arial" w:hAnsi="Arial" w:cs="Arial"/>
          <w:sz w:val="24"/>
          <w:szCs w:val="24"/>
        </w:rPr>
        <w:t>, pues</w:t>
      </w:r>
      <w:r w:rsidRPr="00493D3A">
        <w:rPr>
          <w:rFonts w:ascii="Arial" w:hAnsi="Arial" w:cs="Arial"/>
          <w:sz w:val="24"/>
          <w:szCs w:val="24"/>
        </w:rPr>
        <w:t xml:space="preserve"> </w:t>
      </w:r>
      <w:r>
        <w:rPr>
          <w:rFonts w:ascii="Arial" w:hAnsi="Arial" w:cs="Arial"/>
          <w:sz w:val="24"/>
          <w:szCs w:val="24"/>
        </w:rPr>
        <w:t>l</w:t>
      </w:r>
      <w:r w:rsidRPr="00493D3A">
        <w:rPr>
          <w:rFonts w:ascii="Arial" w:hAnsi="Arial" w:cs="Arial"/>
          <w:sz w:val="24"/>
          <w:szCs w:val="24"/>
        </w:rPr>
        <w:t>os incrementos del salario mínimo no reflejan necesariamente la estructura de costos del sector</w:t>
      </w:r>
      <w:r>
        <w:rPr>
          <w:rFonts w:ascii="Arial" w:hAnsi="Arial" w:cs="Arial"/>
          <w:sz w:val="24"/>
          <w:szCs w:val="24"/>
        </w:rPr>
        <w:t xml:space="preserve">. </w:t>
      </w:r>
      <w:r w:rsidRPr="00493D3A">
        <w:rPr>
          <w:rFonts w:ascii="Arial" w:hAnsi="Arial" w:cs="Arial"/>
          <w:sz w:val="24"/>
          <w:szCs w:val="24"/>
        </w:rPr>
        <w:t>Los análisis técnicos demuestran que la mano de obra directa representa solo un 18.4% de los costos totales de producción, por lo que un alza en el salario mínimo no justifica un aumento proporcional en el precio final de la vivienda, especialmente cuando gran parte de los costos se causan antes de la escrituración</w:t>
      </w:r>
    </w:p>
    <w:p w14:paraId="6471A61B" w14:textId="77777777" w:rsidR="006B01F6" w:rsidRDefault="006B01F6" w:rsidP="006B01F6">
      <w:pPr>
        <w:pStyle w:val="Prrafodelista"/>
        <w:numPr>
          <w:ilvl w:val="1"/>
          <w:numId w:val="22"/>
        </w:numPr>
        <w:spacing w:after="0" w:line="360" w:lineRule="auto"/>
        <w:jc w:val="both"/>
        <w:rPr>
          <w:rFonts w:ascii="Arial" w:hAnsi="Arial" w:cs="Arial"/>
          <w:sz w:val="24"/>
          <w:szCs w:val="24"/>
        </w:rPr>
      </w:pPr>
      <w:r w:rsidRPr="00493D3A">
        <w:rPr>
          <w:rFonts w:ascii="Arial" w:hAnsi="Arial" w:cs="Arial"/>
          <w:sz w:val="24"/>
          <w:szCs w:val="24"/>
        </w:rPr>
        <w:t>Uso del tope como precio de referencia</w:t>
      </w:r>
      <w:r>
        <w:rPr>
          <w:rFonts w:ascii="Arial" w:hAnsi="Arial" w:cs="Arial"/>
          <w:sz w:val="24"/>
          <w:szCs w:val="24"/>
        </w:rPr>
        <w:t xml:space="preserve">, </w:t>
      </w:r>
      <w:proofErr w:type="gramStart"/>
      <w:r>
        <w:rPr>
          <w:rFonts w:ascii="Arial" w:hAnsi="Arial" w:cs="Arial"/>
          <w:sz w:val="24"/>
          <w:szCs w:val="24"/>
        </w:rPr>
        <w:t>pues</w:t>
      </w:r>
      <w:proofErr w:type="gramEnd"/>
      <w:r>
        <w:rPr>
          <w:rFonts w:ascii="Arial" w:hAnsi="Arial" w:cs="Arial"/>
          <w:sz w:val="24"/>
          <w:szCs w:val="24"/>
        </w:rPr>
        <w:t xml:space="preserve"> a</w:t>
      </w:r>
      <w:r w:rsidRPr="00493D3A">
        <w:rPr>
          <w:rFonts w:ascii="Arial" w:hAnsi="Arial" w:cs="Arial"/>
          <w:sz w:val="24"/>
          <w:szCs w:val="24"/>
        </w:rPr>
        <w:t>unque el tope VIS es legalmente un criterio de clasificación, en la práctica los productores lo utilizan como un precio de referencia para fijar los valores de venta. Esto ha llevado a que los precios de las viviendas crezcan automáticamente al ritmo del salario mínimo, exacerbando los márgenes de ganancia de los constructores sin una base técnica real</w:t>
      </w:r>
    </w:p>
    <w:p w14:paraId="3ADBA838" w14:textId="2E89DBD7" w:rsidR="006B01F6" w:rsidRPr="00493D3A" w:rsidRDefault="006B01F6" w:rsidP="00493D3A">
      <w:pPr>
        <w:pStyle w:val="Prrafodelista"/>
        <w:numPr>
          <w:ilvl w:val="1"/>
          <w:numId w:val="22"/>
        </w:numPr>
        <w:spacing w:after="0" w:line="360" w:lineRule="auto"/>
        <w:jc w:val="both"/>
        <w:rPr>
          <w:rFonts w:ascii="Arial" w:hAnsi="Arial" w:cs="Arial"/>
          <w:sz w:val="24"/>
          <w:szCs w:val="24"/>
        </w:rPr>
      </w:pPr>
      <w:r w:rsidRPr="00493D3A">
        <w:rPr>
          <w:rFonts w:ascii="Arial" w:hAnsi="Arial" w:cs="Arial"/>
          <w:sz w:val="24"/>
          <w:szCs w:val="24"/>
        </w:rPr>
        <w:t>Impacto en la demanda</w:t>
      </w:r>
      <w:r>
        <w:rPr>
          <w:rFonts w:ascii="Arial" w:hAnsi="Arial" w:cs="Arial"/>
          <w:sz w:val="24"/>
          <w:szCs w:val="24"/>
        </w:rPr>
        <w:t>, pues e</w:t>
      </w:r>
      <w:r w:rsidRPr="00493D3A">
        <w:rPr>
          <w:rFonts w:ascii="Arial" w:hAnsi="Arial" w:cs="Arial"/>
          <w:sz w:val="24"/>
          <w:szCs w:val="24"/>
        </w:rPr>
        <w:t xml:space="preserve">l incremento de los precios por indexación afecta la capacidad de compra. Se estima que cerca de 172,000 negocios vigentes fijados en SMMLV sufrieron aumentos </w:t>
      </w:r>
      <w:r w:rsidRPr="00493D3A">
        <w:rPr>
          <w:rFonts w:ascii="Arial" w:hAnsi="Arial" w:cs="Arial"/>
          <w:sz w:val="24"/>
          <w:szCs w:val="24"/>
        </w:rPr>
        <w:lastRenderedPageBreak/>
        <w:t>automáticos en 2026 que sumaron casi $5 billones de pesos, de los cuales la mayor parte no estaba justificada por el aumento real de los costos de construcción</w:t>
      </w:r>
      <w:r>
        <w:rPr>
          <w:rFonts w:ascii="Arial" w:hAnsi="Arial" w:cs="Arial"/>
          <w:sz w:val="24"/>
          <w:szCs w:val="24"/>
        </w:rPr>
        <w:t xml:space="preserve">. </w:t>
      </w:r>
      <w:r w:rsidRPr="00493D3A">
        <w:rPr>
          <w:rFonts w:ascii="Arial" w:hAnsi="Arial" w:cs="Arial"/>
          <w:sz w:val="24"/>
          <w:szCs w:val="24"/>
        </w:rPr>
        <w:t xml:space="preserve">Para resolver esto, </w:t>
      </w:r>
      <w:r>
        <w:rPr>
          <w:rFonts w:ascii="Arial" w:hAnsi="Arial" w:cs="Arial"/>
          <w:sz w:val="24"/>
          <w:szCs w:val="24"/>
        </w:rPr>
        <w:t>se</w:t>
      </w:r>
      <w:r w:rsidRPr="00493D3A">
        <w:rPr>
          <w:rFonts w:ascii="Arial" w:hAnsi="Arial" w:cs="Arial"/>
          <w:sz w:val="24"/>
          <w:szCs w:val="24"/>
        </w:rPr>
        <w:t xml:space="preserve"> busca obligar a los oferentes a informar y fijar el precio en pesos colombianos desde el momento inicial de la vinculación (separación o promesa de compraventa), garantizando que este sea el único precio exigible durante toda la ejecución del contrato</w:t>
      </w:r>
      <w:r>
        <w:rPr>
          <w:rFonts w:ascii="Arial" w:hAnsi="Arial" w:cs="Arial"/>
          <w:sz w:val="24"/>
          <w:szCs w:val="24"/>
        </w:rPr>
        <w:t>.</w:t>
      </w:r>
    </w:p>
    <w:p w14:paraId="084E37EE" w14:textId="4AC1EACA" w:rsidR="00C20B1D" w:rsidRPr="00493D3A" w:rsidRDefault="00C20B1D" w:rsidP="00493D3A">
      <w:pPr>
        <w:spacing w:after="0" w:line="360" w:lineRule="auto"/>
        <w:ind w:left="423"/>
        <w:jc w:val="both"/>
        <w:rPr>
          <w:rFonts w:ascii="Arial" w:hAnsi="Arial" w:cs="Arial"/>
          <w:sz w:val="24"/>
          <w:szCs w:val="24"/>
        </w:rPr>
      </w:pPr>
    </w:p>
    <w:p w14:paraId="7C14F524" w14:textId="108E3DB9" w:rsidR="00163082" w:rsidRPr="00E00F13" w:rsidRDefault="00163082" w:rsidP="00163082">
      <w:pPr>
        <w:pStyle w:val="Ttulo3"/>
        <w:rPr>
          <w:color w:val="auto"/>
        </w:rPr>
      </w:pPr>
      <w:bookmarkStart w:id="168" w:name="_Toc234242890"/>
      <w:r w:rsidRPr="00E00F13">
        <w:rPr>
          <w:color w:val="auto"/>
        </w:rPr>
        <w:t>La magnitud del problema en cifras</w:t>
      </w:r>
      <w:bookmarkEnd w:id="168"/>
    </w:p>
    <w:p w14:paraId="723B25B6" w14:textId="724AE7E4" w:rsidR="00163082" w:rsidRPr="00E00F13" w:rsidRDefault="00163082" w:rsidP="00163082">
      <w:pPr>
        <w:spacing w:after="0" w:line="360" w:lineRule="auto"/>
        <w:jc w:val="both"/>
        <w:rPr>
          <w:rFonts w:ascii="Arial" w:hAnsi="Arial" w:cs="Arial"/>
          <w:sz w:val="24"/>
          <w:szCs w:val="24"/>
        </w:rPr>
      </w:pPr>
      <w:r w:rsidRPr="00E00F13">
        <w:rPr>
          <w:rFonts w:ascii="Arial" w:hAnsi="Arial" w:cs="Arial"/>
          <w:sz w:val="24"/>
          <w:szCs w:val="24"/>
        </w:rPr>
        <w:t>De acuerdo con los resultados de la E</w:t>
      </w:r>
      <w:r w:rsidR="2EB7CF55" w:rsidRPr="00E00F13">
        <w:rPr>
          <w:rFonts w:ascii="Arial" w:hAnsi="Arial" w:cs="Arial"/>
          <w:sz w:val="24"/>
          <w:szCs w:val="24"/>
        </w:rPr>
        <w:t>ncuesta de Calidad de Vida (E</w:t>
      </w:r>
      <w:r w:rsidRPr="00E00F13">
        <w:rPr>
          <w:rFonts w:ascii="Arial" w:hAnsi="Arial" w:cs="Arial"/>
          <w:sz w:val="24"/>
          <w:szCs w:val="24"/>
        </w:rPr>
        <w:t>CV</w:t>
      </w:r>
      <w:r w:rsidR="67297CE0" w:rsidRPr="00E00F13">
        <w:rPr>
          <w:rFonts w:ascii="Arial" w:hAnsi="Arial" w:cs="Arial"/>
          <w:sz w:val="24"/>
          <w:szCs w:val="24"/>
        </w:rPr>
        <w:t>)</w:t>
      </w:r>
      <w:r w:rsidRPr="00E00F13">
        <w:rPr>
          <w:rFonts w:ascii="Arial" w:hAnsi="Arial" w:cs="Arial"/>
          <w:sz w:val="24"/>
          <w:szCs w:val="24"/>
        </w:rPr>
        <w:t xml:space="preserve"> del DANE, el </w:t>
      </w:r>
      <w:r w:rsidR="00274626" w:rsidRPr="00E00F13">
        <w:rPr>
          <w:rFonts w:ascii="Arial" w:hAnsi="Arial" w:cs="Arial"/>
          <w:sz w:val="24"/>
          <w:szCs w:val="24"/>
        </w:rPr>
        <w:t xml:space="preserve">acceso a la vivienda en la modalidad de </w:t>
      </w:r>
      <w:r w:rsidRPr="00E00F13">
        <w:rPr>
          <w:rFonts w:ascii="Arial" w:hAnsi="Arial" w:cs="Arial"/>
          <w:sz w:val="24"/>
          <w:szCs w:val="24"/>
        </w:rPr>
        <w:t xml:space="preserve">arriendo (40,4%) superó a la </w:t>
      </w:r>
      <w:r w:rsidR="7FFCCD17" w:rsidRPr="00E00F13">
        <w:rPr>
          <w:rFonts w:ascii="Arial" w:hAnsi="Arial" w:cs="Arial"/>
          <w:sz w:val="24"/>
          <w:szCs w:val="24"/>
        </w:rPr>
        <w:t xml:space="preserve">de </w:t>
      </w:r>
      <w:r w:rsidRPr="00E00F13">
        <w:rPr>
          <w:rFonts w:ascii="Arial" w:hAnsi="Arial" w:cs="Arial"/>
          <w:sz w:val="24"/>
          <w:szCs w:val="24"/>
        </w:rPr>
        <w:t>vivienda propia en el cálculo establecido para 2024</w:t>
      </w:r>
      <w:r w:rsidR="00274626" w:rsidRPr="00E00F13">
        <w:rPr>
          <w:rFonts w:ascii="Arial" w:hAnsi="Arial" w:cs="Arial"/>
          <w:sz w:val="24"/>
          <w:szCs w:val="24"/>
        </w:rPr>
        <w:t>, por p</w:t>
      </w:r>
      <w:r w:rsidR="00D66E7F" w:rsidRPr="00E00F13">
        <w:rPr>
          <w:rFonts w:ascii="Arial" w:hAnsi="Arial" w:cs="Arial"/>
          <w:sz w:val="24"/>
          <w:szCs w:val="24"/>
        </w:rPr>
        <w:t>rimera vez en la historia</w:t>
      </w:r>
      <w:r w:rsidRPr="00E00F13">
        <w:rPr>
          <w:rFonts w:ascii="Arial" w:hAnsi="Arial" w:cs="Arial"/>
          <w:sz w:val="24"/>
          <w:szCs w:val="24"/>
        </w:rPr>
        <w:t>. Aunque el MVCT dio un subsidio de arrendamiento (con un reporte de asignación de 144</w:t>
      </w:r>
      <w:r w:rsidR="0075302D" w:rsidRPr="00E00F13">
        <w:rPr>
          <w:rFonts w:ascii="Arial" w:hAnsi="Arial" w:cs="Arial"/>
          <w:sz w:val="24"/>
          <w:szCs w:val="24"/>
        </w:rPr>
        <w:t xml:space="preserve"> soluciones</w:t>
      </w:r>
      <w:r w:rsidRPr="00E00F13">
        <w:rPr>
          <w:rFonts w:ascii="Arial" w:hAnsi="Arial" w:cs="Arial"/>
          <w:sz w:val="24"/>
          <w:szCs w:val="24"/>
        </w:rPr>
        <w:t xml:space="preserve">), esta cifra es </w:t>
      </w:r>
      <w:r w:rsidR="00D20A4B" w:rsidRPr="00E00F13">
        <w:rPr>
          <w:rFonts w:ascii="Arial" w:hAnsi="Arial" w:cs="Arial"/>
          <w:sz w:val="24"/>
          <w:szCs w:val="24"/>
        </w:rPr>
        <w:t>poco significativa</w:t>
      </w:r>
      <w:r w:rsidRPr="00E00F13">
        <w:rPr>
          <w:rFonts w:ascii="Arial" w:hAnsi="Arial" w:cs="Arial"/>
          <w:sz w:val="24"/>
          <w:szCs w:val="24"/>
        </w:rPr>
        <w:t xml:space="preserve"> frente a la magnitud del fenómeno de inquilinato revelado por el DANE. Esto podría implicar un giro en la política de vivienda.</w:t>
      </w:r>
    </w:p>
    <w:p w14:paraId="7D53E215" w14:textId="77777777" w:rsidR="00163082" w:rsidRPr="00E00F13" w:rsidRDefault="00163082" w:rsidP="00163082">
      <w:pPr>
        <w:spacing w:after="0" w:line="360" w:lineRule="auto"/>
        <w:jc w:val="both"/>
        <w:rPr>
          <w:rFonts w:ascii="Arial" w:hAnsi="Arial" w:cs="Arial"/>
          <w:sz w:val="24"/>
          <w:szCs w:val="24"/>
        </w:rPr>
      </w:pPr>
    </w:p>
    <w:p w14:paraId="62229EF7" w14:textId="220BC5C0" w:rsidR="00163082" w:rsidRPr="00E00F13" w:rsidRDefault="00163082" w:rsidP="00163082">
      <w:pPr>
        <w:spacing w:after="0" w:line="360" w:lineRule="auto"/>
        <w:jc w:val="both"/>
        <w:rPr>
          <w:rFonts w:ascii="Arial" w:hAnsi="Arial" w:cs="Arial"/>
          <w:sz w:val="24"/>
          <w:szCs w:val="24"/>
        </w:rPr>
      </w:pPr>
      <w:r w:rsidRPr="00E00F13">
        <w:rPr>
          <w:rFonts w:ascii="Arial" w:hAnsi="Arial" w:cs="Arial"/>
          <w:sz w:val="24"/>
          <w:szCs w:val="24"/>
        </w:rPr>
        <w:t xml:space="preserve">De igual manera, el DANE establece que para 2024 </w:t>
      </w:r>
      <w:r w:rsidR="00BD1E6E" w:rsidRPr="00E00F13">
        <w:rPr>
          <w:rFonts w:ascii="Arial" w:hAnsi="Arial" w:cs="Arial"/>
          <w:sz w:val="24"/>
          <w:szCs w:val="24"/>
        </w:rPr>
        <w:t xml:space="preserve">que </w:t>
      </w:r>
      <w:r w:rsidRPr="00E00F13">
        <w:rPr>
          <w:rFonts w:ascii="Arial" w:hAnsi="Arial" w:cs="Arial"/>
          <w:sz w:val="24"/>
          <w:szCs w:val="24"/>
        </w:rPr>
        <w:t>uno de cada diez hogares campesinos no tiene ningún servicio sanitario. Aunque el MVCT reporta 1.743 baterías sanitarias terminadas, la escala de la intervención (soluciones individuales) es lenta frente a la masividad de la carencia sanitaria rural, esto es el resultado de un proceso complejo que implicará una intervención estructural que debe sostenerse en el tiempo.</w:t>
      </w:r>
    </w:p>
    <w:p w14:paraId="454AA210" w14:textId="77777777" w:rsidR="00163082" w:rsidRPr="00E00F13" w:rsidRDefault="00163082" w:rsidP="00163082">
      <w:pPr>
        <w:spacing w:after="0" w:line="360" w:lineRule="auto"/>
        <w:jc w:val="both"/>
        <w:rPr>
          <w:rFonts w:ascii="Arial" w:hAnsi="Arial" w:cs="Arial"/>
          <w:sz w:val="24"/>
          <w:szCs w:val="24"/>
        </w:rPr>
      </w:pPr>
    </w:p>
    <w:p w14:paraId="3AA4732A" w14:textId="55992EB6" w:rsidR="00163082" w:rsidRPr="00E00F13" w:rsidRDefault="00163082" w:rsidP="00163082">
      <w:pPr>
        <w:spacing w:after="0" w:line="360" w:lineRule="auto"/>
        <w:jc w:val="both"/>
        <w:rPr>
          <w:rFonts w:ascii="Arial" w:hAnsi="Arial" w:cs="Arial"/>
          <w:sz w:val="24"/>
          <w:szCs w:val="24"/>
        </w:rPr>
      </w:pPr>
      <w:r w:rsidRPr="00E00F13">
        <w:rPr>
          <w:rFonts w:ascii="Arial" w:hAnsi="Arial" w:cs="Arial"/>
          <w:sz w:val="24"/>
          <w:szCs w:val="24"/>
        </w:rPr>
        <w:t xml:space="preserve">Por último, el MVCT reconoce que el </w:t>
      </w:r>
      <w:r w:rsidR="197CF938" w:rsidRPr="00E00F13">
        <w:rPr>
          <w:rFonts w:ascii="Arial" w:hAnsi="Arial" w:cs="Arial"/>
          <w:sz w:val="24"/>
          <w:szCs w:val="24"/>
        </w:rPr>
        <w:t xml:space="preserve">Índice de </w:t>
      </w:r>
      <w:r w:rsidR="5A243326" w:rsidRPr="00E00F13">
        <w:rPr>
          <w:rFonts w:ascii="Arial" w:hAnsi="Arial" w:cs="Arial"/>
          <w:sz w:val="24"/>
          <w:szCs w:val="24"/>
        </w:rPr>
        <w:t xml:space="preserve">Riesgo de </w:t>
      </w:r>
      <w:r w:rsidR="197CF938" w:rsidRPr="00E00F13">
        <w:rPr>
          <w:rFonts w:ascii="Arial" w:hAnsi="Arial" w:cs="Arial"/>
          <w:sz w:val="24"/>
          <w:szCs w:val="24"/>
        </w:rPr>
        <w:t xml:space="preserve">Calidad del </w:t>
      </w:r>
      <w:r w:rsidR="5A243326" w:rsidRPr="00E00F13">
        <w:rPr>
          <w:rFonts w:ascii="Arial" w:hAnsi="Arial" w:cs="Arial"/>
          <w:sz w:val="24"/>
          <w:szCs w:val="24"/>
        </w:rPr>
        <w:t>A</w:t>
      </w:r>
      <w:r w:rsidR="117D73E3" w:rsidRPr="00E00F13">
        <w:rPr>
          <w:rFonts w:ascii="Arial" w:hAnsi="Arial" w:cs="Arial"/>
          <w:sz w:val="24"/>
          <w:szCs w:val="24"/>
        </w:rPr>
        <w:t>gua</w:t>
      </w:r>
      <w:r w:rsidR="482259B6" w:rsidRPr="00E00F13">
        <w:rPr>
          <w:rFonts w:ascii="Arial" w:eastAsia="Calibri" w:hAnsi="Arial" w:cs="Arial"/>
          <w:sz w:val="24"/>
          <w:szCs w:val="24"/>
        </w:rPr>
        <w:t xml:space="preserve"> (</w:t>
      </w:r>
      <w:r w:rsidRPr="00E00F13">
        <w:rPr>
          <w:rFonts w:ascii="Arial" w:hAnsi="Arial" w:cs="Arial"/>
          <w:sz w:val="24"/>
          <w:szCs w:val="24"/>
        </w:rPr>
        <w:t>IR</w:t>
      </w:r>
      <w:r w:rsidR="4D9842B4" w:rsidRPr="00E00F13">
        <w:rPr>
          <w:rFonts w:ascii="Arial" w:hAnsi="Arial" w:cs="Arial"/>
          <w:sz w:val="24"/>
          <w:szCs w:val="24"/>
        </w:rPr>
        <w:t>CA</w:t>
      </w:r>
      <w:r w:rsidR="12203A23" w:rsidRPr="00E00F13">
        <w:rPr>
          <w:rFonts w:ascii="Arial" w:hAnsi="Arial" w:cs="Arial"/>
          <w:sz w:val="24"/>
          <w:szCs w:val="24"/>
        </w:rPr>
        <w:t>)</w:t>
      </w:r>
      <w:r w:rsidRPr="00E00F13">
        <w:rPr>
          <w:rFonts w:ascii="Arial" w:hAnsi="Arial" w:cs="Arial"/>
          <w:sz w:val="24"/>
          <w:szCs w:val="24"/>
        </w:rPr>
        <w:t xml:space="preserve"> rural está en 37,4%, que es de riesgo alto. Aunque </w:t>
      </w:r>
      <w:r w:rsidR="00C17BA5" w:rsidRPr="00E00F13">
        <w:rPr>
          <w:rFonts w:ascii="Arial" w:hAnsi="Arial" w:cs="Arial"/>
          <w:sz w:val="24"/>
          <w:szCs w:val="24"/>
        </w:rPr>
        <w:t xml:space="preserve">existe </w:t>
      </w:r>
      <w:r w:rsidR="005258B6" w:rsidRPr="00E00F13">
        <w:rPr>
          <w:rFonts w:ascii="Arial" w:hAnsi="Arial" w:cs="Arial"/>
          <w:sz w:val="24"/>
          <w:szCs w:val="24"/>
        </w:rPr>
        <w:t>una nueva reglamentación en torno a la</w:t>
      </w:r>
      <w:r w:rsidRPr="00E00F13">
        <w:rPr>
          <w:rFonts w:ascii="Arial" w:hAnsi="Arial" w:cs="Arial"/>
          <w:sz w:val="24"/>
          <w:szCs w:val="24"/>
        </w:rPr>
        <w:t xml:space="preserve"> gestión comunitaria</w:t>
      </w:r>
      <w:r w:rsidR="005258B6" w:rsidRPr="00E00F13">
        <w:rPr>
          <w:rFonts w:ascii="Arial" w:hAnsi="Arial" w:cs="Arial"/>
          <w:sz w:val="24"/>
          <w:szCs w:val="24"/>
        </w:rPr>
        <w:t xml:space="preserve"> del agua</w:t>
      </w:r>
      <w:r w:rsidRPr="00E00F13">
        <w:rPr>
          <w:rFonts w:ascii="Arial" w:hAnsi="Arial" w:cs="Arial"/>
          <w:sz w:val="24"/>
          <w:szCs w:val="24"/>
        </w:rPr>
        <w:t xml:space="preserve">, </w:t>
      </w:r>
      <w:r w:rsidR="005258B6" w:rsidRPr="00E00F13">
        <w:rPr>
          <w:rFonts w:ascii="Arial" w:hAnsi="Arial" w:cs="Arial"/>
          <w:sz w:val="24"/>
          <w:szCs w:val="24"/>
        </w:rPr>
        <w:t xml:space="preserve">el propósito es </w:t>
      </w:r>
      <w:r w:rsidRPr="00E00F13">
        <w:rPr>
          <w:rFonts w:ascii="Arial" w:hAnsi="Arial" w:cs="Arial"/>
          <w:sz w:val="24"/>
          <w:szCs w:val="24"/>
        </w:rPr>
        <w:t>asegurar que e</w:t>
      </w:r>
      <w:r w:rsidR="00304B44" w:rsidRPr="00E00F13">
        <w:rPr>
          <w:rFonts w:ascii="Arial" w:hAnsi="Arial" w:cs="Arial"/>
          <w:sz w:val="24"/>
          <w:szCs w:val="24"/>
        </w:rPr>
        <w:t>l</w:t>
      </w:r>
      <w:r w:rsidRPr="00E00F13">
        <w:rPr>
          <w:rFonts w:ascii="Arial" w:hAnsi="Arial" w:cs="Arial"/>
          <w:sz w:val="24"/>
          <w:szCs w:val="24"/>
        </w:rPr>
        <w:t xml:space="preserve"> agua no solo llegue, sino que sea </w:t>
      </w:r>
      <w:r w:rsidR="3F9E642B" w:rsidRPr="00E00F13">
        <w:rPr>
          <w:rFonts w:ascii="Arial" w:hAnsi="Arial" w:cs="Arial"/>
          <w:sz w:val="24"/>
          <w:szCs w:val="24"/>
        </w:rPr>
        <w:t>apta para el consumo humano</w:t>
      </w:r>
      <w:r w:rsidR="005258B6" w:rsidRPr="00E00F13">
        <w:rPr>
          <w:rFonts w:ascii="Arial" w:hAnsi="Arial" w:cs="Arial"/>
          <w:sz w:val="24"/>
          <w:szCs w:val="24"/>
        </w:rPr>
        <w:t>;</w:t>
      </w:r>
      <w:r w:rsidRPr="00E00F13">
        <w:rPr>
          <w:rFonts w:ascii="Arial" w:hAnsi="Arial" w:cs="Arial"/>
          <w:sz w:val="24"/>
          <w:szCs w:val="24"/>
        </w:rPr>
        <w:t xml:space="preserve"> </w:t>
      </w:r>
      <w:r w:rsidR="005258B6" w:rsidRPr="00E00F13">
        <w:rPr>
          <w:rFonts w:ascii="Arial" w:hAnsi="Arial" w:cs="Arial"/>
          <w:sz w:val="24"/>
          <w:szCs w:val="24"/>
        </w:rPr>
        <w:t xml:space="preserve">este </w:t>
      </w:r>
      <w:r w:rsidRPr="00E00F13">
        <w:rPr>
          <w:rFonts w:ascii="Arial" w:hAnsi="Arial" w:cs="Arial"/>
          <w:sz w:val="24"/>
          <w:szCs w:val="24"/>
        </w:rPr>
        <w:t>sigue siendo el desafío técnico más complejo en la ruralidad dispersa.</w:t>
      </w:r>
    </w:p>
    <w:p w14:paraId="1923707B" w14:textId="77777777" w:rsidR="00722B98" w:rsidRPr="00E00F13" w:rsidRDefault="00722B98" w:rsidP="00722B98">
      <w:pPr>
        <w:spacing w:after="0" w:line="360" w:lineRule="auto"/>
        <w:jc w:val="both"/>
        <w:rPr>
          <w:rFonts w:ascii="Arial" w:hAnsi="Arial" w:cs="Arial"/>
          <w:sz w:val="24"/>
          <w:szCs w:val="24"/>
        </w:rPr>
      </w:pPr>
    </w:p>
    <w:p w14:paraId="11B5ECCC" w14:textId="7DF7D0BE" w:rsidR="006F4AAB" w:rsidRPr="00E00F13" w:rsidRDefault="00163082" w:rsidP="00722B98">
      <w:pPr>
        <w:pStyle w:val="Ttulo3"/>
        <w:rPr>
          <w:color w:val="auto"/>
        </w:rPr>
      </w:pPr>
      <w:bookmarkStart w:id="169" w:name="_Toc234242891"/>
      <w:r w:rsidRPr="00E00F13">
        <w:rPr>
          <w:color w:val="auto"/>
        </w:rPr>
        <w:lastRenderedPageBreak/>
        <w:t>La escala de la intervención y la</w:t>
      </w:r>
      <w:r w:rsidR="006F4AAB" w:rsidRPr="00E00F13">
        <w:rPr>
          <w:color w:val="auto"/>
        </w:rPr>
        <w:t>s barreras en la financiación en</w:t>
      </w:r>
      <w:r w:rsidR="00C1480B" w:rsidRPr="00E00F13">
        <w:rPr>
          <w:color w:val="auto"/>
        </w:rPr>
        <w:t xml:space="preserve"> </w:t>
      </w:r>
      <w:r w:rsidR="007D3441" w:rsidRPr="00E00F13">
        <w:rPr>
          <w:color w:val="auto"/>
        </w:rPr>
        <w:t>los programas de la oferta institucional</w:t>
      </w:r>
      <w:bookmarkEnd w:id="169"/>
    </w:p>
    <w:p w14:paraId="00F53CD4" w14:textId="7957471E" w:rsidR="006D5446" w:rsidRPr="00E00F13" w:rsidRDefault="1B63572F" w:rsidP="00E0184E">
      <w:pPr>
        <w:spacing w:after="0" w:line="360" w:lineRule="auto"/>
        <w:jc w:val="both"/>
        <w:rPr>
          <w:rFonts w:ascii="Arial" w:hAnsi="Arial" w:cs="Arial"/>
          <w:sz w:val="24"/>
          <w:szCs w:val="24"/>
        </w:rPr>
      </w:pPr>
      <w:r w:rsidRPr="00E00F13">
        <w:rPr>
          <w:rFonts w:ascii="Arial" w:hAnsi="Arial" w:cs="Arial"/>
          <w:sz w:val="24"/>
          <w:szCs w:val="24"/>
        </w:rPr>
        <w:t>L</w:t>
      </w:r>
      <w:r w:rsidR="0ED99005" w:rsidRPr="00E00F13">
        <w:rPr>
          <w:rFonts w:ascii="Arial" w:hAnsi="Arial" w:cs="Arial"/>
          <w:sz w:val="24"/>
          <w:szCs w:val="24"/>
        </w:rPr>
        <w:t>o</w:t>
      </w:r>
      <w:r w:rsidRPr="00E00F13">
        <w:rPr>
          <w:rFonts w:ascii="Arial" w:hAnsi="Arial" w:cs="Arial"/>
          <w:sz w:val="24"/>
          <w:szCs w:val="24"/>
        </w:rPr>
        <w:t xml:space="preserve">s programas donde la </w:t>
      </w:r>
      <w:r w:rsidR="5F3E9478" w:rsidRPr="00E00F13">
        <w:rPr>
          <w:rFonts w:ascii="Arial" w:hAnsi="Arial" w:cs="Arial"/>
          <w:sz w:val="24"/>
          <w:szCs w:val="24"/>
        </w:rPr>
        <w:t>financiación</w:t>
      </w:r>
      <w:r w:rsidRPr="00E00F13">
        <w:rPr>
          <w:rFonts w:ascii="Arial" w:hAnsi="Arial" w:cs="Arial"/>
          <w:sz w:val="24"/>
          <w:szCs w:val="24"/>
        </w:rPr>
        <w:t xml:space="preserve"> </w:t>
      </w:r>
      <w:r w:rsidR="38444F8E" w:rsidRPr="00E00F13">
        <w:rPr>
          <w:rFonts w:ascii="Arial" w:hAnsi="Arial" w:cs="Arial"/>
          <w:sz w:val="24"/>
          <w:szCs w:val="24"/>
        </w:rPr>
        <w:t xml:space="preserve">de </w:t>
      </w:r>
      <w:r w:rsidRPr="00E00F13">
        <w:rPr>
          <w:rFonts w:ascii="Arial" w:hAnsi="Arial" w:cs="Arial"/>
          <w:sz w:val="24"/>
          <w:szCs w:val="24"/>
        </w:rPr>
        <w:t>la Nación</w:t>
      </w:r>
      <w:r w:rsidR="2188C50D" w:rsidRPr="00E00F13">
        <w:rPr>
          <w:rFonts w:ascii="Arial" w:hAnsi="Arial" w:cs="Arial"/>
          <w:sz w:val="24"/>
          <w:szCs w:val="24"/>
        </w:rPr>
        <w:t xml:space="preserve"> </w:t>
      </w:r>
      <w:r w:rsidRPr="00E00F13">
        <w:rPr>
          <w:rFonts w:ascii="Arial" w:hAnsi="Arial" w:cs="Arial"/>
          <w:sz w:val="24"/>
          <w:szCs w:val="24"/>
        </w:rPr>
        <w:t xml:space="preserve">es del </w:t>
      </w:r>
      <w:r w:rsidR="2188C50D" w:rsidRPr="00E00F13">
        <w:rPr>
          <w:rFonts w:ascii="Arial" w:hAnsi="Arial" w:cs="Arial"/>
          <w:sz w:val="24"/>
          <w:szCs w:val="24"/>
        </w:rPr>
        <w:t>100%</w:t>
      </w:r>
      <w:r w:rsidRPr="00E00F13">
        <w:rPr>
          <w:rFonts w:ascii="Arial" w:hAnsi="Arial" w:cs="Arial"/>
          <w:sz w:val="24"/>
          <w:szCs w:val="24"/>
        </w:rPr>
        <w:t xml:space="preserve"> no son sostenibles a mediano y largo plazo ni están acordes con la realidad presupuestal y fiscal</w:t>
      </w:r>
      <w:r w:rsidR="0580C859" w:rsidRPr="00E00F13">
        <w:rPr>
          <w:rFonts w:ascii="Arial" w:hAnsi="Arial" w:cs="Arial"/>
          <w:sz w:val="24"/>
          <w:szCs w:val="24"/>
        </w:rPr>
        <w:t>. Esto afecta la cobertura y promueve una política donde no se fortalecen las capacidade</w:t>
      </w:r>
      <w:r w:rsidR="644D1E22" w:rsidRPr="00E00F13">
        <w:rPr>
          <w:rFonts w:ascii="Arial" w:hAnsi="Arial" w:cs="Arial"/>
          <w:sz w:val="24"/>
          <w:szCs w:val="24"/>
        </w:rPr>
        <w:t>s de los territorios.</w:t>
      </w:r>
      <w:r w:rsidR="00CA0CAD" w:rsidRPr="00E00F13">
        <w:rPr>
          <w:rFonts w:ascii="Arial" w:hAnsi="Arial" w:cs="Arial"/>
          <w:sz w:val="24"/>
          <w:szCs w:val="24"/>
        </w:rPr>
        <w:t xml:space="preserve"> Es por ello, que los nuevos desarrollos normativos apuestan por</w:t>
      </w:r>
      <w:r w:rsidR="00712A12" w:rsidRPr="00E00F13">
        <w:rPr>
          <w:rFonts w:ascii="Arial" w:hAnsi="Arial" w:cs="Arial"/>
          <w:sz w:val="24"/>
          <w:szCs w:val="24"/>
        </w:rPr>
        <w:t xml:space="preserve"> </w:t>
      </w:r>
      <w:r w:rsidR="007656CE" w:rsidRPr="00E00F13">
        <w:rPr>
          <w:rFonts w:ascii="Arial" w:hAnsi="Arial" w:cs="Arial"/>
          <w:sz w:val="24"/>
          <w:szCs w:val="24"/>
        </w:rPr>
        <w:t xml:space="preserve">cierres financieros colaborativos, donde </w:t>
      </w:r>
      <w:r w:rsidR="005E68D8" w:rsidRPr="00E00F13">
        <w:rPr>
          <w:rFonts w:ascii="Arial" w:hAnsi="Arial" w:cs="Arial"/>
          <w:sz w:val="24"/>
          <w:szCs w:val="24"/>
        </w:rPr>
        <w:t xml:space="preserve">tanto el MVCT, como las entidades territoriales y los hogares beneficiarios, tienen la posibilidad de </w:t>
      </w:r>
      <w:r w:rsidR="007656CE" w:rsidRPr="00E00F13">
        <w:rPr>
          <w:rFonts w:ascii="Arial" w:hAnsi="Arial" w:cs="Arial"/>
          <w:sz w:val="24"/>
          <w:szCs w:val="24"/>
        </w:rPr>
        <w:t>aporta</w:t>
      </w:r>
      <w:r w:rsidR="005E68D8" w:rsidRPr="00E00F13">
        <w:rPr>
          <w:rFonts w:ascii="Arial" w:hAnsi="Arial" w:cs="Arial"/>
          <w:sz w:val="24"/>
          <w:szCs w:val="24"/>
        </w:rPr>
        <w:t>r</w:t>
      </w:r>
      <w:r w:rsidR="00F13F8E" w:rsidRPr="00E00F13">
        <w:rPr>
          <w:rFonts w:ascii="Arial" w:hAnsi="Arial" w:cs="Arial"/>
          <w:sz w:val="24"/>
          <w:szCs w:val="24"/>
        </w:rPr>
        <w:t>.</w:t>
      </w:r>
    </w:p>
    <w:p w14:paraId="245030B4" w14:textId="77777777" w:rsidR="00E0184E" w:rsidRPr="00E00F13" w:rsidRDefault="00E0184E" w:rsidP="00E0184E">
      <w:pPr>
        <w:spacing w:after="0" w:line="360" w:lineRule="auto"/>
        <w:jc w:val="both"/>
        <w:rPr>
          <w:rFonts w:ascii="Arial" w:hAnsi="Arial" w:cs="Arial"/>
          <w:sz w:val="24"/>
          <w:szCs w:val="24"/>
        </w:rPr>
      </w:pPr>
    </w:p>
    <w:p w14:paraId="6944588A" w14:textId="609CF437" w:rsidR="00764FAC" w:rsidRPr="00E00F13" w:rsidRDefault="006D5446" w:rsidP="00E0184E">
      <w:pPr>
        <w:spacing w:after="0" w:line="360" w:lineRule="auto"/>
        <w:jc w:val="both"/>
        <w:rPr>
          <w:rFonts w:ascii="Arial" w:hAnsi="Arial" w:cs="Arial"/>
          <w:sz w:val="24"/>
          <w:szCs w:val="24"/>
        </w:rPr>
      </w:pPr>
      <w:r w:rsidRPr="00E00F13">
        <w:rPr>
          <w:rFonts w:ascii="Arial" w:hAnsi="Arial" w:cs="Arial"/>
          <w:sz w:val="24"/>
          <w:szCs w:val="24"/>
        </w:rPr>
        <w:t>No obstante, este sistema genera desafíos en la financiación y ejecución de las obras</w:t>
      </w:r>
      <w:r w:rsidR="00CB3B8A" w:rsidRPr="00E00F13">
        <w:rPr>
          <w:rFonts w:ascii="Arial" w:hAnsi="Arial" w:cs="Arial"/>
          <w:sz w:val="24"/>
          <w:szCs w:val="24"/>
        </w:rPr>
        <w:t>.</w:t>
      </w:r>
      <w:r w:rsidR="00EE5B1C" w:rsidRPr="00E00F13">
        <w:rPr>
          <w:rFonts w:ascii="Arial" w:hAnsi="Arial" w:cs="Arial"/>
          <w:sz w:val="24"/>
          <w:szCs w:val="24"/>
        </w:rPr>
        <w:t xml:space="preserve"> Un ejemplo de ello es l</w:t>
      </w:r>
      <w:r w:rsidR="00371AAE" w:rsidRPr="00E00F13">
        <w:rPr>
          <w:rFonts w:ascii="Arial" w:hAnsi="Arial" w:cs="Arial"/>
          <w:sz w:val="24"/>
          <w:szCs w:val="24"/>
        </w:rPr>
        <w:t xml:space="preserve">a </w:t>
      </w:r>
      <w:r w:rsidR="00C47959" w:rsidRPr="00E00F13">
        <w:rPr>
          <w:rFonts w:ascii="Arial" w:hAnsi="Arial" w:cs="Arial"/>
          <w:sz w:val="24"/>
          <w:szCs w:val="24"/>
        </w:rPr>
        <w:t>a</w:t>
      </w:r>
      <w:r w:rsidR="00371AAE" w:rsidRPr="00E00F13">
        <w:rPr>
          <w:rFonts w:ascii="Arial" w:hAnsi="Arial" w:cs="Arial"/>
          <w:sz w:val="24"/>
          <w:szCs w:val="24"/>
        </w:rPr>
        <w:t xml:space="preserve">utogestión </w:t>
      </w:r>
      <w:r w:rsidR="00C47959" w:rsidRPr="00E00F13">
        <w:rPr>
          <w:rFonts w:ascii="Arial" w:hAnsi="Arial" w:cs="Arial"/>
          <w:sz w:val="24"/>
          <w:szCs w:val="24"/>
        </w:rPr>
        <w:t xml:space="preserve">la cual </w:t>
      </w:r>
      <w:r w:rsidR="00C1480B" w:rsidRPr="00E00F13">
        <w:rPr>
          <w:rFonts w:ascii="Arial" w:hAnsi="Arial" w:cs="Arial"/>
          <w:sz w:val="24"/>
          <w:szCs w:val="24"/>
        </w:rPr>
        <w:t>contempla la entrega de subsidios una vez que la vivienda está ejecutada</w:t>
      </w:r>
      <w:r w:rsidR="00764FAC" w:rsidRPr="00E00F13">
        <w:rPr>
          <w:rFonts w:ascii="Arial" w:hAnsi="Arial" w:cs="Arial"/>
          <w:sz w:val="24"/>
          <w:szCs w:val="24"/>
        </w:rPr>
        <w:t>. Esto quiere decir que</w:t>
      </w:r>
      <w:r w:rsidR="006F4AAB" w:rsidRPr="00E00F13">
        <w:rPr>
          <w:rFonts w:ascii="Arial" w:hAnsi="Arial" w:cs="Arial"/>
          <w:sz w:val="24"/>
          <w:szCs w:val="24"/>
        </w:rPr>
        <w:t xml:space="preserve"> las comunidades </w:t>
      </w:r>
      <w:r w:rsidR="00764FAC" w:rsidRPr="00E00F13">
        <w:rPr>
          <w:rFonts w:ascii="Arial" w:hAnsi="Arial" w:cs="Arial"/>
          <w:sz w:val="24"/>
          <w:szCs w:val="24"/>
        </w:rPr>
        <w:t>tendrían que estar</w:t>
      </w:r>
      <w:r w:rsidR="006F4AAB" w:rsidRPr="00E00F13">
        <w:rPr>
          <w:rFonts w:ascii="Arial" w:hAnsi="Arial" w:cs="Arial"/>
          <w:sz w:val="24"/>
          <w:szCs w:val="24"/>
        </w:rPr>
        <w:t xml:space="preserve"> en capacidad de asumir el costo </w:t>
      </w:r>
      <w:r w:rsidR="60B69290" w:rsidRPr="00E00F13">
        <w:rPr>
          <w:rFonts w:ascii="Arial" w:hAnsi="Arial" w:cs="Arial"/>
          <w:sz w:val="24"/>
          <w:szCs w:val="24"/>
        </w:rPr>
        <w:t>total</w:t>
      </w:r>
      <w:r w:rsidR="006F4AAB" w:rsidRPr="00E00F13">
        <w:rPr>
          <w:rFonts w:ascii="Arial" w:hAnsi="Arial" w:cs="Arial"/>
          <w:sz w:val="24"/>
          <w:szCs w:val="24"/>
        </w:rPr>
        <w:t xml:space="preserve"> de ejecu</w:t>
      </w:r>
      <w:r w:rsidR="02F6DA9C" w:rsidRPr="00E00F13">
        <w:rPr>
          <w:rFonts w:ascii="Arial" w:hAnsi="Arial" w:cs="Arial"/>
          <w:sz w:val="24"/>
          <w:szCs w:val="24"/>
        </w:rPr>
        <w:t>ción de las</w:t>
      </w:r>
      <w:r w:rsidR="006F4AAB" w:rsidRPr="00E00F13">
        <w:rPr>
          <w:rFonts w:ascii="Arial" w:hAnsi="Arial" w:cs="Arial"/>
          <w:sz w:val="24"/>
          <w:szCs w:val="24"/>
        </w:rPr>
        <w:t xml:space="preserve"> viviendas hasta que se les reintegre el dinero</w:t>
      </w:r>
      <w:r w:rsidR="00764FAC" w:rsidRPr="00E00F13">
        <w:rPr>
          <w:rFonts w:ascii="Arial" w:hAnsi="Arial" w:cs="Arial"/>
          <w:sz w:val="24"/>
          <w:szCs w:val="24"/>
        </w:rPr>
        <w:t xml:space="preserve">. </w:t>
      </w:r>
      <w:r w:rsidR="32FBF520" w:rsidRPr="00E00F13">
        <w:rPr>
          <w:rFonts w:ascii="Arial" w:hAnsi="Arial" w:cs="Arial"/>
          <w:sz w:val="24"/>
          <w:szCs w:val="24"/>
        </w:rPr>
        <w:t xml:space="preserve"> </w:t>
      </w:r>
    </w:p>
    <w:p w14:paraId="3A0FFFD0" w14:textId="77777777" w:rsidR="00764FAC" w:rsidRPr="00E00F13" w:rsidRDefault="00764FAC" w:rsidP="006F4AAB">
      <w:pPr>
        <w:spacing w:after="0" w:line="360" w:lineRule="auto"/>
        <w:jc w:val="both"/>
        <w:rPr>
          <w:rFonts w:ascii="Arial" w:hAnsi="Arial" w:cs="Arial"/>
          <w:sz w:val="24"/>
          <w:szCs w:val="24"/>
        </w:rPr>
      </w:pPr>
    </w:p>
    <w:p w14:paraId="361F2C1B" w14:textId="0A5D0DCC" w:rsidR="00764FAC" w:rsidRPr="00E00F13" w:rsidRDefault="00764FAC" w:rsidP="00764FAC">
      <w:pPr>
        <w:spacing w:after="0" w:line="360" w:lineRule="auto"/>
        <w:jc w:val="both"/>
        <w:rPr>
          <w:rFonts w:ascii="Arial" w:hAnsi="Arial" w:cs="Arial"/>
          <w:sz w:val="24"/>
          <w:szCs w:val="24"/>
        </w:rPr>
      </w:pPr>
      <w:r w:rsidRPr="00E00F13">
        <w:rPr>
          <w:rFonts w:ascii="Arial" w:hAnsi="Arial" w:cs="Arial"/>
          <w:sz w:val="24"/>
          <w:szCs w:val="24"/>
        </w:rPr>
        <w:t>Por un lado, el costo de asumir el proyecto no es bajo</w:t>
      </w:r>
      <w:r w:rsidR="00020CF3" w:rsidRPr="00E00F13">
        <w:rPr>
          <w:rFonts w:ascii="Arial" w:hAnsi="Arial" w:cs="Arial"/>
          <w:sz w:val="24"/>
          <w:szCs w:val="24"/>
        </w:rPr>
        <w:t>,</w:t>
      </w:r>
      <w:r w:rsidRPr="00E00F13">
        <w:rPr>
          <w:rFonts w:ascii="Arial" w:hAnsi="Arial" w:cs="Arial"/>
          <w:sz w:val="24"/>
          <w:szCs w:val="24"/>
        </w:rPr>
        <w:t xml:space="preserve"> y conseguir los recursos implica gestionar maniobras financieras no siempre viables. Por otro lado, el acceso de créditos es difícil para el caso de organizaciones comunitarias, y la ruta para restituir el crédito con el subsidio no siempre es conocida por las organizaciones locales. </w:t>
      </w:r>
    </w:p>
    <w:p w14:paraId="5FEBFBEB" w14:textId="77777777" w:rsidR="00841593" w:rsidRPr="00E00F13" w:rsidRDefault="00841593" w:rsidP="00764FAC">
      <w:pPr>
        <w:spacing w:after="0" w:line="360" w:lineRule="auto"/>
        <w:jc w:val="both"/>
        <w:rPr>
          <w:rFonts w:ascii="Arial" w:hAnsi="Arial" w:cs="Arial"/>
          <w:sz w:val="24"/>
          <w:szCs w:val="24"/>
        </w:rPr>
      </w:pPr>
    </w:p>
    <w:p w14:paraId="6D4BE4CB" w14:textId="2EE6F06D" w:rsidR="00841593" w:rsidRPr="00E00F13" w:rsidRDefault="00D276B5" w:rsidP="00764FAC">
      <w:pPr>
        <w:spacing w:after="0" w:line="360" w:lineRule="auto"/>
        <w:jc w:val="both"/>
        <w:rPr>
          <w:rFonts w:ascii="Arial" w:hAnsi="Arial" w:cs="Arial"/>
          <w:sz w:val="24"/>
          <w:szCs w:val="24"/>
        </w:rPr>
      </w:pPr>
      <w:r w:rsidRPr="00E00F13">
        <w:rPr>
          <w:rFonts w:ascii="Arial" w:hAnsi="Arial" w:cs="Arial"/>
          <w:sz w:val="24"/>
          <w:szCs w:val="24"/>
        </w:rPr>
        <w:t>En el caso de los gestores comunitarios del agua, al ser est</w:t>
      </w:r>
      <w:r w:rsidR="519D4BF4" w:rsidRPr="00E00F13">
        <w:rPr>
          <w:rFonts w:ascii="Arial" w:hAnsi="Arial" w:cs="Arial"/>
          <w:sz w:val="24"/>
          <w:szCs w:val="24"/>
        </w:rPr>
        <w:t>a</w:t>
      </w:r>
      <w:r w:rsidRPr="00E00F13">
        <w:rPr>
          <w:rFonts w:ascii="Arial" w:hAnsi="Arial" w:cs="Arial"/>
          <w:sz w:val="24"/>
          <w:szCs w:val="24"/>
        </w:rPr>
        <w:t xml:space="preserve">s entidades sin </w:t>
      </w:r>
      <w:r w:rsidR="008D36D8" w:rsidRPr="00E00F13">
        <w:rPr>
          <w:rFonts w:ascii="Arial" w:hAnsi="Arial" w:cs="Arial"/>
          <w:sz w:val="24"/>
          <w:szCs w:val="24"/>
        </w:rPr>
        <w:t>ánimo</w:t>
      </w:r>
      <w:r w:rsidRPr="00E00F13">
        <w:rPr>
          <w:rFonts w:ascii="Arial" w:hAnsi="Arial" w:cs="Arial"/>
          <w:sz w:val="24"/>
          <w:szCs w:val="24"/>
        </w:rPr>
        <w:t xml:space="preserve"> de lucro</w:t>
      </w:r>
      <w:r w:rsidR="00020CF3" w:rsidRPr="00E00F13">
        <w:rPr>
          <w:rFonts w:ascii="Arial" w:hAnsi="Arial" w:cs="Arial"/>
          <w:sz w:val="24"/>
          <w:szCs w:val="24"/>
        </w:rPr>
        <w:t>,</w:t>
      </w:r>
      <w:r w:rsidRPr="00E00F13">
        <w:rPr>
          <w:rFonts w:ascii="Arial" w:hAnsi="Arial" w:cs="Arial"/>
          <w:sz w:val="24"/>
          <w:szCs w:val="24"/>
        </w:rPr>
        <w:t xml:space="preserve"> </w:t>
      </w:r>
      <w:r w:rsidR="00FE7638" w:rsidRPr="00E00F13">
        <w:rPr>
          <w:rFonts w:ascii="Arial" w:hAnsi="Arial" w:cs="Arial"/>
          <w:sz w:val="24"/>
          <w:szCs w:val="24"/>
        </w:rPr>
        <w:t xml:space="preserve">presentan barreras para el acceso a créditos y deben sustentar toda su operación </w:t>
      </w:r>
      <w:r w:rsidR="004B275F" w:rsidRPr="00E00F13">
        <w:rPr>
          <w:rFonts w:ascii="Arial" w:hAnsi="Arial" w:cs="Arial"/>
          <w:sz w:val="24"/>
          <w:szCs w:val="24"/>
        </w:rPr>
        <w:t>con recursos propios, aquellos derivados de</w:t>
      </w:r>
      <w:r w:rsidR="0090706D" w:rsidRPr="00E00F13">
        <w:rPr>
          <w:rFonts w:ascii="Arial" w:hAnsi="Arial" w:cs="Arial"/>
          <w:sz w:val="24"/>
          <w:szCs w:val="24"/>
        </w:rPr>
        <w:t xml:space="preserve">l pago por </w:t>
      </w:r>
      <w:r w:rsidR="00762132" w:rsidRPr="00E00F13">
        <w:rPr>
          <w:rFonts w:ascii="Arial" w:hAnsi="Arial" w:cs="Arial"/>
          <w:sz w:val="24"/>
          <w:szCs w:val="24"/>
        </w:rPr>
        <w:t>el acceso</w:t>
      </w:r>
      <w:r w:rsidR="0090706D" w:rsidRPr="00E00F13">
        <w:rPr>
          <w:rFonts w:ascii="Arial" w:hAnsi="Arial" w:cs="Arial"/>
          <w:sz w:val="24"/>
          <w:szCs w:val="24"/>
        </w:rPr>
        <w:t xml:space="preserve"> </w:t>
      </w:r>
      <w:r w:rsidR="00762132" w:rsidRPr="00E00F13">
        <w:rPr>
          <w:rFonts w:ascii="Arial" w:hAnsi="Arial" w:cs="Arial"/>
          <w:sz w:val="24"/>
          <w:szCs w:val="24"/>
        </w:rPr>
        <w:t>a</w:t>
      </w:r>
      <w:r w:rsidR="0090706D" w:rsidRPr="00E00F13">
        <w:rPr>
          <w:rFonts w:ascii="Arial" w:hAnsi="Arial" w:cs="Arial"/>
          <w:sz w:val="24"/>
          <w:szCs w:val="24"/>
        </w:rPr>
        <w:t>l servicio.</w:t>
      </w:r>
    </w:p>
    <w:p w14:paraId="4C2CECAD" w14:textId="728083CF" w:rsidR="00764FAC" w:rsidRPr="00E00F13" w:rsidRDefault="00764FAC" w:rsidP="00764FAC">
      <w:pPr>
        <w:spacing w:after="0" w:line="360" w:lineRule="auto"/>
        <w:jc w:val="both"/>
        <w:rPr>
          <w:rFonts w:ascii="Arial" w:hAnsi="Arial" w:cs="Arial"/>
          <w:sz w:val="24"/>
          <w:szCs w:val="24"/>
        </w:rPr>
      </w:pPr>
    </w:p>
    <w:p w14:paraId="29556C3E" w14:textId="0B503E61" w:rsidR="00722B98" w:rsidRPr="00E00F13" w:rsidRDefault="00764FAC" w:rsidP="00722B98">
      <w:pPr>
        <w:spacing w:after="0" w:line="360" w:lineRule="auto"/>
        <w:jc w:val="both"/>
        <w:rPr>
          <w:rFonts w:ascii="Arial" w:hAnsi="Arial" w:cs="Arial"/>
          <w:sz w:val="24"/>
          <w:szCs w:val="24"/>
        </w:rPr>
      </w:pPr>
      <w:r w:rsidRPr="00E00F13">
        <w:rPr>
          <w:rFonts w:ascii="Arial" w:hAnsi="Arial" w:cs="Arial"/>
          <w:sz w:val="24"/>
          <w:szCs w:val="24"/>
        </w:rPr>
        <w:t xml:space="preserve">Si bien es cierto que esta política tiene por objetivo, entre otros, fortalecer a las organizaciones comunitarias, para ellas </w:t>
      </w:r>
      <w:r w:rsidR="00B62C53" w:rsidRPr="00E00F13">
        <w:rPr>
          <w:rFonts w:ascii="Arial" w:hAnsi="Arial" w:cs="Arial"/>
          <w:sz w:val="24"/>
          <w:szCs w:val="24"/>
        </w:rPr>
        <w:t xml:space="preserve">la falta de financiación </w:t>
      </w:r>
      <w:r w:rsidRPr="00E00F13">
        <w:rPr>
          <w:rFonts w:ascii="Arial" w:hAnsi="Arial" w:cs="Arial"/>
          <w:sz w:val="24"/>
          <w:szCs w:val="24"/>
        </w:rPr>
        <w:t xml:space="preserve">podría convertirse en una barrera de acceso. </w:t>
      </w:r>
      <w:r w:rsidR="00521599" w:rsidRPr="00E00F13">
        <w:rPr>
          <w:rFonts w:ascii="Arial" w:hAnsi="Arial" w:cs="Arial"/>
          <w:sz w:val="24"/>
          <w:szCs w:val="24"/>
        </w:rPr>
        <w:t xml:space="preserve">Por ello, hacen falta acciones concretas. La implementación de </w:t>
      </w:r>
      <w:r w:rsidR="00E50A7B" w:rsidRPr="00E00F13">
        <w:rPr>
          <w:rFonts w:ascii="Arial" w:hAnsi="Arial" w:cs="Arial"/>
          <w:sz w:val="24"/>
          <w:szCs w:val="24"/>
        </w:rPr>
        <w:t>los programas</w:t>
      </w:r>
      <w:r w:rsidR="00521599" w:rsidRPr="00E00F13">
        <w:rPr>
          <w:rFonts w:ascii="Arial" w:hAnsi="Arial" w:cs="Arial"/>
          <w:sz w:val="24"/>
          <w:szCs w:val="24"/>
        </w:rPr>
        <w:t xml:space="preserve">, </w:t>
      </w:r>
      <w:r w:rsidR="00D62892" w:rsidRPr="00E00F13">
        <w:rPr>
          <w:rFonts w:ascii="Arial" w:hAnsi="Arial" w:cs="Arial"/>
          <w:sz w:val="24"/>
          <w:szCs w:val="24"/>
        </w:rPr>
        <w:t xml:space="preserve">la </w:t>
      </w:r>
      <w:r w:rsidR="00521599" w:rsidRPr="00E00F13">
        <w:rPr>
          <w:rFonts w:ascii="Arial" w:hAnsi="Arial" w:cs="Arial"/>
          <w:sz w:val="24"/>
          <w:szCs w:val="24"/>
        </w:rPr>
        <w:t xml:space="preserve">estructuración de proyectos y </w:t>
      </w:r>
      <w:r w:rsidR="00D62892" w:rsidRPr="00E00F13">
        <w:rPr>
          <w:rFonts w:ascii="Arial" w:hAnsi="Arial" w:cs="Arial"/>
          <w:sz w:val="24"/>
          <w:szCs w:val="24"/>
        </w:rPr>
        <w:t xml:space="preserve">el </w:t>
      </w:r>
      <w:r w:rsidR="00521599" w:rsidRPr="00E00F13">
        <w:rPr>
          <w:rFonts w:ascii="Arial" w:hAnsi="Arial" w:cs="Arial"/>
          <w:sz w:val="24"/>
          <w:szCs w:val="24"/>
        </w:rPr>
        <w:t>cambio en las políticas requiere decisiones</w:t>
      </w:r>
      <w:r w:rsidR="00002238" w:rsidRPr="00E00F13">
        <w:rPr>
          <w:rFonts w:ascii="Arial" w:hAnsi="Arial" w:cs="Arial"/>
          <w:sz w:val="24"/>
          <w:szCs w:val="24"/>
        </w:rPr>
        <w:t xml:space="preserve"> </w:t>
      </w:r>
      <w:r w:rsidR="00521599" w:rsidRPr="00E00F13">
        <w:rPr>
          <w:rFonts w:ascii="Arial" w:hAnsi="Arial" w:cs="Arial"/>
          <w:sz w:val="24"/>
          <w:szCs w:val="24"/>
        </w:rPr>
        <w:t xml:space="preserve">firmes y mayores capacidades institucionales, </w:t>
      </w:r>
      <w:r w:rsidR="00521599" w:rsidRPr="00E00F13">
        <w:rPr>
          <w:rFonts w:ascii="Arial" w:hAnsi="Arial" w:cs="Arial"/>
          <w:sz w:val="24"/>
          <w:szCs w:val="24"/>
        </w:rPr>
        <w:lastRenderedPageBreak/>
        <w:t>incluyendo el trabajo conjunto con entidades territoriales, académicas y comunitarias.</w:t>
      </w:r>
    </w:p>
    <w:p w14:paraId="5182C187" w14:textId="77777777" w:rsidR="00722B98" w:rsidRPr="00E00F13" w:rsidRDefault="00722B98" w:rsidP="00722B98">
      <w:pPr>
        <w:spacing w:after="0" w:line="360" w:lineRule="auto"/>
        <w:jc w:val="both"/>
        <w:rPr>
          <w:rFonts w:ascii="Arial" w:hAnsi="Arial" w:cs="Arial"/>
          <w:sz w:val="24"/>
          <w:szCs w:val="24"/>
        </w:rPr>
      </w:pPr>
    </w:p>
    <w:p w14:paraId="312304EC" w14:textId="0AEFC802" w:rsidR="00B11B08" w:rsidRPr="00E00F13" w:rsidRDefault="00B11B08" w:rsidP="00722B98">
      <w:pPr>
        <w:pStyle w:val="Ttulo3"/>
        <w:rPr>
          <w:color w:val="auto"/>
        </w:rPr>
      </w:pPr>
      <w:bookmarkStart w:id="170" w:name="_Toc234242892"/>
      <w:r w:rsidRPr="00E00F13">
        <w:rPr>
          <w:color w:val="auto"/>
        </w:rPr>
        <w:t>La capacidad técnica y administrativa de las organizaciones comunitarias</w:t>
      </w:r>
      <w:bookmarkEnd w:id="170"/>
    </w:p>
    <w:p w14:paraId="2D0E78CC" w14:textId="71F4198A" w:rsidR="003230E9" w:rsidRPr="00E00F13" w:rsidRDefault="462B7D38" w:rsidP="003230E9">
      <w:pPr>
        <w:spacing w:after="0" w:line="360" w:lineRule="auto"/>
        <w:jc w:val="both"/>
        <w:rPr>
          <w:rFonts w:ascii="Arial" w:hAnsi="Arial" w:cs="Arial"/>
          <w:sz w:val="24"/>
          <w:szCs w:val="24"/>
        </w:rPr>
      </w:pPr>
      <w:r w:rsidRPr="00E00F13">
        <w:rPr>
          <w:rFonts w:ascii="Arial" w:hAnsi="Arial" w:cs="Arial"/>
          <w:sz w:val="24"/>
          <w:szCs w:val="24"/>
        </w:rPr>
        <w:t>Dependiendo del programa, l</w:t>
      </w:r>
      <w:r w:rsidR="00B11B08" w:rsidRPr="00E00F13">
        <w:rPr>
          <w:rFonts w:ascii="Arial" w:hAnsi="Arial" w:cs="Arial"/>
          <w:sz w:val="24"/>
          <w:szCs w:val="24"/>
        </w:rPr>
        <w:t xml:space="preserve">as organizaciones comunitarias, </w:t>
      </w:r>
      <w:r w:rsidR="31F32358" w:rsidRPr="00E00F13">
        <w:rPr>
          <w:rFonts w:ascii="Arial" w:hAnsi="Arial" w:cs="Arial"/>
          <w:sz w:val="24"/>
          <w:szCs w:val="24"/>
        </w:rPr>
        <w:t>los</w:t>
      </w:r>
      <w:r w:rsidR="00B11B08" w:rsidRPr="00E00F13">
        <w:rPr>
          <w:rFonts w:ascii="Arial" w:hAnsi="Arial" w:cs="Arial"/>
          <w:sz w:val="24"/>
          <w:szCs w:val="24"/>
        </w:rPr>
        <w:t xml:space="preserve"> ejecutor</w:t>
      </w:r>
      <w:r w:rsidR="7D571C56" w:rsidRPr="00E00F13">
        <w:rPr>
          <w:rFonts w:ascii="Arial" w:hAnsi="Arial" w:cs="Arial"/>
          <w:sz w:val="24"/>
          <w:szCs w:val="24"/>
        </w:rPr>
        <w:t>es o las entidades territoriales</w:t>
      </w:r>
      <w:r w:rsidR="00B11B08" w:rsidRPr="00E00F13">
        <w:rPr>
          <w:rFonts w:ascii="Arial" w:hAnsi="Arial" w:cs="Arial"/>
          <w:sz w:val="24"/>
          <w:szCs w:val="24"/>
        </w:rPr>
        <w:t xml:space="preserve"> deben estructurar los proyectos. Esto significa que deben contar con capacidad técnica y administrativa para diseñar</w:t>
      </w:r>
      <w:r w:rsidR="003230E9" w:rsidRPr="00E00F13">
        <w:rPr>
          <w:rFonts w:ascii="Arial" w:hAnsi="Arial" w:cs="Arial"/>
          <w:sz w:val="24"/>
          <w:szCs w:val="24"/>
        </w:rPr>
        <w:t>lo</w:t>
      </w:r>
      <w:r w:rsidR="5C4888C9" w:rsidRPr="00E00F13">
        <w:rPr>
          <w:rFonts w:ascii="Arial" w:hAnsi="Arial" w:cs="Arial"/>
          <w:sz w:val="24"/>
          <w:szCs w:val="24"/>
        </w:rPr>
        <w:t>s</w:t>
      </w:r>
      <w:r w:rsidR="00B11B08" w:rsidRPr="00E00F13">
        <w:rPr>
          <w:rFonts w:ascii="Arial" w:hAnsi="Arial" w:cs="Arial"/>
          <w:sz w:val="24"/>
          <w:szCs w:val="24"/>
        </w:rPr>
        <w:t xml:space="preserve"> y ejecuta</w:t>
      </w:r>
      <w:r w:rsidR="003230E9" w:rsidRPr="00E00F13">
        <w:rPr>
          <w:rFonts w:ascii="Arial" w:hAnsi="Arial" w:cs="Arial"/>
          <w:sz w:val="24"/>
          <w:szCs w:val="24"/>
        </w:rPr>
        <w:t>rlo</w:t>
      </w:r>
      <w:r w:rsidR="46EFB8A2" w:rsidRPr="00E00F13">
        <w:rPr>
          <w:rFonts w:ascii="Arial" w:hAnsi="Arial" w:cs="Arial"/>
          <w:sz w:val="24"/>
          <w:szCs w:val="24"/>
        </w:rPr>
        <w:t>s</w:t>
      </w:r>
      <w:r w:rsidR="003230E9" w:rsidRPr="00E00F13">
        <w:rPr>
          <w:rFonts w:ascii="Arial" w:hAnsi="Arial" w:cs="Arial"/>
          <w:sz w:val="24"/>
          <w:szCs w:val="24"/>
        </w:rPr>
        <w:t xml:space="preserve">, pero no tienen equipos técnicos </w:t>
      </w:r>
      <w:r w:rsidR="71E2118E" w:rsidRPr="00E00F13">
        <w:rPr>
          <w:rFonts w:ascii="Arial" w:hAnsi="Arial" w:cs="Arial"/>
          <w:sz w:val="24"/>
          <w:szCs w:val="24"/>
        </w:rPr>
        <w:t>adecuados o</w:t>
      </w:r>
      <w:r w:rsidR="003230E9" w:rsidRPr="00E00F13">
        <w:rPr>
          <w:rFonts w:ascii="Arial" w:hAnsi="Arial" w:cs="Arial"/>
          <w:sz w:val="24"/>
          <w:szCs w:val="24"/>
        </w:rPr>
        <w:t xml:space="preserve"> completos: ingenieros estructurales, geotécnicos, hidráulicos, arquitectos, </w:t>
      </w:r>
      <w:r w:rsidR="00093E41" w:rsidRPr="00E00F13">
        <w:rPr>
          <w:rFonts w:ascii="Arial" w:hAnsi="Arial" w:cs="Arial"/>
          <w:sz w:val="24"/>
          <w:szCs w:val="24"/>
        </w:rPr>
        <w:t>jurídicos, sociales.</w:t>
      </w:r>
    </w:p>
    <w:p w14:paraId="1F3CF424" w14:textId="77777777" w:rsidR="003230E9" w:rsidRPr="00E00F13" w:rsidRDefault="003230E9" w:rsidP="003230E9">
      <w:pPr>
        <w:spacing w:after="0" w:line="360" w:lineRule="auto"/>
        <w:jc w:val="both"/>
        <w:rPr>
          <w:rFonts w:ascii="Arial" w:hAnsi="Arial" w:cs="Arial"/>
          <w:sz w:val="24"/>
          <w:szCs w:val="24"/>
        </w:rPr>
      </w:pPr>
    </w:p>
    <w:p w14:paraId="38D09ED3" w14:textId="0373DCE3" w:rsidR="00093E41" w:rsidRPr="00E00F13" w:rsidRDefault="00093E41" w:rsidP="00093E41">
      <w:pPr>
        <w:spacing w:after="0" w:line="360" w:lineRule="auto"/>
        <w:jc w:val="both"/>
        <w:rPr>
          <w:rFonts w:ascii="Arial" w:hAnsi="Arial" w:cs="Arial"/>
          <w:sz w:val="24"/>
          <w:szCs w:val="24"/>
        </w:rPr>
      </w:pPr>
      <w:r w:rsidRPr="00E00F13">
        <w:rPr>
          <w:rFonts w:ascii="Arial" w:hAnsi="Arial" w:cs="Arial"/>
          <w:sz w:val="24"/>
          <w:szCs w:val="24"/>
        </w:rPr>
        <w:t>Dado que l</w:t>
      </w:r>
      <w:r w:rsidR="003230E9" w:rsidRPr="00E00F13">
        <w:rPr>
          <w:rFonts w:ascii="Arial" w:hAnsi="Arial" w:cs="Arial"/>
          <w:sz w:val="24"/>
          <w:szCs w:val="24"/>
        </w:rPr>
        <w:t>a política pública actual exige capacidades que las comunidades no tienen</w:t>
      </w:r>
      <w:r w:rsidR="765F0E96" w:rsidRPr="00E00F13">
        <w:rPr>
          <w:rFonts w:ascii="Arial" w:hAnsi="Arial" w:cs="Arial"/>
          <w:sz w:val="24"/>
          <w:szCs w:val="24"/>
        </w:rPr>
        <w:t>,</w:t>
      </w:r>
      <w:r w:rsidRPr="00E00F13">
        <w:rPr>
          <w:rFonts w:ascii="Arial" w:hAnsi="Arial" w:cs="Arial"/>
          <w:sz w:val="24"/>
          <w:szCs w:val="24"/>
        </w:rPr>
        <w:t xml:space="preserve"> </w:t>
      </w:r>
      <w:r w:rsidR="12CE07F0" w:rsidRPr="00E00F13">
        <w:rPr>
          <w:rFonts w:ascii="Arial" w:hAnsi="Arial" w:cs="Arial"/>
          <w:sz w:val="24"/>
          <w:szCs w:val="24"/>
        </w:rPr>
        <w:t>fue</w:t>
      </w:r>
      <w:r w:rsidRPr="00E00F13">
        <w:rPr>
          <w:rFonts w:ascii="Arial" w:hAnsi="Arial" w:cs="Arial"/>
          <w:sz w:val="24"/>
          <w:szCs w:val="24"/>
        </w:rPr>
        <w:t xml:space="preserve"> necesario preguntarse si e</w:t>
      </w:r>
      <w:r w:rsidR="6F50718F" w:rsidRPr="00E00F13">
        <w:rPr>
          <w:rFonts w:ascii="Arial" w:hAnsi="Arial" w:cs="Arial"/>
          <w:sz w:val="24"/>
          <w:szCs w:val="24"/>
        </w:rPr>
        <w:t>ra</w:t>
      </w:r>
      <w:r w:rsidRPr="00E00F13">
        <w:rPr>
          <w:rFonts w:ascii="Arial" w:hAnsi="Arial" w:cs="Arial"/>
          <w:sz w:val="24"/>
          <w:szCs w:val="24"/>
        </w:rPr>
        <w:t xml:space="preserve"> viable que el Ministerio </w:t>
      </w:r>
      <w:r w:rsidR="3E31340C" w:rsidRPr="00E00F13">
        <w:rPr>
          <w:rFonts w:ascii="Arial" w:hAnsi="Arial" w:cs="Arial"/>
          <w:sz w:val="24"/>
          <w:szCs w:val="24"/>
        </w:rPr>
        <w:t>pudiera</w:t>
      </w:r>
      <w:r w:rsidRPr="00E00F13">
        <w:rPr>
          <w:rFonts w:ascii="Arial" w:hAnsi="Arial" w:cs="Arial"/>
          <w:sz w:val="24"/>
          <w:szCs w:val="24"/>
        </w:rPr>
        <w:t xml:space="preserve"> suplir esta deficiencia, contando con un equipo estructurador capaz de brindar esa asistencia técnica integral. La respuesta </w:t>
      </w:r>
      <w:r w:rsidR="6E083814" w:rsidRPr="00E00F13">
        <w:rPr>
          <w:rFonts w:ascii="Arial" w:hAnsi="Arial" w:cs="Arial"/>
          <w:sz w:val="24"/>
          <w:szCs w:val="24"/>
        </w:rPr>
        <w:t>fue</w:t>
      </w:r>
      <w:r w:rsidRPr="00E00F13">
        <w:rPr>
          <w:rFonts w:ascii="Arial" w:hAnsi="Arial" w:cs="Arial"/>
          <w:sz w:val="24"/>
          <w:szCs w:val="24"/>
        </w:rPr>
        <w:t xml:space="preserve"> que sí, que el MVCT debe contar con ese conjunto de profesionales</w:t>
      </w:r>
      <w:r w:rsidR="717309BF" w:rsidRPr="00E00F13">
        <w:rPr>
          <w:rFonts w:ascii="Arial" w:hAnsi="Arial" w:cs="Arial"/>
          <w:sz w:val="24"/>
          <w:szCs w:val="24"/>
        </w:rPr>
        <w:t>,</w:t>
      </w:r>
      <w:r w:rsidRPr="00E00F13">
        <w:rPr>
          <w:rFonts w:ascii="Arial" w:hAnsi="Arial" w:cs="Arial"/>
          <w:sz w:val="24"/>
          <w:szCs w:val="24"/>
        </w:rPr>
        <w:t xml:space="preserve"> </w:t>
      </w:r>
      <w:r w:rsidR="717309BF" w:rsidRPr="00E00F13">
        <w:rPr>
          <w:rFonts w:ascii="Arial" w:hAnsi="Arial" w:cs="Arial"/>
          <w:sz w:val="24"/>
          <w:szCs w:val="24"/>
        </w:rPr>
        <w:t>fortaleciendo los equipos existentes o creando equipos nuevos,</w:t>
      </w:r>
      <w:r w:rsidRPr="00E00F13">
        <w:rPr>
          <w:rFonts w:ascii="Arial" w:hAnsi="Arial" w:cs="Arial"/>
          <w:sz w:val="24"/>
          <w:szCs w:val="24"/>
        </w:rPr>
        <w:t xml:space="preserve"> que den respuestas y tengan como misión y capacidad estructurar los proyectos y procesos de autogestión, de manera que las organizaciones que no posean la capacidad técnica también puedan </w:t>
      </w:r>
      <w:r w:rsidR="3C5C8116" w:rsidRPr="00E00F13">
        <w:rPr>
          <w:rFonts w:ascii="Arial" w:hAnsi="Arial" w:cs="Arial"/>
          <w:sz w:val="24"/>
          <w:szCs w:val="24"/>
        </w:rPr>
        <w:t>formular y estructurar</w:t>
      </w:r>
      <w:r w:rsidRPr="00E00F13">
        <w:rPr>
          <w:rFonts w:ascii="Arial" w:hAnsi="Arial" w:cs="Arial"/>
          <w:sz w:val="24"/>
          <w:szCs w:val="24"/>
        </w:rPr>
        <w:t xml:space="preserve"> sus proyectos. En especial porque, cuando la política pública de la autogestión se vuelva masiva, habrá que contar con equipos estructuradores que permitan desarrollar múltiples y grandes proyectos en paralelo.   </w:t>
      </w:r>
    </w:p>
    <w:p w14:paraId="16A8F807" w14:textId="77777777" w:rsidR="00093E41" w:rsidRPr="00E00F13" w:rsidRDefault="00093E41" w:rsidP="00B11B08">
      <w:pPr>
        <w:spacing w:after="0" w:line="360" w:lineRule="auto"/>
        <w:jc w:val="both"/>
        <w:rPr>
          <w:rFonts w:ascii="Arial" w:hAnsi="Arial" w:cs="Arial"/>
          <w:sz w:val="24"/>
          <w:szCs w:val="24"/>
        </w:rPr>
      </w:pPr>
    </w:p>
    <w:p w14:paraId="4A46AEF5" w14:textId="0A09D456" w:rsidR="00093E41" w:rsidRPr="00E00F13" w:rsidRDefault="00093E41" w:rsidP="08F1CCA0">
      <w:pPr>
        <w:spacing w:after="0" w:line="360" w:lineRule="auto"/>
        <w:jc w:val="both"/>
        <w:rPr>
          <w:rFonts w:ascii="Arial" w:hAnsi="Arial" w:cs="Arial"/>
          <w:sz w:val="24"/>
          <w:szCs w:val="24"/>
        </w:rPr>
      </w:pPr>
      <w:r w:rsidRPr="00E00F13">
        <w:rPr>
          <w:rFonts w:ascii="Arial" w:hAnsi="Arial" w:cs="Arial"/>
          <w:sz w:val="24"/>
          <w:szCs w:val="24"/>
        </w:rPr>
        <w:t xml:space="preserve">Por otro lado, </w:t>
      </w:r>
      <w:r w:rsidR="532F7B34" w:rsidRPr="00E00F13">
        <w:rPr>
          <w:rFonts w:ascii="Arial" w:hAnsi="Arial" w:cs="Arial"/>
          <w:sz w:val="24"/>
          <w:szCs w:val="24"/>
        </w:rPr>
        <w:t xml:space="preserve">en el caso de los proyectos de vivienda, </w:t>
      </w:r>
      <w:r w:rsidRPr="00E00F13">
        <w:rPr>
          <w:rFonts w:ascii="Arial" w:hAnsi="Arial" w:cs="Arial"/>
          <w:sz w:val="24"/>
          <w:szCs w:val="24"/>
        </w:rPr>
        <w:t>los ejecutores deben invertir recursos propios a riesgo. Por lo que, es</w:t>
      </w:r>
      <w:r w:rsidR="00B11B08" w:rsidRPr="00E00F13">
        <w:rPr>
          <w:rFonts w:ascii="Arial" w:hAnsi="Arial" w:cs="Arial"/>
          <w:sz w:val="24"/>
          <w:szCs w:val="24"/>
        </w:rPr>
        <w:t xml:space="preserve"> necesario preguntarse cuál es la capacidad financiera que tiene</w:t>
      </w:r>
      <w:r w:rsidRPr="00E00F13">
        <w:rPr>
          <w:rFonts w:ascii="Arial" w:hAnsi="Arial" w:cs="Arial"/>
          <w:sz w:val="24"/>
          <w:szCs w:val="24"/>
        </w:rPr>
        <w:t>n</w:t>
      </w:r>
      <w:r w:rsidR="00B11B08" w:rsidRPr="00E00F13">
        <w:rPr>
          <w:rFonts w:ascii="Arial" w:hAnsi="Arial" w:cs="Arial"/>
          <w:sz w:val="24"/>
          <w:szCs w:val="24"/>
        </w:rPr>
        <w:t xml:space="preserve">, </w:t>
      </w:r>
      <w:r w:rsidR="3DC20EF3" w:rsidRPr="00E00F13">
        <w:rPr>
          <w:rFonts w:ascii="Arial" w:hAnsi="Arial" w:cs="Arial"/>
          <w:sz w:val="24"/>
          <w:szCs w:val="24"/>
        </w:rPr>
        <w:t xml:space="preserve">teniendo en cuenta que no se establecen pagos de anticipos, sino que todo es contra producto terminado. </w:t>
      </w:r>
      <w:r w:rsidR="188BDE43" w:rsidRPr="00E00F13">
        <w:rPr>
          <w:rFonts w:ascii="Arial" w:hAnsi="Arial" w:cs="Arial"/>
          <w:sz w:val="24"/>
          <w:szCs w:val="24"/>
        </w:rPr>
        <w:t xml:space="preserve">En este sentido, la respuesta del ministerio debe ser generar o fortalecer los mecanismos </w:t>
      </w:r>
      <w:r w:rsidR="020918B0" w:rsidRPr="00E00F13">
        <w:rPr>
          <w:rFonts w:ascii="Arial" w:hAnsi="Arial" w:cs="Arial"/>
          <w:sz w:val="24"/>
          <w:szCs w:val="24"/>
        </w:rPr>
        <w:t>de pago, evitando que la carga financiera de los proyectos esté s</w:t>
      </w:r>
      <w:r w:rsidR="3932A4B4" w:rsidRPr="00E00F13">
        <w:rPr>
          <w:rFonts w:ascii="Arial" w:hAnsi="Arial" w:cs="Arial"/>
          <w:sz w:val="24"/>
          <w:szCs w:val="24"/>
        </w:rPr>
        <w:t>o</w:t>
      </w:r>
      <w:r w:rsidR="020918B0" w:rsidRPr="00E00F13">
        <w:rPr>
          <w:rFonts w:ascii="Arial" w:hAnsi="Arial" w:cs="Arial"/>
          <w:sz w:val="24"/>
          <w:szCs w:val="24"/>
        </w:rPr>
        <w:t>lo en los ejecutores</w:t>
      </w:r>
      <w:r w:rsidR="093E3C2E" w:rsidRPr="00E00F13">
        <w:rPr>
          <w:rFonts w:ascii="Arial" w:hAnsi="Arial" w:cs="Arial"/>
          <w:sz w:val="24"/>
          <w:szCs w:val="24"/>
        </w:rPr>
        <w:t xml:space="preserve"> y las organizaciones comunitarias. </w:t>
      </w:r>
    </w:p>
    <w:p w14:paraId="5314DB05" w14:textId="438E9C56" w:rsidR="00722B98" w:rsidRPr="00E00F13" w:rsidRDefault="00722B98" w:rsidP="00722B98">
      <w:pPr>
        <w:spacing w:after="0" w:line="360" w:lineRule="auto"/>
        <w:jc w:val="both"/>
        <w:rPr>
          <w:rFonts w:ascii="Arial" w:hAnsi="Arial" w:cs="Arial"/>
          <w:sz w:val="24"/>
          <w:szCs w:val="24"/>
        </w:rPr>
      </w:pPr>
    </w:p>
    <w:p w14:paraId="0D23809E" w14:textId="63FD0F5F" w:rsidR="13F102BE" w:rsidRPr="00E00F13" w:rsidRDefault="13F102BE" w:rsidP="00EB063E">
      <w:pPr>
        <w:pStyle w:val="Ttulo3"/>
        <w:rPr>
          <w:color w:val="auto"/>
        </w:rPr>
      </w:pPr>
      <w:bookmarkStart w:id="171" w:name="_Toc234242893"/>
      <w:r w:rsidRPr="00E00F13">
        <w:rPr>
          <w:color w:val="auto"/>
        </w:rPr>
        <w:lastRenderedPageBreak/>
        <w:t>Fortalecer el rol de la supervisión</w:t>
      </w:r>
      <w:bookmarkEnd w:id="171"/>
    </w:p>
    <w:p w14:paraId="3D70C501" w14:textId="0E619D5D" w:rsidR="00D92F80" w:rsidRPr="00E00F13" w:rsidRDefault="004B6825" w:rsidP="00722B98">
      <w:pPr>
        <w:spacing w:after="0" w:line="360" w:lineRule="auto"/>
        <w:jc w:val="both"/>
        <w:rPr>
          <w:rFonts w:ascii="Arial" w:hAnsi="Arial" w:cs="Arial"/>
          <w:sz w:val="24"/>
          <w:szCs w:val="24"/>
        </w:rPr>
      </w:pPr>
      <w:r w:rsidRPr="00E00F13">
        <w:rPr>
          <w:rFonts w:ascii="Arial" w:hAnsi="Arial" w:cs="Arial"/>
          <w:sz w:val="24"/>
          <w:szCs w:val="24"/>
        </w:rPr>
        <w:t xml:space="preserve">El aumento en </w:t>
      </w:r>
      <w:r w:rsidR="000E6BE9" w:rsidRPr="00E00F13">
        <w:rPr>
          <w:rFonts w:ascii="Arial" w:hAnsi="Arial" w:cs="Arial"/>
          <w:sz w:val="24"/>
          <w:szCs w:val="24"/>
        </w:rPr>
        <w:t xml:space="preserve">la suscripción de convenios y/o contratos </w:t>
      </w:r>
      <w:r w:rsidR="00FE03E4" w:rsidRPr="00E00F13">
        <w:rPr>
          <w:rFonts w:ascii="Arial" w:hAnsi="Arial" w:cs="Arial"/>
          <w:sz w:val="24"/>
          <w:szCs w:val="24"/>
        </w:rPr>
        <w:t>interadministrativos como</w:t>
      </w:r>
      <w:r w:rsidR="0082272F" w:rsidRPr="00E00F13">
        <w:rPr>
          <w:rFonts w:ascii="Arial" w:hAnsi="Arial" w:cs="Arial"/>
          <w:sz w:val="24"/>
          <w:szCs w:val="24"/>
        </w:rPr>
        <w:t xml:space="preserve"> vehículo jurídico </w:t>
      </w:r>
      <w:r w:rsidR="00C154F3" w:rsidRPr="00E00F13">
        <w:rPr>
          <w:rFonts w:ascii="Arial" w:hAnsi="Arial" w:cs="Arial"/>
          <w:sz w:val="24"/>
          <w:szCs w:val="24"/>
        </w:rPr>
        <w:t>para la articulación</w:t>
      </w:r>
      <w:r w:rsidR="00E5245D" w:rsidRPr="00E00F13">
        <w:rPr>
          <w:rFonts w:ascii="Arial" w:hAnsi="Arial" w:cs="Arial"/>
          <w:sz w:val="24"/>
          <w:szCs w:val="24"/>
        </w:rPr>
        <w:t xml:space="preserve"> entre las comunidades organizadas</w:t>
      </w:r>
      <w:r w:rsidR="003A6ACE" w:rsidRPr="00E00F13">
        <w:rPr>
          <w:rFonts w:ascii="Arial" w:hAnsi="Arial" w:cs="Arial"/>
          <w:sz w:val="24"/>
          <w:szCs w:val="24"/>
        </w:rPr>
        <w:t xml:space="preserve">, las entidades territoriales y </w:t>
      </w:r>
      <w:r w:rsidR="00154612" w:rsidRPr="00E00F13">
        <w:rPr>
          <w:rFonts w:ascii="Arial" w:hAnsi="Arial" w:cs="Arial"/>
          <w:sz w:val="24"/>
          <w:szCs w:val="24"/>
        </w:rPr>
        <w:t>el MVCT</w:t>
      </w:r>
      <w:r w:rsidR="0094534D" w:rsidRPr="00E00F13">
        <w:rPr>
          <w:rFonts w:ascii="Arial" w:hAnsi="Arial" w:cs="Arial"/>
          <w:sz w:val="24"/>
          <w:szCs w:val="24"/>
        </w:rPr>
        <w:t xml:space="preserve">, implica fortalecer el rol de la supervisión, entendiendo que del acompañamiento continuo de la misma depende </w:t>
      </w:r>
      <w:r w:rsidR="003B06AE" w:rsidRPr="00E00F13">
        <w:rPr>
          <w:rFonts w:ascii="Arial" w:hAnsi="Arial" w:cs="Arial"/>
          <w:sz w:val="24"/>
          <w:szCs w:val="24"/>
        </w:rPr>
        <w:t>el éxito de los proyectos.</w:t>
      </w:r>
      <w:r w:rsidR="00355146" w:rsidRPr="00E00F13">
        <w:rPr>
          <w:rFonts w:ascii="Arial" w:hAnsi="Arial" w:cs="Arial"/>
          <w:sz w:val="24"/>
          <w:szCs w:val="24"/>
        </w:rPr>
        <w:t xml:space="preserve"> </w:t>
      </w:r>
      <w:r w:rsidR="00084506" w:rsidRPr="00E00F13">
        <w:rPr>
          <w:rFonts w:ascii="Arial" w:hAnsi="Arial" w:cs="Arial"/>
          <w:sz w:val="24"/>
          <w:szCs w:val="24"/>
        </w:rPr>
        <w:t xml:space="preserve">La transición hacia una entidad ejecutora </w:t>
      </w:r>
      <w:r w:rsidR="00677099" w:rsidRPr="00E00F13">
        <w:rPr>
          <w:rFonts w:ascii="Arial" w:hAnsi="Arial" w:cs="Arial"/>
          <w:sz w:val="24"/>
          <w:szCs w:val="24"/>
        </w:rPr>
        <w:t>nos exige</w:t>
      </w:r>
      <w:r w:rsidR="00FE6D7D" w:rsidRPr="00E00F13">
        <w:rPr>
          <w:rFonts w:ascii="Arial" w:hAnsi="Arial" w:cs="Arial"/>
          <w:sz w:val="24"/>
          <w:szCs w:val="24"/>
        </w:rPr>
        <w:t xml:space="preserve"> mitigar </w:t>
      </w:r>
      <w:r w:rsidR="00E77C70" w:rsidRPr="00E00F13">
        <w:rPr>
          <w:rFonts w:ascii="Arial" w:hAnsi="Arial" w:cs="Arial"/>
          <w:sz w:val="24"/>
          <w:szCs w:val="24"/>
        </w:rPr>
        <w:t>los riesgos</w:t>
      </w:r>
      <w:r w:rsidR="00D92AB8" w:rsidRPr="00E00F13">
        <w:rPr>
          <w:rFonts w:ascii="Arial" w:hAnsi="Arial" w:cs="Arial"/>
          <w:sz w:val="24"/>
          <w:szCs w:val="24"/>
        </w:rPr>
        <w:t xml:space="preserve"> que se pueden materializar para los profesionales encargados de esta tarea.</w:t>
      </w:r>
    </w:p>
    <w:p w14:paraId="37D0C86D" w14:textId="77777777" w:rsidR="00722B98" w:rsidRPr="00E00F13" w:rsidRDefault="00722B98" w:rsidP="00722B98">
      <w:pPr>
        <w:spacing w:after="0" w:line="360" w:lineRule="auto"/>
        <w:jc w:val="both"/>
        <w:rPr>
          <w:rFonts w:ascii="Arial" w:hAnsi="Arial" w:cs="Arial"/>
          <w:sz w:val="24"/>
          <w:szCs w:val="24"/>
        </w:rPr>
      </w:pPr>
    </w:p>
    <w:p w14:paraId="0B227372" w14:textId="008584F6" w:rsidR="00764FAC" w:rsidRPr="00E00F13" w:rsidRDefault="00764FAC" w:rsidP="00722B98">
      <w:pPr>
        <w:pStyle w:val="Ttulo3"/>
        <w:rPr>
          <w:rFonts w:ascii="Times New Roman" w:eastAsia="Times New Roman" w:hAnsi="Times New Roman" w:cs="Times New Roman"/>
          <w:color w:val="auto"/>
          <w:lang w:eastAsia="es-CO"/>
        </w:rPr>
      </w:pPr>
      <w:bookmarkStart w:id="172" w:name="_Toc234242894"/>
      <w:r w:rsidRPr="00E00F13">
        <w:rPr>
          <w:color w:val="auto"/>
        </w:rPr>
        <w:t>La articulación con terceros</w:t>
      </w:r>
      <w:bookmarkEnd w:id="172"/>
    </w:p>
    <w:p w14:paraId="47595931" w14:textId="082468FD" w:rsidR="00105ADF" w:rsidRPr="00E00F13" w:rsidRDefault="00105ADF" w:rsidP="00105ADF">
      <w:pPr>
        <w:spacing w:after="0" w:line="360" w:lineRule="auto"/>
        <w:jc w:val="both"/>
        <w:rPr>
          <w:rFonts w:ascii="Arial" w:hAnsi="Arial" w:cs="Arial"/>
          <w:sz w:val="24"/>
          <w:szCs w:val="24"/>
        </w:rPr>
      </w:pPr>
      <w:r w:rsidRPr="00E00F13">
        <w:rPr>
          <w:rFonts w:ascii="Arial" w:hAnsi="Arial" w:cs="Arial"/>
          <w:sz w:val="24"/>
          <w:szCs w:val="24"/>
        </w:rPr>
        <w:t>Al transitar de la idea de la vivienda</w:t>
      </w:r>
      <w:r w:rsidR="00A42999" w:rsidRPr="00E00F13">
        <w:rPr>
          <w:rFonts w:ascii="Arial" w:hAnsi="Arial" w:cs="Arial"/>
          <w:sz w:val="24"/>
          <w:szCs w:val="24"/>
        </w:rPr>
        <w:t xml:space="preserve"> como solución individual</w:t>
      </w:r>
      <w:r w:rsidRPr="00E00F13">
        <w:rPr>
          <w:rFonts w:ascii="Arial" w:hAnsi="Arial" w:cs="Arial"/>
          <w:sz w:val="24"/>
          <w:szCs w:val="24"/>
        </w:rPr>
        <w:t xml:space="preserve"> a la de proyectos</w:t>
      </w:r>
      <w:r w:rsidR="00A42999" w:rsidRPr="00E00F13">
        <w:rPr>
          <w:rFonts w:ascii="Arial" w:hAnsi="Arial" w:cs="Arial"/>
          <w:sz w:val="24"/>
          <w:szCs w:val="24"/>
        </w:rPr>
        <w:t xml:space="preserve"> colectivos</w:t>
      </w:r>
      <w:r w:rsidR="1E86952B" w:rsidRPr="00E00F13">
        <w:rPr>
          <w:rFonts w:ascii="Arial" w:hAnsi="Arial" w:cs="Arial"/>
          <w:sz w:val="24"/>
          <w:szCs w:val="24"/>
        </w:rPr>
        <w:t>,</w:t>
      </w:r>
      <w:r w:rsidRPr="00E00F13">
        <w:rPr>
          <w:rFonts w:ascii="Arial" w:hAnsi="Arial" w:cs="Arial"/>
          <w:sz w:val="24"/>
          <w:szCs w:val="24"/>
        </w:rPr>
        <w:t xml:space="preserve"> se </w:t>
      </w:r>
      <w:r w:rsidR="00EA5A52" w:rsidRPr="00E00F13">
        <w:rPr>
          <w:rFonts w:ascii="Arial" w:hAnsi="Arial" w:cs="Arial"/>
          <w:sz w:val="24"/>
          <w:szCs w:val="24"/>
        </w:rPr>
        <w:t>debe pensar en</w:t>
      </w:r>
      <w:r w:rsidRPr="00E00F13">
        <w:rPr>
          <w:rFonts w:ascii="Arial" w:hAnsi="Arial" w:cs="Arial"/>
          <w:sz w:val="24"/>
          <w:szCs w:val="24"/>
        </w:rPr>
        <w:t xml:space="preserve"> una serie de factores </w:t>
      </w:r>
      <w:r w:rsidR="00EA5A52" w:rsidRPr="00E00F13">
        <w:rPr>
          <w:rFonts w:ascii="Arial" w:hAnsi="Arial" w:cs="Arial"/>
          <w:sz w:val="24"/>
          <w:szCs w:val="24"/>
        </w:rPr>
        <w:t xml:space="preserve">adicionales </w:t>
      </w:r>
      <w:r w:rsidRPr="00E00F13">
        <w:rPr>
          <w:rFonts w:ascii="Arial" w:hAnsi="Arial" w:cs="Arial"/>
          <w:sz w:val="24"/>
          <w:szCs w:val="24"/>
        </w:rPr>
        <w:t>que son los que permiten, justamente, la construcción de</w:t>
      </w:r>
      <w:r w:rsidR="001960A7" w:rsidRPr="00E00F13">
        <w:rPr>
          <w:rFonts w:ascii="Arial" w:hAnsi="Arial" w:cs="Arial"/>
          <w:sz w:val="24"/>
          <w:szCs w:val="24"/>
        </w:rPr>
        <w:t xml:space="preserve"> un</w:t>
      </w:r>
      <w:r w:rsidRPr="00E00F13">
        <w:rPr>
          <w:rFonts w:ascii="Arial" w:hAnsi="Arial" w:cs="Arial"/>
          <w:sz w:val="24"/>
          <w:szCs w:val="24"/>
        </w:rPr>
        <w:t xml:space="preserve"> hábitat</w:t>
      </w:r>
      <w:r w:rsidR="1A48DB41" w:rsidRPr="00E00F13">
        <w:rPr>
          <w:rFonts w:ascii="Arial" w:hAnsi="Arial" w:cs="Arial"/>
          <w:sz w:val="24"/>
          <w:szCs w:val="24"/>
        </w:rPr>
        <w:t>,</w:t>
      </w:r>
      <w:r w:rsidR="003C4484" w:rsidRPr="00E00F13">
        <w:rPr>
          <w:rFonts w:ascii="Arial" w:hAnsi="Arial" w:cs="Arial"/>
          <w:sz w:val="24"/>
          <w:szCs w:val="24"/>
        </w:rPr>
        <w:t xml:space="preserve"> </w:t>
      </w:r>
      <w:r w:rsidR="00EA5A52" w:rsidRPr="00E00F13">
        <w:rPr>
          <w:rFonts w:ascii="Arial" w:hAnsi="Arial" w:cs="Arial"/>
          <w:sz w:val="24"/>
          <w:szCs w:val="24"/>
        </w:rPr>
        <w:t>tales como el urbanismo, los servicios públicos</w:t>
      </w:r>
      <w:r w:rsidR="00483247" w:rsidRPr="00E00F13">
        <w:rPr>
          <w:rFonts w:ascii="Arial" w:hAnsi="Arial" w:cs="Arial"/>
          <w:sz w:val="24"/>
          <w:szCs w:val="24"/>
        </w:rPr>
        <w:t>, la generación de vías de acceso, los equipamientos, la adecuación de los suelos, entre otros. E</w:t>
      </w:r>
      <w:r w:rsidR="1A48DB41" w:rsidRPr="00E00F13">
        <w:rPr>
          <w:rFonts w:ascii="Arial" w:hAnsi="Arial" w:cs="Arial"/>
          <w:sz w:val="24"/>
          <w:szCs w:val="24"/>
        </w:rPr>
        <w:t>sto</w:t>
      </w:r>
      <w:r w:rsidR="003C4484" w:rsidRPr="00E00F13">
        <w:rPr>
          <w:rFonts w:ascii="Arial" w:hAnsi="Arial" w:cs="Arial"/>
          <w:sz w:val="24"/>
          <w:szCs w:val="24"/>
        </w:rPr>
        <w:t xml:space="preserve"> </w:t>
      </w:r>
      <w:r w:rsidR="00B347B4" w:rsidRPr="00E00F13">
        <w:rPr>
          <w:rFonts w:ascii="Arial" w:hAnsi="Arial" w:cs="Arial"/>
          <w:sz w:val="24"/>
          <w:szCs w:val="24"/>
        </w:rPr>
        <w:t xml:space="preserve">permite </w:t>
      </w:r>
      <w:r w:rsidR="003C4484" w:rsidRPr="00E00F13">
        <w:rPr>
          <w:rFonts w:ascii="Arial" w:hAnsi="Arial" w:cs="Arial"/>
          <w:sz w:val="24"/>
          <w:szCs w:val="24"/>
        </w:rPr>
        <w:t>fortalecer el tejido social, el arraigo territorial y la vida en comunidad</w:t>
      </w:r>
      <w:r w:rsidRPr="00E00F13">
        <w:rPr>
          <w:rFonts w:ascii="Arial" w:hAnsi="Arial" w:cs="Arial"/>
          <w:sz w:val="24"/>
          <w:szCs w:val="24"/>
        </w:rPr>
        <w:t xml:space="preserve">. La forma en la que se da solución para que existan los servicios y el contexto </w:t>
      </w:r>
      <w:r w:rsidR="001960A7" w:rsidRPr="00E00F13">
        <w:rPr>
          <w:rFonts w:ascii="Arial" w:hAnsi="Arial" w:cs="Arial"/>
          <w:sz w:val="24"/>
          <w:szCs w:val="24"/>
        </w:rPr>
        <w:t xml:space="preserve">necesario para </w:t>
      </w:r>
      <w:r w:rsidR="00700524" w:rsidRPr="00E00F13">
        <w:rPr>
          <w:rFonts w:ascii="Arial" w:hAnsi="Arial" w:cs="Arial"/>
          <w:sz w:val="24"/>
          <w:szCs w:val="24"/>
        </w:rPr>
        <w:t>la construcción del</w:t>
      </w:r>
      <w:r w:rsidRPr="00E00F13">
        <w:rPr>
          <w:rFonts w:ascii="Arial" w:hAnsi="Arial" w:cs="Arial"/>
          <w:sz w:val="24"/>
          <w:szCs w:val="24"/>
        </w:rPr>
        <w:t xml:space="preserve"> hábitat </w:t>
      </w:r>
      <w:r w:rsidR="006F4AAB" w:rsidRPr="00E00F13">
        <w:rPr>
          <w:rFonts w:ascii="Arial" w:hAnsi="Arial" w:cs="Arial"/>
          <w:sz w:val="24"/>
          <w:szCs w:val="24"/>
        </w:rPr>
        <w:t xml:space="preserve">es a través de </w:t>
      </w:r>
      <w:r w:rsidRPr="00E00F13">
        <w:rPr>
          <w:rFonts w:ascii="Arial" w:hAnsi="Arial" w:cs="Arial"/>
          <w:sz w:val="24"/>
          <w:szCs w:val="24"/>
        </w:rPr>
        <w:t xml:space="preserve">la </w:t>
      </w:r>
      <w:r w:rsidR="006F4AAB" w:rsidRPr="00E00F13">
        <w:rPr>
          <w:rFonts w:ascii="Arial" w:hAnsi="Arial" w:cs="Arial"/>
          <w:sz w:val="24"/>
          <w:szCs w:val="24"/>
        </w:rPr>
        <w:t xml:space="preserve">articulación </w:t>
      </w:r>
      <w:r w:rsidRPr="00E00F13">
        <w:rPr>
          <w:rFonts w:ascii="Arial" w:hAnsi="Arial" w:cs="Arial"/>
          <w:sz w:val="24"/>
          <w:szCs w:val="24"/>
        </w:rPr>
        <w:t>con</w:t>
      </w:r>
      <w:r w:rsidR="006F4AAB" w:rsidRPr="00E00F13">
        <w:rPr>
          <w:rFonts w:ascii="Arial" w:hAnsi="Arial" w:cs="Arial"/>
          <w:sz w:val="24"/>
          <w:szCs w:val="24"/>
        </w:rPr>
        <w:t xml:space="preserve"> terceros. </w:t>
      </w:r>
      <w:r w:rsidRPr="00E00F13">
        <w:rPr>
          <w:rFonts w:ascii="Arial" w:hAnsi="Arial" w:cs="Arial"/>
          <w:sz w:val="24"/>
          <w:szCs w:val="24"/>
        </w:rPr>
        <w:t xml:space="preserve">Otras entidades deben asumir los costos </w:t>
      </w:r>
      <w:r w:rsidR="00B347B4" w:rsidRPr="00E00F13">
        <w:rPr>
          <w:rFonts w:ascii="Arial" w:hAnsi="Arial" w:cs="Arial"/>
          <w:sz w:val="24"/>
          <w:szCs w:val="24"/>
        </w:rPr>
        <w:t>de</w:t>
      </w:r>
      <w:r w:rsidR="00700524" w:rsidRPr="00E00F13">
        <w:rPr>
          <w:rFonts w:ascii="Arial" w:hAnsi="Arial" w:cs="Arial"/>
          <w:sz w:val="24"/>
          <w:szCs w:val="24"/>
        </w:rPr>
        <w:t xml:space="preserve"> estos desarrollos.</w:t>
      </w:r>
      <w:r w:rsidR="00B347B4" w:rsidRPr="00E00F13">
        <w:rPr>
          <w:rFonts w:ascii="Arial" w:hAnsi="Arial" w:cs="Arial"/>
          <w:sz w:val="24"/>
          <w:szCs w:val="24"/>
        </w:rPr>
        <w:t xml:space="preserve"> </w:t>
      </w:r>
    </w:p>
    <w:p w14:paraId="35F7F5D4" w14:textId="049E9525" w:rsidR="00105ADF" w:rsidRPr="00E00F13" w:rsidRDefault="00105ADF" w:rsidP="00105ADF">
      <w:pPr>
        <w:spacing w:after="0" w:line="360" w:lineRule="auto"/>
        <w:jc w:val="both"/>
        <w:rPr>
          <w:rFonts w:ascii="Arial" w:hAnsi="Arial" w:cs="Arial"/>
          <w:sz w:val="24"/>
          <w:szCs w:val="24"/>
        </w:rPr>
      </w:pPr>
    </w:p>
    <w:p w14:paraId="2764D2A5" w14:textId="77AE3530" w:rsidR="001960A7" w:rsidRPr="00E00F13" w:rsidRDefault="00105ADF" w:rsidP="006F4AAB">
      <w:pPr>
        <w:spacing w:after="0" w:line="360" w:lineRule="auto"/>
        <w:jc w:val="both"/>
        <w:rPr>
          <w:rFonts w:ascii="Arial" w:hAnsi="Arial" w:cs="Arial"/>
          <w:sz w:val="24"/>
          <w:szCs w:val="24"/>
        </w:rPr>
      </w:pPr>
      <w:r w:rsidRPr="00E00F13">
        <w:rPr>
          <w:rFonts w:ascii="Arial" w:hAnsi="Arial" w:cs="Arial"/>
          <w:sz w:val="24"/>
          <w:szCs w:val="24"/>
        </w:rPr>
        <w:t xml:space="preserve">Esta </w:t>
      </w:r>
      <w:r w:rsidR="00EB2DC5" w:rsidRPr="00E00F13">
        <w:rPr>
          <w:rFonts w:ascii="Arial" w:hAnsi="Arial" w:cs="Arial"/>
          <w:sz w:val="24"/>
          <w:szCs w:val="24"/>
        </w:rPr>
        <w:t>articulaci</w:t>
      </w:r>
      <w:r w:rsidR="00034833" w:rsidRPr="00E00F13">
        <w:rPr>
          <w:rFonts w:ascii="Arial" w:hAnsi="Arial" w:cs="Arial"/>
          <w:sz w:val="24"/>
          <w:szCs w:val="24"/>
        </w:rPr>
        <w:t xml:space="preserve">ón </w:t>
      </w:r>
      <w:r w:rsidR="00EB2DC5" w:rsidRPr="00E00F13">
        <w:rPr>
          <w:rFonts w:ascii="Arial" w:hAnsi="Arial" w:cs="Arial"/>
          <w:sz w:val="24"/>
          <w:szCs w:val="24"/>
        </w:rPr>
        <w:t xml:space="preserve">es compleja </w:t>
      </w:r>
      <w:r w:rsidR="000D0E99" w:rsidRPr="00E00F13">
        <w:rPr>
          <w:rFonts w:ascii="Arial" w:hAnsi="Arial" w:cs="Arial"/>
          <w:sz w:val="24"/>
          <w:szCs w:val="24"/>
        </w:rPr>
        <w:t>y</w:t>
      </w:r>
      <w:r w:rsidRPr="00E00F13">
        <w:rPr>
          <w:rFonts w:ascii="Arial" w:hAnsi="Arial" w:cs="Arial"/>
          <w:sz w:val="24"/>
          <w:szCs w:val="24"/>
        </w:rPr>
        <w:t xml:space="preserve"> lleva un tiempo considerable. Por lo que el desarrollo de los proyectos de vivienda</w:t>
      </w:r>
      <w:r w:rsidR="00566FB6" w:rsidRPr="00E00F13">
        <w:rPr>
          <w:rFonts w:ascii="Arial" w:hAnsi="Arial" w:cs="Arial"/>
          <w:sz w:val="24"/>
          <w:szCs w:val="24"/>
        </w:rPr>
        <w:t xml:space="preserve"> </w:t>
      </w:r>
      <w:r w:rsidRPr="00E00F13">
        <w:rPr>
          <w:rFonts w:ascii="Arial" w:hAnsi="Arial" w:cs="Arial"/>
          <w:sz w:val="24"/>
          <w:szCs w:val="24"/>
        </w:rPr>
        <w:t xml:space="preserve">y de agua no se verá de forma inmediata. </w:t>
      </w:r>
      <w:r w:rsidR="001960A7" w:rsidRPr="00E00F13">
        <w:rPr>
          <w:rFonts w:ascii="Arial" w:hAnsi="Arial" w:cs="Arial"/>
          <w:sz w:val="24"/>
          <w:szCs w:val="24"/>
        </w:rPr>
        <w:t xml:space="preserve">Los tiempos y las dificultades para poner </w:t>
      </w:r>
      <w:proofErr w:type="gramStart"/>
      <w:r w:rsidR="001960A7" w:rsidRPr="00E00F13">
        <w:rPr>
          <w:rFonts w:ascii="Arial" w:hAnsi="Arial" w:cs="Arial"/>
          <w:sz w:val="24"/>
          <w:szCs w:val="24"/>
        </w:rPr>
        <w:t>de acuerdo a</w:t>
      </w:r>
      <w:proofErr w:type="gramEnd"/>
      <w:r w:rsidR="001960A7" w:rsidRPr="00E00F13">
        <w:rPr>
          <w:rFonts w:ascii="Arial" w:hAnsi="Arial" w:cs="Arial"/>
          <w:sz w:val="24"/>
          <w:szCs w:val="24"/>
        </w:rPr>
        <w:t xml:space="preserve"> las entidades en el ejercicio de concurrencia podría ser una limitación importante.</w:t>
      </w:r>
    </w:p>
    <w:p w14:paraId="60B2F647" w14:textId="77777777" w:rsidR="00A91810" w:rsidRPr="00E00F13" w:rsidRDefault="00A91810" w:rsidP="00A91810">
      <w:pPr>
        <w:spacing w:after="0" w:line="360" w:lineRule="auto"/>
        <w:jc w:val="both"/>
        <w:rPr>
          <w:rFonts w:ascii="Arial" w:hAnsi="Arial" w:cs="Arial"/>
          <w:sz w:val="24"/>
          <w:szCs w:val="24"/>
        </w:rPr>
      </w:pPr>
    </w:p>
    <w:p w14:paraId="6A0E036F" w14:textId="0DC2E91E" w:rsidR="00722B98" w:rsidRPr="00E00F13" w:rsidRDefault="00A91810" w:rsidP="00722B98">
      <w:pPr>
        <w:spacing w:after="0" w:line="360" w:lineRule="auto"/>
        <w:jc w:val="both"/>
        <w:rPr>
          <w:rFonts w:ascii="Arial" w:hAnsi="Arial" w:cs="Arial"/>
          <w:sz w:val="24"/>
          <w:szCs w:val="24"/>
        </w:rPr>
      </w:pPr>
      <w:r w:rsidRPr="00E00F13">
        <w:rPr>
          <w:rFonts w:ascii="Arial" w:hAnsi="Arial" w:cs="Arial"/>
          <w:sz w:val="24"/>
          <w:szCs w:val="24"/>
        </w:rPr>
        <w:t xml:space="preserve">En este sentido, es necesario pensar desde el Ministerio </w:t>
      </w:r>
      <w:r w:rsidR="00C77A11" w:rsidRPr="00E00F13">
        <w:rPr>
          <w:rFonts w:ascii="Arial" w:hAnsi="Arial" w:cs="Arial"/>
          <w:sz w:val="24"/>
          <w:szCs w:val="24"/>
        </w:rPr>
        <w:t xml:space="preserve">las implicaciones de </w:t>
      </w:r>
      <w:r w:rsidRPr="00E00F13">
        <w:rPr>
          <w:rFonts w:ascii="Arial" w:hAnsi="Arial" w:cs="Arial"/>
          <w:sz w:val="24"/>
          <w:szCs w:val="24"/>
        </w:rPr>
        <w:t>pasar</w:t>
      </w:r>
      <w:r w:rsidR="006E42D8" w:rsidRPr="00E00F13">
        <w:rPr>
          <w:rFonts w:ascii="Arial" w:hAnsi="Arial" w:cs="Arial"/>
          <w:sz w:val="24"/>
          <w:szCs w:val="24"/>
        </w:rPr>
        <w:t xml:space="preserve"> </w:t>
      </w:r>
      <w:r w:rsidRPr="00E00F13">
        <w:rPr>
          <w:rFonts w:ascii="Arial" w:hAnsi="Arial" w:cs="Arial"/>
          <w:sz w:val="24"/>
          <w:szCs w:val="24"/>
        </w:rPr>
        <w:t xml:space="preserve">de </w:t>
      </w:r>
      <w:r w:rsidR="00C77A11" w:rsidRPr="00E00F13">
        <w:rPr>
          <w:rFonts w:ascii="Arial" w:hAnsi="Arial" w:cs="Arial"/>
          <w:sz w:val="24"/>
          <w:szCs w:val="24"/>
        </w:rPr>
        <w:t>la</w:t>
      </w:r>
      <w:r w:rsidRPr="00E00F13">
        <w:rPr>
          <w:rFonts w:ascii="Arial" w:hAnsi="Arial" w:cs="Arial"/>
          <w:sz w:val="24"/>
          <w:szCs w:val="24"/>
        </w:rPr>
        <w:t xml:space="preserve"> lógica de subsidios individualizados a hacer un abordaje por proyectos, y </w:t>
      </w:r>
      <w:r w:rsidR="00C77A11" w:rsidRPr="00E00F13">
        <w:rPr>
          <w:rFonts w:ascii="Arial" w:hAnsi="Arial" w:cs="Arial"/>
          <w:sz w:val="24"/>
          <w:szCs w:val="24"/>
        </w:rPr>
        <w:t>los mecanismos a través de los cuales facilitar</w:t>
      </w:r>
      <w:r w:rsidRPr="00E00F13">
        <w:rPr>
          <w:rFonts w:ascii="Arial" w:hAnsi="Arial" w:cs="Arial"/>
          <w:sz w:val="24"/>
          <w:szCs w:val="24"/>
        </w:rPr>
        <w:t xml:space="preserve"> </w:t>
      </w:r>
      <w:r w:rsidR="00C77A11" w:rsidRPr="00E00F13">
        <w:rPr>
          <w:rFonts w:ascii="Arial" w:hAnsi="Arial" w:cs="Arial"/>
          <w:sz w:val="24"/>
          <w:szCs w:val="24"/>
        </w:rPr>
        <w:t>la</w:t>
      </w:r>
      <w:r w:rsidRPr="00E00F13">
        <w:rPr>
          <w:rFonts w:ascii="Arial" w:hAnsi="Arial" w:cs="Arial"/>
          <w:sz w:val="24"/>
          <w:szCs w:val="24"/>
        </w:rPr>
        <w:t xml:space="preserve"> entrega </w:t>
      </w:r>
      <w:r w:rsidR="4582D1D2" w:rsidRPr="00E00F13">
        <w:rPr>
          <w:rFonts w:ascii="Arial" w:hAnsi="Arial" w:cs="Arial"/>
          <w:sz w:val="24"/>
          <w:szCs w:val="24"/>
        </w:rPr>
        <w:t>de</w:t>
      </w:r>
      <w:r w:rsidRPr="00E00F13">
        <w:rPr>
          <w:rFonts w:ascii="Arial" w:hAnsi="Arial" w:cs="Arial"/>
          <w:sz w:val="24"/>
          <w:szCs w:val="24"/>
        </w:rPr>
        <w:t xml:space="preserve"> recursos para</w:t>
      </w:r>
      <w:r w:rsidR="00C77A11" w:rsidRPr="00E00F13">
        <w:rPr>
          <w:rFonts w:ascii="Arial" w:hAnsi="Arial" w:cs="Arial"/>
          <w:sz w:val="24"/>
          <w:szCs w:val="24"/>
        </w:rPr>
        <w:t xml:space="preserve"> el</w:t>
      </w:r>
      <w:r w:rsidRPr="00E00F13">
        <w:rPr>
          <w:rFonts w:ascii="Arial" w:hAnsi="Arial" w:cs="Arial"/>
          <w:sz w:val="24"/>
          <w:szCs w:val="24"/>
        </w:rPr>
        <w:t xml:space="preserve"> financ</w:t>
      </w:r>
      <w:r w:rsidR="00C77A11" w:rsidRPr="00E00F13">
        <w:rPr>
          <w:rFonts w:ascii="Arial" w:hAnsi="Arial" w:cs="Arial"/>
          <w:sz w:val="24"/>
          <w:szCs w:val="24"/>
        </w:rPr>
        <w:t>iamiento.</w:t>
      </w:r>
      <w:r w:rsidRPr="00E00F13">
        <w:rPr>
          <w:rFonts w:ascii="Arial" w:hAnsi="Arial" w:cs="Arial"/>
          <w:sz w:val="24"/>
          <w:szCs w:val="24"/>
        </w:rPr>
        <w:t xml:space="preserve"> </w:t>
      </w:r>
    </w:p>
    <w:p w14:paraId="3117B088" w14:textId="77777777" w:rsidR="00722B98" w:rsidRPr="00E00F13" w:rsidRDefault="00722B98" w:rsidP="00722B98">
      <w:pPr>
        <w:spacing w:after="0" w:line="360" w:lineRule="auto"/>
        <w:jc w:val="both"/>
        <w:rPr>
          <w:rFonts w:ascii="Arial" w:hAnsi="Arial" w:cs="Arial"/>
          <w:sz w:val="24"/>
          <w:szCs w:val="24"/>
        </w:rPr>
      </w:pPr>
    </w:p>
    <w:p w14:paraId="42FB63D5" w14:textId="354BFA5C" w:rsidR="00522304" w:rsidRPr="00E00F13" w:rsidRDefault="00522304" w:rsidP="00722B98">
      <w:pPr>
        <w:pStyle w:val="Ttulo3"/>
        <w:rPr>
          <w:color w:val="auto"/>
        </w:rPr>
      </w:pPr>
      <w:bookmarkStart w:id="173" w:name="_Toc234242895"/>
      <w:r w:rsidRPr="00E00F13">
        <w:rPr>
          <w:color w:val="auto"/>
        </w:rPr>
        <w:t xml:space="preserve">La </w:t>
      </w:r>
      <w:r w:rsidR="00722B98" w:rsidRPr="00E00F13">
        <w:rPr>
          <w:color w:val="auto"/>
        </w:rPr>
        <w:t>inclusión real</w:t>
      </w:r>
      <w:r w:rsidRPr="00E00F13">
        <w:rPr>
          <w:color w:val="auto"/>
        </w:rPr>
        <w:t xml:space="preserve"> de los enfoques diferenciales</w:t>
      </w:r>
      <w:r w:rsidR="00022244" w:rsidRPr="00E00F13">
        <w:rPr>
          <w:color w:val="auto"/>
        </w:rPr>
        <w:t xml:space="preserve"> y territoriales</w:t>
      </w:r>
      <w:bookmarkEnd w:id="173"/>
    </w:p>
    <w:p w14:paraId="51EA0CA3" w14:textId="77777777" w:rsidR="00463884" w:rsidRPr="00E00F13" w:rsidRDefault="00463884" w:rsidP="00522304">
      <w:pPr>
        <w:spacing w:after="0" w:line="360" w:lineRule="auto"/>
        <w:jc w:val="both"/>
        <w:rPr>
          <w:rFonts w:ascii="Arial" w:hAnsi="Arial" w:cs="Arial"/>
          <w:b/>
          <w:bCs/>
          <w:i/>
          <w:iCs/>
          <w:sz w:val="24"/>
          <w:szCs w:val="24"/>
        </w:rPr>
      </w:pPr>
      <w:r w:rsidRPr="00E00F13">
        <w:rPr>
          <w:rFonts w:ascii="Arial" w:hAnsi="Arial" w:cs="Arial"/>
          <w:b/>
          <w:bCs/>
          <w:i/>
          <w:iCs/>
          <w:sz w:val="24"/>
          <w:szCs w:val="24"/>
        </w:rPr>
        <w:t>Considerar variables múltiples</w:t>
      </w:r>
    </w:p>
    <w:p w14:paraId="454D860D" w14:textId="557D5989" w:rsidR="00522304" w:rsidRPr="00E00F13" w:rsidRDefault="55991B8C" w:rsidP="6E7FCC41">
      <w:pPr>
        <w:spacing w:after="0" w:line="360" w:lineRule="auto"/>
        <w:jc w:val="both"/>
        <w:rPr>
          <w:rFonts w:ascii="Arial" w:eastAsia="Calibri" w:hAnsi="Arial" w:cs="Arial"/>
          <w:sz w:val="24"/>
          <w:szCs w:val="24"/>
        </w:rPr>
      </w:pPr>
      <w:r w:rsidRPr="00E00F13">
        <w:rPr>
          <w:rFonts w:ascii="Arial" w:eastAsia="Calibri" w:hAnsi="Arial" w:cs="Arial"/>
          <w:sz w:val="24"/>
          <w:szCs w:val="24"/>
        </w:rPr>
        <w:lastRenderedPageBreak/>
        <w:t xml:space="preserve">Es claro que para el MVCT constituye un eje prioritario </w:t>
      </w:r>
      <w:r w:rsidR="73C4FB50" w:rsidRPr="00E00F13">
        <w:rPr>
          <w:rFonts w:ascii="Arial" w:eastAsia="Calibri" w:hAnsi="Arial" w:cs="Arial"/>
          <w:sz w:val="24"/>
          <w:szCs w:val="24"/>
        </w:rPr>
        <w:t>l</w:t>
      </w:r>
      <w:r w:rsidRPr="00E00F13">
        <w:rPr>
          <w:rFonts w:ascii="Arial" w:eastAsia="Calibri" w:hAnsi="Arial" w:cs="Arial"/>
          <w:sz w:val="24"/>
          <w:szCs w:val="24"/>
        </w:rPr>
        <w:t xml:space="preserve">a incorporación efectiva de los enfoques diferenciales, en coherencia con su apuesta por </w:t>
      </w:r>
      <w:r w:rsidR="0AE83818" w:rsidRPr="00E00F13">
        <w:rPr>
          <w:rFonts w:ascii="Arial" w:eastAsia="Calibri" w:hAnsi="Arial" w:cs="Arial"/>
          <w:sz w:val="24"/>
          <w:szCs w:val="24"/>
        </w:rPr>
        <w:t>el apoyo a grupos étnicos, a las territorialidades, al cuidado, al ambiente. Esta priorización en los enfoques</w:t>
      </w:r>
      <w:r w:rsidRPr="00E00F13">
        <w:rPr>
          <w:rFonts w:ascii="Arial" w:eastAsia="Calibri" w:hAnsi="Arial" w:cs="Arial"/>
          <w:sz w:val="24"/>
          <w:szCs w:val="24"/>
        </w:rPr>
        <w:t xml:space="preserve"> permite </w:t>
      </w:r>
      <w:r w:rsidR="1680F8DE" w:rsidRPr="00E00F13">
        <w:rPr>
          <w:rFonts w:ascii="Arial" w:eastAsia="Calibri" w:hAnsi="Arial" w:cs="Arial"/>
          <w:sz w:val="24"/>
          <w:szCs w:val="24"/>
        </w:rPr>
        <w:t xml:space="preserve">encaminar </w:t>
      </w:r>
      <w:r w:rsidRPr="00E00F13">
        <w:rPr>
          <w:rFonts w:ascii="Arial" w:eastAsia="Calibri" w:hAnsi="Arial" w:cs="Arial"/>
          <w:sz w:val="24"/>
          <w:szCs w:val="24"/>
        </w:rPr>
        <w:t>las acciones institucionales en función de necesidades sociales diferenciadas y de las condiciones específicas de cada contexto territorial.</w:t>
      </w:r>
    </w:p>
    <w:p w14:paraId="00F83ACE" w14:textId="50F30228" w:rsidR="00522304" w:rsidRPr="00E00F13" w:rsidRDefault="00522304" w:rsidP="6E7FCC41">
      <w:pPr>
        <w:spacing w:after="0" w:line="360" w:lineRule="auto"/>
        <w:jc w:val="both"/>
        <w:rPr>
          <w:rFonts w:ascii="Arial" w:eastAsia="Calibri" w:hAnsi="Arial" w:cs="Arial"/>
          <w:sz w:val="24"/>
          <w:szCs w:val="24"/>
        </w:rPr>
      </w:pPr>
    </w:p>
    <w:p w14:paraId="69281E10" w14:textId="75C5A63B" w:rsidR="00522304" w:rsidRPr="00E00F13" w:rsidRDefault="55991B8C" w:rsidP="6E7FCC41">
      <w:pPr>
        <w:spacing w:after="0" w:line="360" w:lineRule="auto"/>
        <w:jc w:val="both"/>
        <w:rPr>
          <w:rFonts w:ascii="Arial" w:eastAsia="Calibri" w:hAnsi="Arial" w:cs="Arial"/>
          <w:sz w:val="24"/>
          <w:szCs w:val="24"/>
        </w:rPr>
      </w:pPr>
      <w:r w:rsidRPr="00E00F13">
        <w:rPr>
          <w:rFonts w:ascii="Arial" w:eastAsia="Calibri" w:hAnsi="Arial" w:cs="Arial"/>
          <w:sz w:val="24"/>
          <w:szCs w:val="24"/>
        </w:rPr>
        <w:t>No obstante, los principales desafíos se</w:t>
      </w:r>
      <w:r w:rsidR="0302E4B8" w:rsidRPr="00E00F13">
        <w:rPr>
          <w:rFonts w:ascii="Arial" w:eastAsia="Calibri" w:hAnsi="Arial" w:cs="Arial"/>
          <w:sz w:val="24"/>
          <w:szCs w:val="24"/>
        </w:rPr>
        <w:t xml:space="preserve"> refieren a su incorporación real en la ejecución de los programas de la oferta institucional</w:t>
      </w:r>
      <w:r w:rsidR="1D9F0405" w:rsidRPr="00E00F13">
        <w:rPr>
          <w:rFonts w:ascii="Arial" w:eastAsia="Calibri" w:hAnsi="Arial" w:cs="Arial"/>
          <w:sz w:val="24"/>
          <w:szCs w:val="24"/>
        </w:rPr>
        <w:t>. Esta dificultad se hace evidente</w:t>
      </w:r>
      <w:r w:rsidRPr="00E00F13">
        <w:rPr>
          <w:rFonts w:ascii="Arial" w:eastAsia="Calibri" w:hAnsi="Arial" w:cs="Arial"/>
          <w:sz w:val="24"/>
          <w:szCs w:val="24"/>
        </w:rPr>
        <w:t xml:space="preserve"> en el despliegue operativo en zonas rurales, donde persisten barreras asociadas a la logística, los protocolos de intervención, la capacidad de movilización institucional y el conocimiento de las dinámicas socioculturales locales. En este sentido, resulta estratégico fortalecer los esquemas logísticos, profundizar la comprensión de las formas organizativas comunitarias y robustecer las capacidades</w:t>
      </w:r>
      <w:r w:rsidR="7D1B9B06" w:rsidRPr="00E00F13">
        <w:rPr>
          <w:rFonts w:ascii="Arial" w:eastAsia="Calibri" w:hAnsi="Arial" w:cs="Arial"/>
          <w:sz w:val="24"/>
          <w:szCs w:val="24"/>
        </w:rPr>
        <w:t xml:space="preserve"> y conocimiento pleno</w:t>
      </w:r>
      <w:r w:rsidRPr="00E00F13">
        <w:rPr>
          <w:rFonts w:ascii="Arial" w:eastAsia="Calibri" w:hAnsi="Arial" w:cs="Arial"/>
          <w:sz w:val="24"/>
          <w:szCs w:val="24"/>
        </w:rPr>
        <w:t xml:space="preserve"> de los equipos técnicos, particularmente</w:t>
      </w:r>
      <w:r w:rsidR="662847BC" w:rsidRPr="00E00F13">
        <w:rPr>
          <w:rFonts w:ascii="Arial" w:eastAsia="Calibri" w:hAnsi="Arial" w:cs="Arial"/>
          <w:sz w:val="24"/>
          <w:szCs w:val="24"/>
        </w:rPr>
        <w:t>, en el significado de los enfoques y en sus formas de implementación. Asimismo, resulta necesario que las personas que habitan los territorios conozcan y hagan respe</w:t>
      </w:r>
      <w:r w:rsidR="7A512BD8" w:rsidRPr="00E00F13">
        <w:rPr>
          <w:rFonts w:ascii="Arial" w:eastAsia="Calibri" w:hAnsi="Arial" w:cs="Arial"/>
          <w:sz w:val="24"/>
          <w:szCs w:val="24"/>
        </w:rPr>
        <w:t>tar estos enfoques, para su abordaje integral y efectivo</w:t>
      </w:r>
      <w:r w:rsidRPr="00E00F13">
        <w:rPr>
          <w:rFonts w:ascii="Arial" w:eastAsia="Calibri" w:hAnsi="Arial" w:cs="Arial"/>
          <w:sz w:val="24"/>
          <w:szCs w:val="24"/>
        </w:rPr>
        <w:t>.</w:t>
      </w:r>
    </w:p>
    <w:p w14:paraId="2A12FBDC" w14:textId="4E3286D9" w:rsidR="1BD4D99C" w:rsidRPr="00E00F13" w:rsidRDefault="1BD4D99C" w:rsidP="1BD4D99C">
      <w:pPr>
        <w:spacing w:after="0" w:line="360" w:lineRule="auto"/>
        <w:jc w:val="both"/>
        <w:rPr>
          <w:rFonts w:ascii="Arial" w:eastAsia="Calibri" w:hAnsi="Arial" w:cs="Arial"/>
          <w:sz w:val="24"/>
          <w:szCs w:val="24"/>
        </w:rPr>
      </w:pPr>
    </w:p>
    <w:p w14:paraId="23AF4CC4" w14:textId="67363D1D" w:rsidR="3B90E6D9" w:rsidRPr="00E00F13" w:rsidRDefault="3B90E6D9" w:rsidP="1BD4D99C">
      <w:pPr>
        <w:spacing w:after="0" w:line="360" w:lineRule="auto"/>
        <w:jc w:val="both"/>
        <w:rPr>
          <w:rFonts w:ascii="Arial" w:eastAsia="Calibri" w:hAnsi="Arial" w:cs="Arial"/>
          <w:sz w:val="24"/>
          <w:szCs w:val="24"/>
        </w:rPr>
      </w:pPr>
      <w:r w:rsidRPr="00E00F13">
        <w:rPr>
          <w:rFonts w:ascii="Arial" w:eastAsia="Calibri" w:hAnsi="Arial" w:cs="Arial"/>
          <w:sz w:val="24"/>
          <w:szCs w:val="24"/>
        </w:rPr>
        <w:t xml:space="preserve">Otra de las barreras consiste en que en todos los decretos se mencionan los enfoques, no obstante, a la hora de implementar realmente los programas nos seguimos encontrando con barreras normativas y procedimentales </w:t>
      </w:r>
      <w:r w:rsidR="68BF0579" w:rsidRPr="00E00F13">
        <w:rPr>
          <w:rFonts w:ascii="Arial" w:eastAsia="Calibri" w:hAnsi="Arial" w:cs="Arial"/>
          <w:sz w:val="24"/>
          <w:szCs w:val="24"/>
        </w:rPr>
        <w:t xml:space="preserve">de fondo </w:t>
      </w:r>
      <w:r w:rsidRPr="00E00F13">
        <w:rPr>
          <w:rFonts w:ascii="Arial" w:eastAsia="Calibri" w:hAnsi="Arial" w:cs="Arial"/>
          <w:sz w:val="24"/>
          <w:szCs w:val="24"/>
        </w:rPr>
        <w:t>que impiden la inclusión real de los enfoques. Por ejemplo:</w:t>
      </w:r>
      <w:r w:rsidR="20221E3E" w:rsidRPr="00E00F13">
        <w:rPr>
          <w:rFonts w:ascii="Arial" w:eastAsia="Calibri" w:hAnsi="Arial" w:cs="Arial"/>
          <w:sz w:val="24"/>
          <w:szCs w:val="24"/>
        </w:rPr>
        <w:t xml:space="preserve"> las viviendas palafíticas en el Chocó </w:t>
      </w:r>
      <w:r w:rsidR="0631F380" w:rsidRPr="00E00F13">
        <w:rPr>
          <w:rFonts w:ascii="Arial" w:eastAsia="Calibri" w:hAnsi="Arial" w:cs="Arial"/>
          <w:sz w:val="24"/>
          <w:szCs w:val="24"/>
        </w:rPr>
        <w:t>y</w:t>
      </w:r>
      <w:r w:rsidR="20221E3E" w:rsidRPr="00E00F13">
        <w:rPr>
          <w:rFonts w:ascii="Arial" w:eastAsia="Calibri" w:hAnsi="Arial" w:cs="Arial"/>
          <w:sz w:val="24"/>
          <w:szCs w:val="24"/>
        </w:rPr>
        <w:t xml:space="preserve"> el reconocimiento de las viviendas indígenas, por </w:t>
      </w:r>
      <w:r w:rsidR="1E26703E" w:rsidRPr="00E00F13">
        <w:rPr>
          <w:rFonts w:ascii="Arial" w:eastAsia="Calibri" w:hAnsi="Arial" w:cs="Arial"/>
          <w:sz w:val="24"/>
          <w:szCs w:val="24"/>
        </w:rPr>
        <w:t>la incorporación</w:t>
      </w:r>
      <w:r w:rsidR="20221E3E" w:rsidRPr="00E00F13">
        <w:rPr>
          <w:rFonts w:ascii="Arial" w:eastAsia="Calibri" w:hAnsi="Arial" w:cs="Arial"/>
          <w:sz w:val="24"/>
          <w:szCs w:val="24"/>
        </w:rPr>
        <w:t xml:space="preserve"> de materiales de la zona</w:t>
      </w:r>
      <w:r w:rsidR="2452A620" w:rsidRPr="00E00F13">
        <w:rPr>
          <w:rFonts w:ascii="Arial" w:eastAsia="Calibri" w:hAnsi="Arial" w:cs="Arial"/>
          <w:sz w:val="24"/>
          <w:szCs w:val="24"/>
        </w:rPr>
        <w:t xml:space="preserve"> y</w:t>
      </w:r>
      <w:r w:rsidR="20221E3E" w:rsidRPr="00E00F13">
        <w:rPr>
          <w:rFonts w:ascii="Arial" w:eastAsia="Calibri" w:hAnsi="Arial" w:cs="Arial"/>
          <w:sz w:val="24"/>
          <w:szCs w:val="24"/>
        </w:rPr>
        <w:t xml:space="preserve"> la connotación de riesgos que tien</w:t>
      </w:r>
      <w:r w:rsidR="3F91326A" w:rsidRPr="00E00F13">
        <w:rPr>
          <w:rFonts w:ascii="Arial" w:eastAsia="Calibri" w:hAnsi="Arial" w:cs="Arial"/>
          <w:sz w:val="24"/>
          <w:szCs w:val="24"/>
        </w:rPr>
        <w:t>e el MVCT versus la que tiene las comunidades</w:t>
      </w:r>
      <w:r w:rsidR="01861CED" w:rsidRPr="00E00F13">
        <w:rPr>
          <w:rFonts w:ascii="Arial" w:eastAsia="Calibri" w:hAnsi="Arial" w:cs="Arial"/>
          <w:sz w:val="24"/>
          <w:szCs w:val="24"/>
        </w:rPr>
        <w:t>. Entendiendo que existen múltiples formas de habitar un territorio y no debemos regirnos solo por las lógicas de habitar de la región andina.</w:t>
      </w:r>
    </w:p>
    <w:p w14:paraId="5B1B2AA5" w14:textId="5C19E3D2" w:rsidR="00522304" w:rsidRPr="00E00F13" w:rsidRDefault="00522304" w:rsidP="6E7FCC41">
      <w:pPr>
        <w:spacing w:after="0" w:line="360" w:lineRule="auto"/>
        <w:jc w:val="both"/>
        <w:rPr>
          <w:rFonts w:ascii="Arial" w:hAnsi="Arial" w:cs="Arial"/>
          <w:b/>
          <w:bCs/>
          <w:i/>
          <w:iCs/>
          <w:sz w:val="24"/>
          <w:szCs w:val="24"/>
        </w:rPr>
      </w:pPr>
    </w:p>
    <w:p w14:paraId="61279A9A" w14:textId="02C05E59" w:rsidR="00463884" w:rsidRPr="00E00F13" w:rsidRDefault="00CD492D" w:rsidP="00722B98">
      <w:pPr>
        <w:pStyle w:val="Ttulo3"/>
        <w:rPr>
          <w:color w:val="auto"/>
        </w:rPr>
      </w:pPr>
      <w:r w:rsidRPr="00E00F13">
        <w:rPr>
          <w:color w:val="auto"/>
        </w:rPr>
        <w:tab/>
      </w:r>
      <w:bookmarkStart w:id="174" w:name="_Toc234242896"/>
      <w:r w:rsidR="00463884" w:rsidRPr="00E00F13">
        <w:rPr>
          <w:color w:val="auto"/>
        </w:rPr>
        <w:t>Asumir lo pasado</w:t>
      </w:r>
      <w:bookmarkEnd w:id="174"/>
    </w:p>
    <w:p w14:paraId="711959B8" w14:textId="37A1B63C" w:rsidR="00E62153" w:rsidRPr="00E00F13" w:rsidRDefault="12D985BB" w:rsidP="6E7FCC41">
      <w:pPr>
        <w:spacing w:after="0" w:line="360" w:lineRule="auto"/>
        <w:jc w:val="both"/>
        <w:rPr>
          <w:rFonts w:ascii="Arial" w:eastAsia="Calibri" w:hAnsi="Arial" w:cs="Arial"/>
          <w:sz w:val="24"/>
          <w:szCs w:val="24"/>
        </w:rPr>
      </w:pPr>
      <w:r w:rsidRPr="00E00F13">
        <w:rPr>
          <w:rFonts w:ascii="Arial" w:eastAsia="Calibri" w:hAnsi="Arial" w:cs="Arial"/>
          <w:sz w:val="24"/>
          <w:szCs w:val="24"/>
        </w:rPr>
        <w:t xml:space="preserve">El desafío persiste en gestionar una infraestructura heredada que no logró consolidarse en administraciones anteriores —expresada en sistemas de agua abandonados o no funcionales y en relaciones institucionales debilitadas con </w:t>
      </w:r>
      <w:r w:rsidRPr="00E00F13">
        <w:rPr>
          <w:rFonts w:ascii="Arial" w:eastAsia="Calibri" w:hAnsi="Arial" w:cs="Arial"/>
          <w:sz w:val="24"/>
          <w:szCs w:val="24"/>
        </w:rPr>
        <w:lastRenderedPageBreak/>
        <w:t>alcaldías y comunidades—, y que además presenta limitaciones para activar inversiones o soluciones complementarias, al encontrarse sujeta a recursos comprometidos y a reglas de juego definidas con anterioridad. En este contexto, las experiencias territoriales se desarrollan en una tensión permanente entre el giro que el MVCT ha emprendido desde 2023 a partir de un nuevo enfoque y de ajustes normativos, y las agendas, acuerdos, estrategias y metodologías de ejecución heredadas.</w:t>
      </w:r>
    </w:p>
    <w:p w14:paraId="4CCA2371" w14:textId="4184970D" w:rsidR="00E62153" w:rsidRPr="00E00F13" w:rsidRDefault="00E62153" w:rsidP="6E7FCC41">
      <w:pPr>
        <w:spacing w:after="0" w:line="360" w:lineRule="auto"/>
        <w:jc w:val="both"/>
        <w:rPr>
          <w:rFonts w:ascii="Arial" w:eastAsia="Calibri" w:hAnsi="Arial" w:cs="Arial"/>
          <w:sz w:val="24"/>
          <w:szCs w:val="24"/>
        </w:rPr>
      </w:pPr>
    </w:p>
    <w:p w14:paraId="04C99015" w14:textId="2C927033" w:rsidR="00E62153" w:rsidRPr="00E00F13" w:rsidRDefault="12D985BB" w:rsidP="6E7FCC41">
      <w:pPr>
        <w:spacing w:after="0" w:line="360" w:lineRule="auto"/>
        <w:jc w:val="both"/>
        <w:rPr>
          <w:rFonts w:ascii="Arial" w:eastAsia="Calibri" w:hAnsi="Arial" w:cs="Arial"/>
          <w:sz w:val="24"/>
          <w:szCs w:val="24"/>
        </w:rPr>
      </w:pPr>
      <w:r w:rsidRPr="00E00F13">
        <w:rPr>
          <w:rFonts w:ascii="Arial" w:eastAsia="Calibri" w:hAnsi="Arial" w:cs="Arial"/>
          <w:sz w:val="24"/>
          <w:szCs w:val="24"/>
        </w:rPr>
        <w:t>Frente a este escenario, resulta clave identificar un anclaje estratégico que permita armonizar respuestas institucionales para aquellos casos que persisten en los territorios y que las comunidades esperan resolver como parte de la nueva relación de confianza construida. Ello implica explorar alternativas y trazar rutas de atención diferenciadas que permitan abordar estos pasivos, sin desdibujar el enfoque actual ni comprometer la coherencia de la acción institucional.</w:t>
      </w:r>
    </w:p>
    <w:p w14:paraId="4C04D821" w14:textId="372E7919" w:rsidR="00E62153" w:rsidRPr="00E00F13" w:rsidRDefault="00E62153" w:rsidP="00E86F95">
      <w:pPr>
        <w:spacing w:after="0" w:line="360" w:lineRule="auto"/>
        <w:jc w:val="both"/>
        <w:rPr>
          <w:rFonts w:ascii="Arial" w:hAnsi="Arial" w:cs="Arial"/>
          <w:sz w:val="24"/>
          <w:szCs w:val="24"/>
        </w:rPr>
      </w:pPr>
    </w:p>
    <w:p w14:paraId="57970688" w14:textId="28F03B0C" w:rsidR="00463884" w:rsidRPr="00E00F13" w:rsidRDefault="00CD492D" w:rsidP="00722B98">
      <w:pPr>
        <w:pStyle w:val="Ttulo3"/>
        <w:rPr>
          <w:color w:val="auto"/>
        </w:rPr>
      </w:pPr>
      <w:r w:rsidRPr="00E00F13">
        <w:rPr>
          <w:color w:val="auto"/>
        </w:rPr>
        <w:tab/>
      </w:r>
      <w:bookmarkStart w:id="175" w:name="_Toc234242897"/>
      <w:r w:rsidR="00463884" w:rsidRPr="00E00F13">
        <w:rPr>
          <w:color w:val="auto"/>
        </w:rPr>
        <w:t>Expectativas</w:t>
      </w:r>
      <w:bookmarkEnd w:id="175"/>
    </w:p>
    <w:p w14:paraId="14491329" w14:textId="7066C2C2" w:rsidR="00B0621E" w:rsidRPr="00E00F13" w:rsidRDefault="00463884" w:rsidP="00B0621E">
      <w:pPr>
        <w:spacing w:after="0" w:line="360" w:lineRule="auto"/>
        <w:jc w:val="both"/>
        <w:rPr>
          <w:rFonts w:ascii="Arial" w:hAnsi="Arial" w:cs="Arial"/>
          <w:sz w:val="24"/>
          <w:szCs w:val="24"/>
        </w:rPr>
      </w:pPr>
      <w:r w:rsidRPr="00E00F13">
        <w:rPr>
          <w:rFonts w:ascii="Arial" w:hAnsi="Arial" w:cs="Arial"/>
          <w:sz w:val="24"/>
          <w:szCs w:val="24"/>
        </w:rPr>
        <w:t>Otro</w:t>
      </w:r>
      <w:r w:rsidR="00E62153" w:rsidRPr="00E00F13">
        <w:rPr>
          <w:rFonts w:ascii="Arial" w:hAnsi="Arial" w:cs="Arial"/>
          <w:sz w:val="24"/>
          <w:szCs w:val="24"/>
        </w:rPr>
        <w:t xml:space="preserve"> desafío ocurre al establecer el diálogo con los actores, por el alto nivel de expectativas que </w:t>
      </w:r>
      <w:r w:rsidR="5B37B200" w:rsidRPr="00E00F13">
        <w:rPr>
          <w:rFonts w:ascii="Arial" w:hAnsi="Arial" w:cs="Arial"/>
          <w:sz w:val="24"/>
          <w:szCs w:val="24"/>
        </w:rPr>
        <w:t xml:space="preserve">las </w:t>
      </w:r>
      <w:r w:rsidR="00E62153" w:rsidRPr="00E00F13">
        <w:rPr>
          <w:rFonts w:ascii="Arial" w:hAnsi="Arial" w:cs="Arial"/>
          <w:sz w:val="24"/>
          <w:szCs w:val="24"/>
        </w:rPr>
        <w:t>comunidades pueden llegar a tener</w:t>
      </w:r>
      <w:r w:rsidR="2B1AECE0" w:rsidRPr="00E00F13">
        <w:rPr>
          <w:rFonts w:ascii="Arial" w:hAnsi="Arial" w:cs="Arial"/>
          <w:sz w:val="24"/>
          <w:szCs w:val="24"/>
        </w:rPr>
        <w:t xml:space="preserve"> por l</w:t>
      </w:r>
      <w:r w:rsidR="00B0621E" w:rsidRPr="00E00F13">
        <w:rPr>
          <w:rFonts w:ascii="Arial" w:hAnsi="Arial" w:cs="Arial"/>
          <w:sz w:val="24"/>
          <w:szCs w:val="24"/>
        </w:rPr>
        <w:t>a presencia del Ministerio en territorios donde antes no había llegado</w:t>
      </w:r>
      <w:r w:rsidR="3BBFF875" w:rsidRPr="00E00F13">
        <w:rPr>
          <w:rFonts w:ascii="Arial" w:hAnsi="Arial" w:cs="Arial"/>
          <w:sz w:val="24"/>
          <w:szCs w:val="24"/>
        </w:rPr>
        <w:t>. Esto</w:t>
      </w:r>
      <w:r w:rsidR="00B0621E" w:rsidRPr="00E00F13">
        <w:rPr>
          <w:rFonts w:ascii="Arial" w:hAnsi="Arial" w:cs="Arial"/>
          <w:sz w:val="24"/>
          <w:szCs w:val="24"/>
        </w:rPr>
        <w:t xml:space="preserve"> podría generar:</w:t>
      </w:r>
    </w:p>
    <w:p w14:paraId="337E814B" w14:textId="7EEB758F" w:rsidR="00B0621E" w:rsidRPr="00E00F13" w:rsidRDefault="00B0621E" w:rsidP="005E33C6">
      <w:pPr>
        <w:numPr>
          <w:ilvl w:val="0"/>
          <w:numId w:val="11"/>
        </w:numPr>
        <w:spacing w:after="0" w:line="360" w:lineRule="auto"/>
        <w:jc w:val="both"/>
        <w:rPr>
          <w:rFonts w:ascii="Arial" w:hAnsi="Arial" w:cs="Arial"/>
          <w:sz w:val="24"/>
          <w:szCs w:val="24"/>
        </w:rPr>
      </w:pPr>
      <w:r w:rsidRPr="00E00F13">
        <w:rPr>
          <w:rFonts w:ascii="Arial" w:hAnsi="Arial" w:cs="Arial"/>
          <w:sz w:val="24"/>
          <w:szCs w:val="24"/>
        </w:rPr>
        <w:t>Expectativas muy altas (sobre todo en pueblos indígenas y zonas rurales dispersas)</w:t>
      </w:r>
      <w:r w:rsidR="463062B9" w:rsidRPr="00E00F13">
        <w:rPr>
          <w:rFonts w:ascii="Arial" w:hAnsi="Arial" w:cs="Arial"/>
          <w:sz w:val="24"/>
          <w:szCs w:val="24"/>
        </w:rPr>
        <w:t xml:space="preserve">, a partir de </w:t>
      </w:r>
      <w:r w:rsidR="1881038D" w:rsidRPr="00E00F13">
        <w:rPr>
          <w:rFonts w:ascii="Arial" w:hAnsi="Arial" w:cs="Arial"/>
          <w:sz w:val="24"/>
          <w:szCs w:val="24"/>
        </w:rPr>
        <w:t xml:space="preserve">las </w:t>
      </w:r>
      <w:r w:rsidR="72F2B58F" w:rsidRPr="00E00F13">
        <w:rPr>
          <w:rFonts w:ascii="Arial" w:hAnsi="Arial" w:cs="Arial"/>
          <w:sz w:val="24"/>
          <w:szCs w:val="24"/>
        </w:rPr>
        <w:t xml:space="preserve">cuales </w:t>
      </w:r>
      <w:r w:rsidR="1881038D" w:rsidRPr="00E00F13">
        <w:rPr>
          <w:rFonts w:ascii="Arial" w:hAnsi="Arial" w:cs="Arial"/>
          <w:sz w:val="24"/>
          <w:szCs w:val="24"/>
        </w:rPr>
        <w:t>se pued</w:t>
      </w:r>
      <w:r w:rsidR="72D3A24A" w:rsidRPr="00E00F13">
        <w:rPr>
          <w:rFonts w:ascii="Arial" w:hAnsi="Arial" w:cs="Arial"/>
          <w:sz w:val="24"/>
          <w:szCs w:val="24"/>
        </w:rPr>
        <w:t>e incurrir en</w:t>
      </w:r>
      <w:r w:rsidRPr="00E00F13">
        <w:rPr>
          <w:rFonts w:ascii="Arial" w:hAnsi="Arial" w:cs="Arial"/>
          <w:sz w:val="24"/>
          <w:szCs w:val="24"/>
        </w:rPr>
        <w:t xml:space="preserve"> «Acción con daño»</w:t>
      </w:r>
      <w:r w:rsidR="3F115EC4" w:rsidRPr="00E00F13">
        <w:rPr>
          <w:rFonts w:ascii="Arial" w:hAnsi="Arial" w:cs="Arial"/>
          <w:sz w:val="24"/>
          <w:szCs w:val="24"/>
        </w:rPr>
        <w:t>.</w:t>
      </w:r>
      <w:r w:rsidRPr="00E00F13">
        <w:rPr>
          <w:rFonts w:ascii="Arial" w:hAnsi="Arial" w:cs="Arial"/>
          <w:sz w:val="24"/>
          <w:szCs w:val="24"/>
        </w:rPr>
        <w:t xml:space="preserve"> </w:t>
      </w:r>
    </w:p>
    <w:p w14:paraId="4E1C26A3" w14:textId="717C4631" w:rsidR="00B0621E" w:rsidRPr="00E00F13" w:rsidRDefault="00B0621E" w:rsidP="005E33C6">
      <w:pPr>
        <w:numPr>
          <w:ilvl w:val="0"/>
          <w:numId w:val="11"/>
        </w:numPr>
        <w:spacing w:after="0" w:line="360" w:lineRule="auto"/>
        <w:jc w:val="both"/>
        <w:rPr>
          <w:rFonts w:ascii="Arial" w:hAnsi="Arial" w:cs="Arial"/>
          <w:sz w:val="24"/>
          <w:szCs w:val="24"/>
        </w:rPr>
      </w:pPr>
      <w:r w:rsidRPr="00E00F13">
        <w:rPr>
          <w:rFonts w:ascii="Arial" w:hAnsi="Arial" w:cs="Arial"/>
          <w:sz w:val="24"/>
          <w:szCs w:val="24"/>
        </w:rPr>
        <w:t>Riesgos de revictimización si no hay respuestas claras.</w:t>
      </w:r>
    </w:p>
    <w:p w14:paraId="2903077E" w14:textId="362FA510" w:rsidR="00B0621E" w:rsidRPr="00E00F13" w:rsidRDefault="0A656930" w:rsidP="005E33C6">
      <w:pPr>
        <w:numPr>
          <w:ilvl w:val="0"/>
          <w:numId w:val="11"/>
        </w:numPr>
        <w:spacing w:after="0" w:line="360" w:lineRule="auto"/>
        <w:jc w:val="both"/>
        <w:rPr>
          <w:rFonts w:ascii="Arial" w:hAnsi="Arial" w:cs="Arial"/>
          <w:sz w:val="24"/>
          <w:szCs w:val="24"/>
        </w:rPr>
      </w:pPr>
      <w:r w:rsidRPr="00E00F13">
        <w:rPr>
          <w:rFonts w:ascii="Arial" w:hAnsi="Arial" w:cs="Arial"/>
          <w:sz w:val="24"/>
          <w:szCs w:val="24"/>
        </w:rPr>
        <w:t xml:space="preserve">Comunicación inadecuada con las personas en territorio, </w:t>
      </w:r>
      <w:r w:rsidR="27A3F456" w:rsidRPr="00E00F13">
        <w:rPr>
          <w:rFonts w:ascii="Arial" w:hAnsi="Arial" w:cs="Arial"/>
          <w:sz w:val="24"/>
          <w:szCs w:val="24"/>
        </w:rPr>
        <w:t>poco honesta y cuidadosa, donde se creen expectativas que la oferta institucional no podría cubrir</w:t>
      </w:r>
      <w:r w:rsidR="00B0621E" w:rsidRPr="00E00F13">
        <w:rPr>
          <w:rFonts w:ascii="Arial" w:hAnsi="Arial" w:cs="Arial"/>
          <w:sz w:val="24"/>
          <w:szCs w:val="24"/>
        </w:rPr>
        <w:t>.</w:t>
      </w:r>
    </w:p>
    <w:p w14:paraId="0F955209" w14:textId="7D256ED6" w:rsidR="4C7F7000" w:rsidRPr="00E00F13" w:rsidRDefault="4C7F7000" w:rsidP="005E33C6">
      <w:pPr>
        <w:numPr>
          <w:ilvl w:val="0"/>
          <w:numId w:val="11"/>
        </w:numPr>
        <w:spacing w:after="0" w:line="360" w:lineRule="auto"/>
        <w:jc w:val="both"/>
        <w:rPr>
          <w:rFonts w:ascii="Arial" w:hAnsi="Arial" w:cs="Arial"/>
          <w:sz w:val="24"/>
          <w:szCs w:val="24"/>
        </w:rPr>
      </w:pPr>
      <w:r w:rsidRPr="00E00F13">
        <w:rPr>
          <w:rFonts w:ascii="Arial" w:hAnsi="Arial" w:cs="Arial"/>
          <w:sz w:val="24"/>
          <w:szCs w:val="24"/>
        </w:rPr>
        <w:t>Compromisos que exceden el rol del funcionario o contratista.</w:t>
      </w:r>
    </w:p>
    <w:p w14:paraId="4C2C26F1" w14:textId="3AC6AF3E" w:rsidR="00B0621E" w:rsidRPr="00E00F13" w:rsidRDefault="00B0621E" w:rsidP="00B0621E">
      <w:pPr>
        <w:spacing w:after="0" w:line="360" w:lineRule="auto"/>
        <w:jc w:val="both"/>
        <w:rPr>
          <w:rFonts w:ascii="Arial" w:hAnsi="Arial" w:cs="Arial"/>
          <w:sz w:val="24"/>
          <w:szCs w:val="24"/>
        </w:rPr>
      </w:pPr>
    </w:p>
    <w:p w14:paraId="733DBFFB" w14:textId="2316167A" w:rsidR="00B0621E" w:rsidRPr="00E00F13" w:rsidRDefault="00CD492D" w:rsidP="00722B98">
      <w:pPr>
        <w:pStyle w:val="Ttulo3"/>
        <w:rPr>
          <w:color w:val="auto"/>
        </w:rPr>
      </w:pPr>
      <w:r w:rsidRPr="00E00F13">
        <w:rPr>
          <w:color w:val="auto"/>
        </w:rPr>
        <w:tab/>
      </w:r>
      <w:bookmarkStart w:id="176" w:name="_Toc234242898"/>
      <w:r w:rsidR="00B0621E" w:rsidRPr="00E00F13">
        <w:rPr>
          <w:color w:val="auto"/>
        </w:rPr>
        <w:t>Indicadores</w:t>
      </w:r>
      <w:r w:rsidR="001A7BB3" w:rsidRPr="00E00F13">
        <w:rPr>
          <w:color w:val="auto"/>
        </w:rPr>
        <w:t xml:space="preserve"> y prioridades</w:t>
      </w:r>
      <w:bookmarkEnd w:id="176"/>
    </w:p>
    <w:p w14:paraId="5B203E57" w14:textId="15B966CB" w:rsidR="0B5F1CCC" w:rsidRPr="00E00F13" w:rsidRDefault="0B5F1CCC" w:rsidP="1BD4D99C">
      <w:pPr>
        <w:spacing w:after="0" w:line="360" w:lineRule="auto"/>
        <w:jc w:val="both"/>
        <w:rPr>
          <w:rFonts w:ascii="Arial" w:eastAsia="Calibri" w:hAnsi="Arial" w:cs="Arial"/>
          <w:sz w:val="24"/>
          <w:szCs w:val="24"/>
        </w:rPr>
      </w:pPr>
      <w:r w:rsidRPr="00E00F13">
        <w:rPr>
          <w:rFonts w:ascii="Arial" w:eastAsia="Calibri" w:hAnsi="Arial" w:cs="Arial"/>
          <w:sz w:val="24"/>
          <w:szCs w:val="24"/>
        </w:rPr>
        <w:t>Los indicadores que permiten priorizar territorios deben incluir tanto aspectos cuantitativos como cualitativos. Es esencial no pasar por altos factores cualitativos fundamentales, como la</w:t>
      </w:r>
      <w:r w:rsidR="68246EDB" w:rsidRPr="00E00F13">
        <w:rPr>
          <w:rFonts w:ascii="Arial" w:eastAsia="Calibri" w:hAnsi="Arial" w:cs="Arial"/>
          <w:sz w:val="24"/>
          <w:szCs w:val="24"/>
        </w:rPr>
        <w:t xml:space="preserve">s dinámicas territoriales </w:t>
      </w:r>
      <w:r w:rsidRPr="00E00F13">
        <w:rPr>
          <w:rFonts w:ascii="Arial" w:eastAsia="Calibri" w:hAnsi="Arial" w:cs="Arial"/>
          <w:sz w:val="24"/>
          <w:szCs w:val="24"/>
        </w:rPr>
        <w:t>en las regiones</w:t>
      </w:r>
      <w:r w:rsidR="059BFC69" w:rsidRPr="00E00F13">
        <w:rPr>
          <w:rFonts w:ascii="Arial" w:eastAsia="Calibri" w:hAnsi="Arial" w:cs="Arial"/>
          <w:sz w:val="24"/>
          <w:szCs w:val="24"/>
        </w:rPr>
        <w:t xml:space="preserve"> o</w:t>
      </w:r>
      <w:r w:rsidRPr="00E00F13">
        <w:rPr>
          <w:rFonts w:ascii="Arial" w:eastAsia="Calibri" w:hAnsi="Arial" w:cs="Arial"/>
          <w:sz w:val="24"/>
          <w:szCs w:val="24"/>
        </w:rPr>
        <w:t xml:space="preserve"> las afectaciones </w:t>
      </w:r>
      <w:r w:rsidRPr="00E00F13">
        <w:rPr>
          <w:rFonts w:ascii="Arial" w:eastAsia="Calibri" w:hAnsi="Arial" w:cs="Arial"/>
          <w:sz w:val="24"/>
          <w:szCs w:val="24"/>
        </w:rPr>
        <w:lastRenderedPageBreak/>
        <w:t>a los derechos de las víctimas del conflict</w:t>
      </w:r>
      <w:r w:rsidR="11417F1D" w:rsidRPr="00E00F13">
        <w:rPr>
          <w:rFonts w:ascii="Arial" w:eastAsia="Calibri" w:hAnsi="Arial" w:cs="Arial"/>
          <w:sz w:val="24"/>
          <w:szCs w:val="24"/>
        </w:rPr>
        <w:t xml:space="preserve">o armado </w:t>
      </w:r>
      <w:r w:rsidR="00C6AABF" w:rsidRPr="00E00F13">
        <w:rPr>
          <w:rFonts w:ascii="Arial" w:eastAsia="Calibri" w:hAnsi="Arial" w:cs="Arial"/>
          <w:sz w:val="24"/>
          <w:szCs w:val="24"/>
        </w:rPr>
        <w:t>o de comunidades</w:t>
      </w:r>
      <w:r w:rsidR="11417F1D" w:rsidRPr="00E00F13">
        <w:rPr>
          <w:rFonts w:ascii="Arial" w:eastAsia="Calibri" w:hAnsi="Arial" w:cs="Arial"/>
          <w:sz w:val="24"/>
          <w:szCs w:val="24"/>
        </w:rPr>
        <w:t xml:space="preserve"> </w:t>
      </w:r>
      <w:r w:rsidR="6BD39646" w:rsidRPr="00E00F13">
        <w:rPr>
          <w:rFonts w:ascii="Arial" w:eastAsia="Calibri" w:hAnsi="Arial" w:cs="Arial"/>
          <w:sz w:val="24"/>
          <w:szCs w:val="24"/>
        </w:rPr>
        <w:t>que estén en escenarios de alta conflictividad social</w:t>
      </w:r>
      <w:r w:rsidRPr="00E00F13">
        <w:rPr>
          <w:rFonts w:ascii="Arial" w:eastAsia="Calibri" w:hAnsi="Arial" w:cs="Arial"/>
          <w:sz w:val="24"/>
          <w:szCs w:val="24"/>
        </w:rPr>
        <w:t>.</w:t>
      </w:r>
    </w:p>
    <w:p w14:paraId="76D8214F" w14:textId="3764A6C0" w:rsidR="6E7FCC41" w:rsidRPr="00E00F13" w:rsidRDefault="6E7FCC41" w:rsidP="6E7FCC41">
      <w:pPr>
        <w:spacing w:after="0" w:line="360" w:lineRule="auto"/>
        <w:jc w:val="both"/>
        <w:rPr>
          <w:rFonts w:ascii="Arial" w:eastAsia="Calibri" w:hAnsi="Arial" w:cs="Arial"/>
          <w:sz w:val="24"/>
          <w:szCs w:val="24"/>
        </w:rPr>
      </w:pPr>
    </w:p>
    <w:p w14:paraId="59579B94" w14:textId="53350121" w:rsidR="00B0621E" w:rsidRPr="00E00F13" w:rsidRDefault="0B5F1CCC" w:rsidP="00E86F95">
      <w:pPr>
        <w:spacing w:after="0" w:line="360" w:lineRule="auto"/>
        <w:jc w:val="both"/>
        <w:rPr>
          <w:rFonts w:ascii="Arial" w:eastAsia="Calibri" w:hAnsi="Arial" w:cs="Arial"/>
          <w:sz w:val="24"/>
          <w:szCs w:val="24"/>
        </w:rPr>
      </w:pPr>
      <w:r w:rsidRPr="00E00F13">
        <w:rPr>
          <w:rFonts w:ascii="Arial" w:eastAsia="Calibri" w:hAnsi="Arial" w:cs="Arial"/>
          <w:sz w:val="24"/>
          <w:szCs w:val="24"/>
        </w:rPr>
        <w:t xml:space="preserve">Es crucial redefinir estos indicadores, reconociendo que toda decisión técnica está influenciada por decisiones políticas previas. </w:t>
      </w:r>
      <w:r w:rsidR="41585943" w:rsidRPr="00E00F13">
        <w:rPr>
          <w:rFonts w:ascii="Arial" w:eastAsia="Calibri" w:hAnsi="Arial" w:cs="Arial"/>
          <w:sz w:val="24"/>
          <w:szCs w:val="24"/>
        </w:rPr>
        <w:t>La incorporación de indicadores cualitativos</w:t>
      </w:r>
      <w:r w:rsidRPr="00E00F13">
        <w:rPr>
          <w:rFonts w:ascii="Arial" w:eastAsia="Calibri" w:hAnsi="Arial" w:cs="Arial"/>
          <w:sz w:val="24"/>
          <w:szCs w:val="24"/>
        </w:rPr>
        <w:t xml:space="preserve"> busca fomentar una nueva perspectiva en la formulación de políticas públicas, entendiendo que l</w:t>
      </w:r>
      <w:r w:rsidR="795F88AE" w:rsidRPr="00E00F13">
        <w:rPr>
          <w:rFonts w:ascii="Arial" w:eastAsia="Calibri" w:hAnsi="Arial" w:cs="Arial"/>
          <w:sz w:val="24"/>
          <w:szCs w:val="24"/>
        </w:rPr>
        <w:t xml:space="preserve">as </w:t>
      </w:r>
      <w:r w:rsidRPr="00E00F13">
        <w:rPr>
          <w:rFonts w:ascii="Arial" w:eastAsia="Calibri" w:hAnsi="Arial" w:cs="Arial"/>
          <w:sz w:val="24"/>
          <w:szCs w:val="24"/>
        </w:rPr>
        <w:t>prioridades únicamente basadas en clasificaciones de municipios del 1 al 6 o en la diferenciación de regiones según su riqueza hidrográfica y densidad poblacional resulta insuficiente frente a la complejidad de las realidades regionales. Por ejemplo, abordar las deudas históricas y los conflictos acumulados debido a la acción</w:t>
      </w:r>
      <w:r w:rsidR="77AE39A2" w:rsidRPr="00E00F13">
        <w:rPr>
          <w:rFonts w:ascii="Arial" w:eastAsia="Calibri" w:hAnsi="Arial" w:cs="Arial"/>
          <w:sz w:val="24"/>
          <w:szCs w:val="24"/>
        </w:rPr>
        <w:t xml:space="preserve"> o inacción</w:t>
      </w:r>
      <w:r w:rsidRPr="00E00F13">
        <w:rPr>
          <w:rFonts w:ascii="Arial" w:eastAsia="Calibri" w:hAnsi="Arial" w:cs="Arial"/>
          <w:sz w:val="24"/>
          <w:szCs w:val="24"/>
        </w:rPr>
        <w:t xml:space="preserve"> del Ministerio</w:t>
      </w:r>
      <w:r w:rsidR="65A5A56E" w:rsidRPr="00E00F13">
        <w:rPr>
          <w:rFonts w:ascii="Arial" w:eastAsia="Calibri" w:hAnsi="Arial" w:cs="Arial"/>
          <w:sz w:val="24"/>
          <w:szCs w:val="24"/>
        </w:rPr>
        <w:t>, es un factor que debe ser considerado</w:t>
      </w:r>
      <w:r w:rsidRPr="00E00F13">
        <w:rPr>
          <w:rFonts w:ascii="Arial" w:eastAsia="Calibri" w:hAnsi="Arial" w:cs="Arial"/>
          <w:sz w:val="24"/>
          <w:szCs w:val="24"/>
        </w:rPr>
        <w:t>.</w:t>
      </w:r>
      <w:r w:rsidR="4DB526F3" w:rsidRPr="00E00F13">
        <w:rPr>
          <w:rFonts w:ascii="Arial" w:eastAsia="Calibri" w:hAnsi="Arial" w:cs="Arial"/>
          <w:sz w:val="24"/>
          <w:szCs w:val="24"/>
        </w:rPr>
        <w:t xml:space="preserve"> Es preciso incorporar capas de información cualitativa dependiendo de la zona donde se busca llegar</w:t>
      </w:r>
      <w:r w:rsidR="54B58074" w:rsidRPr="00E00F13">
        <w:rPr>
          <w:rFonts w:ascii="Arial" w:eastAsia="Calibri" w:hAnsi="Arial" w:cs="Arial"/>
          <w:sz w:val="24"/>
          <w:szCs w:val="24"/>
        </w:rPr>
        <w:t>, y a través de las intervenciones físicas que promueve el Ministerio dar respuesta a indicadores sociales, garantizando una acción integral</w:t>
      </w:r>
      <w:r w:rsidR="797DD65C" w:rsidRPr="00E00F13">
        <w:rPr>
          <w:rFonts w:ascii="Arial" w:eastAsia="Calibri" w:hAnsi="Arial" w:cs="Arial"/>
          <w:sz w:val="24"/>
          <w:szCs w:val="24"/>
        </w:rPr>
        <w:t xml:space="preserve"> del Estado.</w:t>
      </w:r>
    </w:p>
    <w:p w14:paraId="617D5A9E" w14:textId="77777777" w:rsidR="00722B98" w:rsidRPr="00E00F13" w:rsidRDefault="00722B98" w:rsidP="00722B98">
      <w:pPr>
        <w:spacing w:after="0" w:line="360" w:lineRule="auto"/>
        <w:jc w:val="both"/>
        <w:rPr>
          <w:rFonts w:ascii="Arial" w:hAnsi="Arial" w:cs="Arial"/>
          <w:sz w:val="24"/>
          <w:szCs w:val="24"/>
        </w:rPr>
      </w:pPr>
    </w:p>
    <w:p w14:paraId="186A578A" w14:textId="781315CE" w:rsidR="00501F69" w:rsidRPr="00E00F13" w:rsidRDefault="00CD492D" w:rsidP="00722B98">
      <w:pPr>
        <w:pStyle w:val="Ttulo3"/>
        <w:rPr>
          <w:color w:val="auto"/>
        </w:rPr>
      </w:pPr>
      <w:r w:rsidRPr="00E00F13">
        <w:rPr>
          <w:color w:val="auto"/>
        </w:rPr>
        <w:tab/>
      </w:r>
      <w:bookmarkStart w:id="177" w:name="_Toc234242899"/>
      <w:r w:rsidR="00501F69" w:rsidRPr="00E00F13">
        <w:rPr>
          <w:color w:val="auto"/>
        </w:rPr>
        <w:t xml:space="preserve">Sobre </w:t>
      </w:r>
      <w:r w:rsidR="0D035B58" w:rsidRPr="00E00F13">
        <w:rPr>
          <w:color w:val="auto"/>
        </w:rPr>
        <w:t>la gobernanza de los datos del Ministerio</w:t>
      </w:r>
      <w:bookmarkEnd w:id="177"/>
    </w:p>
    <w:p w14:paraId="2F68608A" w14:textId="2E1A2D69" w:rsidR="00501F69" w:rsidRPr="00E00F13" w:rsidRDefault="2DEB6BA5" w:rsidP="5B46FBF7">
      <w:pPr>
        <w:spacing w:after="0" w:line="360" w:lineRule="auto"/>
        <w:jc w:val="both"/>
        <w:rPr>
          <w:rFonts w:ascii="Arial" w:hAnsi="Arial" w:cs="Arial"/>
          <w:sz w:val="24"/>
          <w:szCs w:val="24"/>
        </w:rPr>
      </w:pPr>
      <w:r w:rsidRPr="00E00F13">
        <w:rPr>
          <w:rFonts w:ascii="Arial" w:hAnsi="Arial" w:cs="Arial"/>
          <w:sz w:val="24"/>
          <w:szCs w:val="24"/>
        </w:rPr>
        <w:t>Se recomienda c</w:t>
      </w:r>
      <w:r w:rsidR="0D035B58" w:rsidRPr="00E00F13">
        <w:rPr>
          <w:rFonts w:ascii="Arial" w:hAnsi="Arial" w:cs="Arial"/>
          <w:sz w:val="24"/>
          <w:szCs w:val="24"/>
        </w:rPr>
        <w:t>onsolidar sistemas de reporte de información propias del Ministerio que sean la base fundamental para la toma de decisiones y</w:t>
      </w:r>
      <w:r w:rsidR="0FF21866" w:rsidRPr="00E00F13">
        <w:rPr>
          <w:rFonts w:ascii="Arial" w:hAnsi="Arial" w:cs="Arial"/>
          <w:sz w:val="24"/>
          <w:szCs w:val="24"/>
        </w:rPr>
        <w:t xml:space="preserve"> para la</w:t>
      </w:r>
      <w:r w:rsidR="0D035B58" w:rsidRPr="00E00F13">
        <w:rPr>
          <w:rFonts w:ascii="Arial" w:hAnsi="Arial" w:cs="Arial"/>
          <w:sz w:val="24"/>
          <w:szCs w:val="24"/>
        </w:rPr>
        <w:t xml:space="preserve"> formulaci</w:t>
      </w:r>
      <w:r w:rsidR="3BA0E36B" w:rsidRPr="00E00F13">
        <w:rPr>
          <w:rFonts w:ascii="Arial" w:hAnsi="Arial" w:cs="Arial"/>
          <w:sz w:val="24"/>
          <w:szCs w:val="24"/>
        </w:rPr>
        <w:t>ó</w:t>
      </w:r>
      <w:r w:rsidR="0D035B58" w:rsidRPr="00E00F13">
        <w:rPr>
          <w:rFonts w:ascii="Arial" w:hAnsi="Arial" w:cs="Arial"/>
          <w:sz w:val="24"/>
          <w:szCs w:val="24"/>
        </w:rPr>
        <w:t>n de políticas públicas en materia de vivienda, a</w:t>
      </w:r>
      <w:r w:rsidR="420B7FE6" w:rsidRPr="00E00F13">
        <w:rPr>
          <w:rFonts w:ascii="Arial" w:hAnsi="Arial" w:cs="Arial"/>
          <w:sz w:val="24"/>
          <w:szCs w:val="24"/>
        </w:rPr>
        <w:t>gua y saneamiento básico</w:t>
      </w:r>
      <w:r w:rsidR="0D035B58" w:rsidRPr="00E00F13">
        <w:rPr>
          <w:rFonts w:ascii="Arial" w:hAnsi="Arial" w:cs="Arial"/>
          <w:sz w:val="24"/>
          <w:szCs w:val="24"/>
        </w:rPr>
        <w:t xml:space="preserve">. </w:t>
      </w:r>
      <w:r w:rsidR="2462000C" w:rsidRPr="00E00F13">
        <w:rPr>
          <w:rFonts w:ascii="Arial" w:hAnsi="Arial" w:cs="Arial"/>
          <w:sz w:val="24"/>
          <w:szCs w:val="24"/>
        </w:rPr>
        <w:t xml:space="preserve">Estos sistemas de reporte pondrían en contexto </w:t>
      </w:r>
      <w:r w:rsidR="0D035B58" w:rsidRPr="00E00F13">
        <w:rPr>
          <w:rFonts w:ascii="Arial" w:hAnsi="Arial" w:cs="Arial"/>
          <w:sz w:val="24"/>
          <w:szCs w:val="24"/>
        </w:rPr>
        <w:t xml:space="preserve">dónde </w:t>
      </w:r>
      <w:r w:rsidR="08C7A042" w:rsidRPr="00E00F13">
        <w:rPr>
          <w:rFonts w:ascii="Arial" w:hAnsi="Arial" w:cs="Arial"/>
          <w:sz w:val="24"/>
          <w:szCs w:val="24"/>
        </w:rPr>
        <w:t xml:space="preserve">y cómo </w:t>
      </w:r>
      <w:r w:rsidR="0D035B58" w:rsidRPr="00E00F13">
        <w:rPr>
          <w:rFonts w:ascii="Arial" w:hAnsi="Arial" w:cs="Arial"/>
          <w:sz w:val="24"/>
          <w:szCs w:val="24"/>
        </w:rPr>
        <w:t>esta</w:t>
      </w:r>
      <w:r w:rsidR="44FEA95D" w:rsidRPr="00E00F13">
        <w:rPr>
          <w:rFonts w:ascii="Arial" w:hAnsi="Arial" w:cs="Arial"/>
          <w:sz w:val="24"/>
          <w:szCs w:val="24"/>
        </w:rPr>
        <w:t xml:space="preserve">ríamos </w:t>
      </w:r>
      <w:r w:rsidR="0D035B58" w:rsidRPr="00E00F13">
        <w:rPr>
          <w:rFonts w:ascii="Arial" w:hAnsi="Arial" w:cs="Arial"/>
          <w:sz w:val="24"/>
          <w:szCs w:val="24"/>
        </w:rPr>
        <w:t xml:space="preserve">llegando </w:t>
      </w:r>
      <w:r w:rsidR="5D1D6AB4" w:rsidRPr="00E00F13">
        <w:rPr>
          <w:rFonts w:ascii="Arial" w:hAnsi="Arial" w:cs="Arial"/>
          <w:sz w:val="24"/>
          <w:szCs w:val="24"/>
        </w:rPr>
        <w:t xml:space="preserve">con las intervenciones institucionales versus las necesidades de las comunidades, </w:t>
      </w:r>
      <w:r w:rsidR="7E048B41" w:rsidRPr="00E00F13">
        <w:rPr>
          <w:rFonts w:ascii="Arial" w:hAnsi="Arial" w:cs="Arial"/>
          <w:sz w:val="24"/>
          <w:szCs w:val="24"/>
        </w:rPr>
        <w:t>orientando las acciones de la entidad.</w:t>
      </w:r>
    </w:p>
    <w:p w14:paraId="490A5002" w14:textId="46A7169E" w:rsidR="0056248B" w:rsidRPr="00E00F13" w:rsidRDefault="0056248B" w:rsidP="0056248B">
      <w:pPr>
        <w:spacing w:after="0" w:line="360" w:lineRule="auto"/>
        <w:jc w:val="both"/>
        <w:rPr>
          <w:rFonts w:ascii="Arial" w:hAnsi="Arial" w:cs="Arial"/>
          <w:b/>
          <w:bCs/>
          <w:sz w:val="24"/>
          <w:szCs w:val="24"/>
        </w:rPr>
      </w:pPr>
    </w:p>
    <w:p w14:paraId="131B7E6C" w14:textId="19B6CD7B" w:rsidR="00722B98" w:rsidRPr="00E00F13" w:rsidRDefault="00722B98" w:rsidP="0056248B">
      <w:pPr>
        <w:spacing w:after="0" w:line="360" w:lineRule="auto"/>
        <w:jc w:val="both"/>
        <w:rPr>
          <w:rFonts w:ascii="Arial" w:hAnsi="Arial" w:cs="Arial"/>
          <w:b/>
          <w:bCs/>
          <w:sz w:val="24"/>
          <w:szCs w:val="24"/>
        </w:rPr>
      </w:pPr>
    </w:p>
    <w:p w14:paraId="14F59DDC" w14:textId="65B792B3" w:rsidR="00CD492D" w:rsidRPr="00E00F13" w:rsidRDefault="00CD492D" w:rsidP="0056248B">
      <w:pPr>
        <w:spacing w:after="0" w:line="360" w:lineRule="auto"/>
        <w:jc w:val="both"/>
        <w:rPr>
          <w:rFonts w:ascii="Arial" w:hAnsi="Arial" w:cs="Arial"/>
          <w:b/>
          <w:bCs/>
          <w:sz w:val="24"/>
          <w:szCs w:val="24"/>
        </w:rPr>
      </w:pPr>
    </w:p>
    <w:p w14:paraId="4E83C374" w14:textId="10ABE001" w:rsidR="00CD492D" w:rsidRPr="00E00F13" w:rsidRDefault="00CD492D" w:rsidP="0056248B">
      <w:pPr>
        <w:spacing w:after="0" w:line="360" w:lineRule="auto"/>
        <w:jc w:val="both"/>
        <w:rPr>
          <w:rFonts w:ascii="Arial" w:hAnsi="Arial" w:cs="Arial"/>
          <w:b/>
          <w:bCs/>
          <w:sz w:val="24"/>
          <w:szCs w:val="24"/>
        </w:rPr>
      </w:pPr>
    </w:p>
    <w:p w14:paraId="2CBD41EF" w14:textId="2F762AC6" w:rsidR="00CD492D" w:rsidRPr="00E00F13" w:rsidRDefault="00CD492D" w:rsidP="0056248B">
      <w:pPr>
        <w:spacing w:after="0" w:line="360" w:lineRule="auto"/>
        <w:jc w:val="both"/>
        <w:rPr>
          <w:rFonts w:ascii="Arial" w:hAnsi="Arial" w:cs="Arial"/>
          <w:b/>
          <w:bCs/>
          <w:sz w:val="24"/>
          <w:szCs w:val="24"/>
        </w:rPr>
      </w:pPr>
    </w:p>
    <w:p w14:paraId="6353C3F2" w14:textId="760D101B" w:rsidR="00CD492D" w:rsidRPr="00E00F13" w:rsidRDefault="00CD492D" w:rsidP="0056248B">
      <w:pPr>
        <w:spacing w:after="0" w:line="360" w:lineRule="auto"/>
        <w:jc w:val="both"/>
        <w:rPr>
          <w:rFonts w:ascii="Arial" w:hAnsi="Arial" w:cs="Arial"/>
          <w:b/>
          <w:bCs/>
          <w:sz w:val="24"/>
          <w:szCs w:val="24"/>
        </w:rPr>
      </w:pPr>
    </w:p>
    <w:p w14:paraId="6E2FC1B5" w14:textId="55D8C85B" w:rsidR="00CD492D" w:rsidRPr="00E00F13" w:rsidRDefault="00CD492D" w:rsidP="0056248B">
      <w:pPr>
        <w:spacing w:after="0" w:line="360" w:lineRule="auto"/>
        <w:jc w:val="both"/>
        <w:rPr>
          <w:rFonts w:ascii="Arial" w:hAnsi="Arial" w:cs="Arial"/>
          <w:b/>
          <w:bCs/>
          <w:sz w:val="24"/>
          <w:szCs w:val="24"/>
        </w:rPr>
      </w:pPr>
    </w:p>
    <w:p w14:paraId="788B4184" w14:textId="032A518E" w:rsidR="00CD492D" w:rsidRPr="00E00F13" w:rsidRDefault="00CD492D" w:rsidP="0056248B">
      <w:pPr>
        <w:spacing w:after="0" w:line="360" w:lineRule="auto"/>
        <w:jc w:val="both"/>
        <w:rPr>
          <w:rFonts w:ascii="Arial" w:hAnsi="Arial" w:cs="Arial"/>
          <w:b/>
          <w:bCs/>
          <w:sz w:val="24"/>
          <w:szCs w:val="24"/>
        </w:rPr>
      </w:pPr>
    </w:p>
    <w:p w14:paraId="0987576E" w14:textId="7B935338" w:rsidR="00CD492D" w:rsidRPr="00E00F13" w:rsidRDefault="00CD492D" w:rsidP="0056248B">
      <w:pPr>
        <w:spacing w:after="0" w:line="360" w:lineRule="auto"/>
        <w:jc w:val="both"/>
        <w:rPr>
          <w:rFonts w:ascii="Arial" w:hAnsi="Arial" w:cs="Arial"/>
          <w:b/>
          <w:bCs/>
          <w:sz w:val="24"/>
          <w:szCs w:val="24"/>
        </w:rPr>
      </w:pPr>
    </w:p>
    <w:p w14:paraId="5DEC7B06" w14:textId="3379418E" w:rsidR="00CD492D" w:rsidRPr="00E00F13" w:rsidRDefault="00CD492D" w:rsidP="0056248B">
      <w:pPr>
        <w:spacing w:after="0" w:line="360" w:lineRule="auto"/>
        <w:jc w:val="both"/>
        <w:rPr>
          <w:rFonts w:ascii="Arial" w:hAnsi="Arial" w:cs="Arial"/>
          <w:b/>
          <w:bCs/>
          <w:sz w:val="24"/>
          <w:szCs w:val="24"/>
        </w:rPr>
      </w:pPr>
    </w:p>
    <w:p w14:paraId="4DD4B402" w14:textId="77777777" w:rsidR="00F73B4E" w:rsidRPr="00E00F13" w:rsidRDefault="00F73B4E" w:rsidP="0056248B">
      <w:pPr>
        <w:spacing w:after="0" w:line="360" w:lineRule="auto"/>
        <w:jc w:val="both"/>
        <w:rPr>
          <w:rFonts w:ascii="Arial" w:hAnsi="Arial" w:cs="Arial"/>
          <w:b/>
          <w:bCs/>
          <w:sz w:val="24"/>
          <w:szCs w:val="24"/>
        </w:rPr>
      </w:pPr>
    </w:p>
    <w:p w14:paraId="6180876F" w14:textId="11068295" w:rsidR="00CD492D" w:rsidRDefault="00CD492D" w:rsidP="0056248B">
      <w:pPr>
        <w:spacing w:after="0" w:line="360" w:lineRule="auto"/>
        <w:jc w:val="both"/>
        <w:rPr>
          <w:rFonts w:ascii="Arial" w:hAnsi="Arial" w:cs="Arial"/>
          <w:b/>
          <w:bCs/>
          <w:sz w:val="24"/>
          <w:szCs w:val="24"/>
        </w:rPr>
      </w:pPr>
    </w:p>
    <w:p w14:paraId="31FF8531" w14:textId="77777777" w:rsidR="00D22BFA" w:rsidRDefault="00D22BFA" w:rsidP="0056248B">
      <w:pPr>
        <w:spacing w:after="0" w:line="360" w:lineRule="auto"/>
        <w:jc w:val="both"/>
        <w:rPr>
          <w:rFonts w:ascii="Arial" w:hAnsi="Arial" w:cs="Arial"/>
          <w:b/>
          <w:bCs/>
          <w:sz w:val="24"/>
          <w:szCs w:val="24"/>
        </w:rPr>
      </w:pPr>
    </w:p>
    <w:p w14:paraId="50CF9117" w14:textId="77777777" w:rsidR="00D22BFA" w:rsidRDefault="00D22BFA" w:rsidP="0056248B">
      <w:pPr>
        <w:spacing w:after="0" w:line="360" w:lineRule="auto"/>
        <w:jc w:val="both"/>
        <w:rPr>
          <w:rFonts w:ascii="Arial" w:hAnsi="Arial" w:cs="Arial"/>
          <w:b/>
          <w:bCs/>
          <w:sz w:val="24"/>
          <w:szCs w:val="24"/>
        </w:rPr>
      </w:pPr>
    </w:p>
    <w:p w14:paraId="3D05910D" w14:textId="77777777" w:rsidR="00D22BFA" w:rsidRPr="00E00F13" w:rsidRDefault="00D22BFA" w:rsidP="0056248B">
      <w:pPr>
        <w:spacing w:after="0" w:line="360" w:lineRule="auto"/>
        <w:jc w:val="both"/>
        <w:rPr>
          <w:rFonts w:ascii="Arial" w:hAnsi="Arial" w:cs="Arial"/>
          <w:b/>
          <w:bCs/>
          <w:sz w:val="24"/>
          <w:szCs w:val="24"/>
        </w:rPr>
      </w:pPr>
    </w:p>
    <w:p w14:paraId="3561D391" w14:textId="77777777" w:rsidR="00CD492D" w:rsidRPr="00E00F13" w:rsidRDefault="00CD492D" w:rsidP="0056248B">
      <w:pPr>
        <w:spacing w:after="0" w:line="360" w:lineRule="auto"/>
        <w:jc w:val="both"/>
        <w:rPr>
          <w:rFonts w:ascii="Arial" w:hAnsi="Arial" w:cs="Arial"/>
          <w:b/>
          <w:bCs/>
          <w:sz w:val="24"/>
          <w:szCs w:val="24"/>
        </w:rPr>
      </w:pPr>
    </w:p>
    <w:p w14:paraId="2BAC269C" w14:textId="76D2B63C" w:rsidR="0056248B" w:rsidRPr="00E00F13" w:rsidRDefault="00722B98" w:rsidP="0056248B">
      <w:pPr>
        <w:spacing w:after="0" w:line="360" w:lineRule="auto"/>
        <w:jc w:val="both"/>
        <w:rPr>
          <w:rFonts w:ascii="Arial" w:hAnsi="Arial" w:cs="Arial"/>
          <w:sz w:val="24"/>
          <w:szCs w:val="24"/>
        </w:rPr>
      </w:pPr>
      <w:bookmarkStart w:id="178" w:name="_Toc213341879"/>
      <w:bookmarkStart w:id="179" w:name="_Toc234242900"/>
      <w:r w:rsidRPr="00E00F13">
        <w:rPr>
          <w:rStyle w:val="Ttulo1Car"/>
          <w:color w:val="auto"/>
        </w:rPr>
        <w:t>4</w:t>
      </w:r>
      <w:r w:rsidR="0056248B" w:rsidRPr="00E00F13">
        <w:rPr>
          <w:rStyle w:val="Ttulo1Car"/>
          <w:color w:val="auto"/>
        </w:rPr>
        <w:t>. Recomendacione</w:t>
      </w:r>
      <w:bookmarkEnd w:id="178"/>
      <w:r w:rsidR="002F7692" w:rsidRPr="00E00F13">
        <w:rPr>
          <w:rStyle w:val="Ttulo1Car"/>
          <w:color w:val="auto"/>
        </w:rPr>
        <w:t>s. Hoja de ruta estratégica</w:t>
      </w:r>
      <w:bookmarkEnd w:id="179"/>
    </w:p>
    <w:p w14:paraId="06B150D4" w14:textId="18A0688F" w:rsidR="00CD492D" w:rsidRPr="00E00F13" w:rsidRDefault="00020CF3" w:rsidP="1BD4D99C">
      <w:pPr>
        <w:spacing w:after="0" w:line="360" w:lineRule="auto"/>
        <w:ind w:left="-426"/>
        <w:jc w:val="both"/>
        <w:rPr>
          <w:rFonts w:ascii="Arial" w:eastAsia="Arial" w:hAnsi="Arial" w:cs="Arial"/>
          <w:sz w:val="24"/>
          <w:szCs w:val="24"/>
        </w:rPr>
      </w:pPr>
      <w:r w:rsidRPr="00E00F13">
        <w:rPr>
          <w:rFonts w:ascii="Arial" w:hAnsi="Arial" w:cs="Arial"/>
          <w:b/>
          <w:bCs/>
          <w:sz w:val="24"/>
          <w:szCs w:val="24"/>
        </w:rPr>
        <w:t xml:space="preserve">1. </w:t>
      </w:r>
      <w:r w:rsidR="00DE0D89" w:rsidRPr="00E00F13">
        <w:rPr>
          <w:rFonts w:ascii="Arial" w:hAnsi="Arial" w:cs="Arial"/>
          <w:b/>
          <w:bCs/>
          <w:sz w:val="24"/>
          <w:szCs w:val="24"/>
        </w:rPr>
        <w:t>Diseñar nuevas formas de medición y evaluación</w:t>
      </w:r>
      <w:r w:rsidR="00CD492D" w:rsidRPr="00E00F13">
        <w:rPr>
          <w:rFonts w:ascii="Arial" w:hAnsi="Arial" w:cs="Arial"/>
          <w:sz w:val="24"/>
          <w:szCs w:val="24"/>
        </w:rPr>
        <w:t xml:space="preserve">. </w:t>
      </w:r>
      <w:r w:rsidR="4AC4427E" w:rsidRPr="00E00F13">
        <w:rPr>
          <w:rFonts w:ascii="Arial" w:eastAsia="Arial" w:hAnsi="Arial" w:cs="Arial"/>
          <w:sz w:val="24"/>
          <w:szCs w:val="24"/>
        </w:rPr>
        <w:t>Uno de los principales objetivos es dejar capacidad instalada en l</w:t>
      </w:r>
      <w:r w:rsidR="325104F6" w:rsidRPr="00E00F13">
        <w:rPr>
          <w:rFonts w:ascii="Arial" w:eastAsia="Arial" w:hAnsi="Arial" w:cs="Arial"/>
          <w:sz w:val="24"/>
          <w:szCs w:val="24"/>
        </w:rPr>
        <w:t>as entidades territoriales</w:t>
      </w:r>
      <w:r w:rsidR="37DD94CD" w:rsidRPr="00E00F13">
        <w:rPr>
          <w:rFonts w:ascii="Arial" w:eastAsia="Arial" w:hAnsi="Arial" w:cs="Arial"/>
          <w:sz w:val="24"/>
          <w:szCs w:val="24"/>
        </w:rPr>
        <w:t xml:space="preserve"> y en</w:t>
      </w:r>
      <w:r w:rsidR="4AC4427E" w:rsidRPr="00E00F13">
        <w:rPr>
          <w:rFonts w:ascii="Arial" w:eastAsia="Arial" w:hAnsi="Arial" w:cs="Arial"/>
          <w:sz w:val="24"/>
          <w:szCs w:val="24"/>
        </w:rPr>
        <w:t xml:space="preserve"> las comunidades, por lo que es importante</w:t>
      </w:r>
      <w:r w:rsidR="5B7579F1" w:rsidRPr="00E00F13">
        <w:rPr>
          <w:rFonts w:ascii="Arial" w:eastAsia="Arial" w:hAnsi="Arial" w:cs="Arial"/>
          <w:sz w:val="24"/>
          <w:szCs w:val="24"/>
        </w:rPr>
        <w:t xml:space="preserve"> emp</w:t>
      </w:r>
      <w:r w:rsidR="4AC4427E" w:rsidRPr="00E00F13">
        <w:rPr>
          <w:rFonts w:ascii="Arial" w:eastAsia="Arial" w:hAnsi="Arial" w:cs="Arial"/>
          <w:sz w:val="24"/>
          <w:szCs w:val="24"/>
        </w:rPr>
        <w:t>e</w:t>
      </w:r>
      <w:r w:rsidR="5B7579F1" w:rsidRPr="00E00F13">
        <w:rPr>
          <w:rFonts w:ascii="Arial" w:eastAsia="Arial" w:hAnsi="Arial" w:cs="Arial"/>
          <w:sz w:val="24"/>
          <w:szCs w:val="24"/>
        </w:rPr>
        <w:t>zar a</w:t>
      </w:r>
      <w:r w:rsidR="4AC4427E" w:rsidRPr="00E00F13">
        <w:rPr>
          <w:rFonts w:ascii="Arial" w:eastAsia="Arial" w:hAnsi="Arial" w:cs="Arial"/>
          <w:sz w:val="24"/>
          <w:szCs w:val="24"/>
        </w:rPr>
        <w:t xml:space="preserve"> medir</w:t>
      </w:r>
      <w:r w:rsidR="660C92C6" w:rsidRPr="00E00F13">
        <w:rPr>
          <w:rFonts w:ascii="Arial" w:eastAsia="Arial" w:hAnsi="Arial" w:cs="Arial"/>
          <w:sz w:val="24"/>
          <w:szCs w:val="24"/>
        </w:rPr>
        <w:t xml:space="preserve"> desde el Ministerio</w:t>
      </w:r>
      <w:r w:rsidR="4AC4427E" w:rsidRPr="00E00F13">
        <w:rPr>
          <w:rFonts w:ascii="Arial" w:eastAsia="Arial" w:hAnsi="Arial" w:cs="Arial"/>
          <w:sz w:val="24"/>
          <w:szCs w:val="24"/>
        </w:rPr>
        <w:t xml:space="preserve"> todas las externalidades positivas y negativas que se puedan generar</w:t>
      </w:r>
      <w:r w:rsidR="08410BB2" w:rsidRPr="00E00F13">
        <w:rPr>
          <w:rFonts w:ascii="Arial" w:eastAsia="Arial" w:hAnsi="Arial" w:cs="Arial"/>
          <w:sz w:val="24"/>
          <w:szCs w:val="24"/>
        </w:rPr>
        <w:t xml:space="preserve"> como resultado de las intervenciones. </w:t>
      </w:r>
    </w:p>
    <w:p w14:paraId="0D8F1A6D" w14:textId="757539A0" w:rsidR="00CD492D" w:rsidRPr="00E00F13" w:rsidRDefault="4AC4427E" w:rsidP="1BD4D99C">
      <w:pPr>
        <w:spacing w:after="0" w:line="360" w:lineRule="auto"/>
        <w:ind w:left="-426"/>
        <w:jc w:val="both"/>
        <w:rPr>
          <w:rFonts w:ascii="Arial" w:eastAsia="Arial" w:hAnsi="Arial" w:cs="Arial"/>
          <w:sz w:val="24"/>
          <w:szCs w:val="24"/>
        </w:rPr>
      </w:pPr>
      <w:r w:rsidRPr="00E00F13">
        <w:rPr>
          <w:rFonts w:ascii="Arial" w:eastAsia="Arial" w:hAnsi="Arial" w:cs="Arial"/>
          <w:sz w:val="24"/>
          <w:szCs w:val="24"/>
        </w:rPr>
        <w:t xml:space="preserve"> </w:t>
      </w:r>
    </w:p>
    <w:p w14:paraId="235105D7" w14:textId="703EA5AC" w:rsidR="00CD492D" w:rsidRPr="00E00F13" w:rsidRDefault="7E3AA432" w:rsidP="0BB1733B">
      <w:pPr>
        <w:spacing w:after="0" w:line="360" w:lineRule="auto"/>
        <w:ind w:left="-426"/>
        <w:jc w:val="both"/>
        <w:rPr>
          <w:rFonts w:ascii="Arial" w:hAnsi="Arial" w:cs="Arial"/>
          <w:sz w:val="24"/>
          <w:szCs w:val="24"/>
        </w:rPr>
      </w:pPr>
      <w:r w:rsidRPr="00E00F13">
        <w:rPr>
          <w:rFonts w:ascii="Arial" w:eastAsia="Arial" w:hAnsi="Arial" w:cs="Arial"/>
          <w:sz w:val="24"/>
          <w:szCs w:val="24"/>
        </w:rPr>
        <w:t xml:space="preserve">El diseño e implementación de nuevas formas </w:t>
      </w:r>
      <w:r w:rsidR="7B7BDCFE" w:rsidRPr="00E00F13">
        <w:rPr>
          <w:rFonts w:ascii="Arial" w:eastAsia="Arial" w:hAnsi="Arial" w:cs="Arial"/>
          <w:sz w:val="24"/>
          <w:szCs w:val="24"/>
        </w:rPr>
        <w:t>y metodologías</w:t>
      </w:r>
      <w:r w:rsidRPr="00E00F13">
        <w:rPr>
          <w:rFonts w:ascii="Arial" w:eastAsia="Arial" w:hAnsi="Arial" w:cs="Arial"/>
          <w:sz w:val="24"/>
          <w:szCs w:val="24"/>
        </w:rPr>
        <w:t xml:space="preserve"> para medir implica ampliar el alcance de los indicadores convencionales de déficit habitacional. Estas</w:t>
      </w:r>
      <w:r w:rsidR="06C6DF6D" w:rsidRPr="00E00F13">
        <w:rPr>
          <w:rFonts w:ascii="Arial" w:eastAsia="Arial" w:hAnsi="Arial" w:cs="Arial"/>
          <w:sz w:val="24"/>
          <w:szCs w:val="24"/>
        </w:rPr>
        <w:t xml:space="preserve"> formas, que incluyen información adicional y metodologías cualitativas,</w:t>
      </w:r>
      <w:r w:rsidRPr="00E00F13">
        <w:rPr>
          <w:rFonts w:ascii="Arial" w:eastAsia="Arial" w:hAnsi="Arial" w:cs="Arial"/>
          <w:sz w:val="24"/>
          <w:szCs w:val="24"/>
        </w:rPr>
        <w:t xml:space="preserve"> deben incorporar dimensiones relacionadas con el nivel de equipamiento, las formas de organización social, los procesos de autogestión comunitaria y el grado de fortalecimiento organizativo</w:t>
      </w:r>
      <w:r w:rsidR="373E7FC7" w:rsidRPr="00E00F13">
        <w:rPr>
          <w:rFonts w:ascii="Arial" w:eastAsia="Arial" w:hAnsi="Arial" w:cs="Arial"/>
          <w:sz w:val="24"/>
          <w:szCs w:val="24"/>
        </w:rPr>
        <w:t>. Asimismo, deberán</w:t>
      </w:r>
      <w:r w:rsidRPr="00E00F13">
        <w:rPr>
          <w:rFonts w:ascii="Arial" w:eastAsia="Arial" w:hAnsi="Arial" w:cs="Arial"/>
          <w:sz w:val="24"/>
          <w:szCs w:val="24"/>
        </w:rPr>
        <w:t xml:space="preserve"> fortalecer </w:t>
      </w:r>
      <w:r w:rsidR="430D0821" w:rsidRPr="00E00F13">
        <w:rPr>
          <w:rFonts w:ascii="Arial" w:eastAsia="Arial" w:hAnsi="Arial" w:cs="Arial"/>
          <w:sz w:val="24"/>
          <w:szCs w:val="24"/>
        </w:rPr>
        <w:t>la</w:t>
      </w:r>
      <w:r w:rsidRPr="00E00F13">
        <w:rPr>
          <w:rFonts w:ascii="Arial" w:eastAsia="Arial" w:hAnsi="Arial" w:cs="Arial"/>
          <w:sz w:val="24"/>
          <w:szCs w:val="24"/>
        </w:rPr>
        <w:t xml:space="preserve"> sistematización</w:t>
      </w:r>
      <w:r w:rsidR="617186A4" w:rsidRPr="00E00F13">
        <w:rPr>
          <w:rFonts w:ascii="Arial" w:eastAsia="Arial" w:hAnsi="Arial" w:cs="Arial"/>
          <w:sz w:val="24"/>
          <w:szCs w:val="24"/>
        </w:rPr>
        <w:t xml:space="preserve"> y el</w:t>
      </w:r>
      <w:r w:rsidRPr="00E00F13">
        <w:rPr>
          <w:rFonts w:ascii="Arial" w:eastAsia="Arial" w:hAnsi="Arial" w:cs="Arial"/>
          <w:sz w:val="24"/>
          <w:szCs w:val="24"/>
        </w:rPr>
        <w:t xml:space="preserve"> análisis de información mediante la articulación con entidades públicas y académicas.</w:t>
      </w:r>
    </w:p>
    <w:p w14:paraId="18542FDC" w14:textId="310CA790" w:rsidR="0BB1733B" w:rsidRPr="00E00F13" w:rsidRDefault="0BB1733B" w:rsidP="1BD4D99C">
      <w:pPr>
        <w:spacing w:after="0" w:line="360" w:lineRule="auto"/>
        <w:ind w:left="-426"/>
        <w:jc w:val="both"/>
        <w:rPr>
          <w:rFonts w:ascii="Arial" w:eastAsia="Arial" w:hAnsi="Arial" w:cs="Arial"/>
          <w:sz w:val="24"/>
          <w:szCs w:val="24"/>
        </w:rPr>
      </w:pPr>
    </w:p>
    <w:p w14:paraId="14BC00E5" w14:textId="03AFC8FA" w:rsidR="00CD492D" w:rsidRPr="00E00F13" w:rsidRDefault="00020CF3" w:rsidP="1BD4D99C">
      <w:pPr>
        <w:spacing w:after="0" w:line="360" w:lineRule="auto"/>
        <w:ind w:left="-426"/>
        <w:jc w:val="both"/>
        <w:rPr>
          <w:rFonts w:ascii="Arial" w:hAnsi="Arial" w:cs="Arial"/>
          <w:sz w:val="24"/>
          <w:szCs w:val="24"/>
        </w:rPr>
      </w:pPr>
      <w:r w:rsidRPr="00E00F13">
        <w:rPr>
          <w:rFonts w:ascii="Arial" w:hAnsi="Arial" w:cs="Arial"/>
          <w:b/>
          <w:bCs/>
          <w:sz w:val="24"/>
          <w:szCs w:val="24"/>
        </w:rPr>
        <w:t xml:space="preserve">2. </w:t>
      </w:r>
      <w:r w:rsidR="7C84C836" w:rsidRPr="00E00F13">
        <w:rPr>
          <w:rFonts w:ascii="Arial" w:hAnsi="Arial" w:cs="Arial"/>
          <w:b/>
          <w:bCs/>
          <w:sz w:val="24"/>
          <w:szCs w:val="24"/>
        </w:rPr>
        <w:t>C</w:t>
      </w:r>
      <w:r w:rsidR="005557A5" w:rsidRPr="00E00F13">
        <w:rPr>
          <w:rFonts w:ascii="Arial" w:hAnsi="Arial" w:cs="Arial"/>
          <w:b/>
          <w:bCs/>
          <w:sz w:val="24"/>
          <w:szCs w:val="24"/>
        </w:rPr>
        <w:t>rear un Grupo Estructurador de Proyectos</w:t>
      </w:r>
      <w:r w:rsidR="7CAE1DF3" w:rsidRPr="00E00F13">
        <w:rPr>
          <w:rFonts w:ascii="Arial" w:hAnsi="Arial" w:cs="Arial"/>
          <w:b/>
          <w:bCs/>
          <w:sz w:val="24"/>
          <w:szCs w:val="24"/>
        </w:rPr>
        <w:t xml:space="preserve"> como una necesidad estratégica</w:t>
      </w:r>
    </w:p>
    <w:p w14:paraId="7D634B64" w14:textId="3AA014A7" w:rsidR="00CD492D" w:rsidRPr="00E00F13" w:rsidRDefault="45D7B187" w:rsidP="0BB1733B">
      <w:pPr>
        <w:spacing w:after="0" w:line="360" w:lineRule="auto"/>
        <w:ind w:left="-426"/>
        <w:jc w:val="both"/>
        <w:rPr>
          <w:rFonts w:ascii="Arial" w:hAnsi="Arial" w:cs="Arial"/>
          <w:sz w:val="24"/>
          <w:szCs w:val="24"/>
        </w:rPr>
      </w:pPr>
      <w:r w:rsidRPr="00E00F13">
        <w:rPr>
          <w:rFonts w:ascii="Arial" w:hAnsi="Arial" w:cs="Arial"/>
          <w:sz w:val="24"/>
          <w:szCs w:val="24"/>
        </w:rPr>
        <w:t xml:space="preserve">Se recomienda avanzar en la conformación de una unidad estructuradora de proyectos que permita </w:t>
      </w:r>
      <w:r w:rsidR="03895C80" w:rsidRPr="00E00F13">
        <w:rPr>
          <w:rFonts w:ascii="Arial" w:hAnsi="Arial" w:cs="Arial"/>
          <w:sz w:val="24"/>
          <w:szCs w:val="24"/>
        </w:rPr>
        <w:t xml:space="preserve">llevar a cabo la Asistencia Técnica Integral desde el Ministerio </w:t>
      </w:r>
      <w:r w:rsidRPr="00E00F13">
        <w:rPr>
          <w:rFonts w:ascii="Arial" w:hAnsi="Arial" w:cs="Arial"/>
          <w:sz w:val="24"/>
          <w:szCs w:val="24"/>
        </w:rPr>
        <w:t xml:space="preserve">y garantizar </w:t>
      </w:r>
      <w:r w:rsidR="6390B7F9" w:rsidRPr="00E00F13">
        <w:rPr>
          <w:rFonts w:ascii="Arial" w:hAnsi="Arial" w:cs="Arial"/>
          <w:sz w:val="24"/>
          <w:szCs w:val="24"/>
        </w:rPr>
        <w:t xml:space="preserve">la inclusión de nuevos indicadores, de los enfoques diferenciales, de </w:t>
      </w:r>
      <w:r w:rsidRPr="00E00F13">
        <w:rPr>
          <w:rFonts w:ascii="Arial" w:hAnsi="Arial" w:cs="Arial"/>
          <w:sz w:val="24"/>
          <w:szCs w:val="24"/>
        </w:rPr>
        <w:t>estándares de calidad técnica,</w:t>
      </w:r>
      <w:r w:rsidR="7D4C23DD" w:rsidRPr="00E00F13">
        <w:rPr>
          <w:rFonts w:ascii="Arial" w:hAnsi="Arial" w:cs="Arial"/>
          <w:sz w:val="24"/>
          <w:szCs w:val="24"/>
        </w:rPr>
        <w:t xml:space="preserve"> de</w:t>
      </w:r>
      <w:r w:rsidRPr="00E00F13">
        <w:rPr>
          <w:rFonts w:ascii="Arial" w:hAnsi="Arial" w:cs="Arial"/>
          <w:sz w:val="24"/>
          <w:szCs w:val="24"/>
        </w:rPr>
        <w:t xml:space="preserve"> seguridad y</w:t>
      </w:r>
      <w:r w:rsidR="0F09D2B1" w:rsidRPr="00E00F13">
        <w:rPr>
          <w:rFonts w:ascii="Arial" w:hAnsi="Arial" w:cs="Arial"/>
          <w:sz w:val="24"/>
          <w:szCs w:val="24"/>
        </w:rPr>
        <w:t xml:space="preserve"> de</w:t>
      </w:r>
      <w:r w:rsidRPr="00E00F13">
        <w:rPr>
          <w:rFonts w:ascii="Arial" w:hAnsi="Arial" w:cs="Arial"/>
          <w:sz w:val="24"/>
          <w:szCs w:val="24"/>
        </w:rPr>
        <w:t xml:space="preserve"> sostenibilidad en el tiempo. En ausencia de una capacidad institucional especializada en estructuración de proyectos, las iniciativas de autogestión</w:t>
      </w:r>
      <w:r w:rsidR="7C644EC3" w:rsidRPr="00E00F13">
        <w:rPr>
          <w:rFonts w:ascii="Arial" w:hAnsi="Arial" w:cs="Arial"/>
          <w:sz w:val="24"/>
          <w:szCs w:val="24"/>
        </w:rPr>
        <w:t xml:space="preserve">, </w:t>
      </w:r>
      <w:r w:rsidR="50F110DC" w:rsidRPr="00E00F13">
        <w:rPr>
          <w:rFonts w:ascii="Arial" w:hAnsi="Arial" w:cs="Arial"/>
          <w:sz w:val="24"/>
          <w:szCs w:val="24"/>
        </w:rPr>
        <w:t>por ejemplo</w:t>
      </w:r>
      <w:r w:rsidR="7C644EC3" w:rsidRPr="00E00F13">
        <w:rPr>
          <w:rFonts w:ascii="Arial" w:hAnsi="Arial" w:cs="Arial"/>
          <w:sz w:val="24"/>
          <w:szCs w:val="24"/>
        </w:rPr>
        <w:t>,</w:t>
      </w:r>
      <w:r w:rsidRPr="00E00F13">
        <w:rPr>
          <w:rFonts w:ascii="Arial" w:hAnsi="Arial" w:cs="Arial"/>
          <w:sz w:val="24"/>
          <w:szCs w:val="24"/>
        </w:rPr>
        <w:t xml:space="preserve"> enfrenta</w:t>
      </w:r>
      <w:r w:rsidR="68B18CF8" w:rsidRPr="00E00F13">
        <w:rPr>
          <w:rFonts w:ascii="Arial" w:hAnsi="Arial" w:cs="Arial"/>
          <w:sz w:val="24"/>
          <w:szCs w:val="24"/>
        </w:rPr>
        <w:t>ría</w:t>
      </w:r>
      <w:r w:rsidRPr="00E00F13">
        <w:rPr>
          <w:rFonts w:ascii="Arial" w:hAnsi="Arial" w:cs="Arial"/>
          <w:sz w:val="24"/>
          <w:szCs w:val="24"/>
        </w:rPr>
        <w:t xml:space="preserve">n limitaciones significativas para su consolidación y continuidad. </w:t>
      </w:r>
    </w:p>
    <w:p w14:paraId="3372D264" w14:textId="56A702B1" w:rsidR="00CD492D" w:rsidRPr="00E00F13" w:rsidRDefault="00CD492D" w:rsidP="0BB1733B">
      <w:pPr>
        <w:spacing w:after="0" w:line="360" w:lineRule="auto"/>
        <w:ind w:left="-426"/>
        <w:jc w:val="both"/>
        <w:rPr>
          <w:rFonts w:ascii="Arial" w:hAnsi="Arial" w:cs="Arial"/>
          <w:sz w:val="24"/>
          <w:szCs w:val="24"/>
        </w:rPr>
      </w:pPr>
    </w:p>
    <w:p w14:paraId="27923886" w14:textId="3B3CF2D6" w:rsidR="00CD492D" w:rsidRPr="00E00F13" w:rsidRDefault="650DA516" w:rsidP="0BB1733B">
      <w:pPr>
        <w:spacing w:after="0" w:line="360" w:lineRule="auto"/>
        <w:ind w:left="-426"/>
        <w:jc w:val="both"/>
        <w:rPr>
          <w:rFonts w:ascii="Arial" w:hAnsi="Arial" w:cs="Arial"/>
          <w:sz w:val="24"/>
          <w:szCs w:val="24"/>
        </w:rPr>
      </w:pPr>
      <w:r w:rsidRPr="00E00F13">
        <w:rPr>
          <w:rFonts w:ascii="Arial" w:hAnsi="Arial" w:cs="Arial"/>
          <w:sz w:val="24"/>
          <w:szCs w:val="24"/>
        </w:rPr>
        <w:lastRenderedPageBreak/>
        <w:t>En coherencia con esta recomendación</w:t>
      </w:r>
      <w:r w:rsidR="45D7B187" w:rsidRPr="00E00F13">
        <w:rPr>
          <w:rFonts w:ascii="Arial" w:hAnsi="Arial" w:cs="Arial"/>
          <w:sz w:val="24"/>
          <w:szCs w:val="24"/>
        </w:rPr>
        <w:t>, los distintos interlocutores entrevistados para este documento señala</w:t>
      </w:r>
      <w:r w:rsidR="26052330" w:rsidRPr="00E00F13">
        <w:rPr>
          <w:rFonts w:ascii="Arial" w:hAnsi="Arial" w:cs="Arial"/>
          <w:sz w:val="24"/>
          <w:szCs w:val="24"/>
        </w:rPr>
        <w:t>ro</w:t>
      </w:r>
      <w:r w:rsidR="45D7B187" w:rsidRPr="00E00F13">
        <w:rPr>
          <w:rFonts w:ascii="Arial" w:hAnsi="Arial" w:cs="Arial"/>
          <w:sz w:val="24"/>
          <w:szCs w:val="24"/>
        </w:rPr>
        <w:t>n la necesidad de que el Ministerio cuente con un equipo robusto de estructuración técnica que actúe como soporte transversal de la política habitacional</w:t>
      </w:r>
      <w:r w:rsidR="3C128C73" w:rsidRPr="00E00F13">
        <w:rPr>
          <w:rFonts w:ascii="Arial" w:hAnsi="Arial" w:cs="Arial"/>
          <w:sz w:val="24"/>
          <w:szCs w:val="24"/>
        </w:rPr>
        <w:t>, de agua y saneamiento básico</w:t>
      </w:r>
      <w:r w:rsidR="45D7B187" w:rsidRPr="00E00F13">
        <w:rPr>
          <w:rFonts w:ascii="Arial" w:hAnsi="Arial" w:cs="Arial"/>
          <w:sz w:val="24"/>
          <w:szCs w:val="24"/>
        </w:rPr>
        <w:t>.</w:t>
      </w:r>
    </w:p>
    <w:p w14:paraId="03E8D1E5" w14:textId="4CD28129" w:rsidR="00CD492D" w:rsidRPr="00E00F13" w:rsidRDefault="00CD492D" w:rsidP="0BB1733B">
      <w:pPr>
        <w:spacing w:after="0" w:line="360" w:lineRule="auto"/>
        <w:ind w:left="-426"/>
        <w:jc w:val="both"/>
        <w:rPr>
          <w:rFonts w:ascii="Arial" w:hAnsi="Arial" w:cs="Arial"/>
          <w:sz w:val="24"/>
          <w:szCs w:val="24"/>
        </w:rPr>
      </w:pPr>
    </w:p>
    <w:p w14:paraId="59859C95" w14:textId="3C44B76E" w:rsidR="00CD492D" w:rsidRPr="00E00F13" w:rsidRDefault="45D7B187" w:rsidP="0BB1733B">
      <w:pPr>
        <w:spacing w:after="0" w:line="360" w:lineRule="auto"/>
        <w:ind w:left="-426"/>
        <w:jc w:val="both"/>
        <w:rPr>
          <w:rFonts w:ascii="Arial" w:hAnsi="Arial" w:cs="Arial"/>
          <w:sz w:val="24"/>
          <w:szCs w:val="24"/>
        </w:rPr>
      </w:pPr>
      <w:r w:rsidRPr="00E00F13">
        <w:rPr>
          <w:rFonts w:ascii="Arial" w:hAnsi="Arial" w:cs="Arial"/>
          <w:sz w:val="24"/>
          <w:szCs w:val="24"/>
        </w:rPr>
        <w:t>En este marco, se identifican al menos dos alternativas institucionales viables:</w:t>
      </w:r>
    </w:p>
    <w:p w14:paraId="4DB9D402" w14:textId="68DB6573" w:rsidR="00CD492D" w:rsidRPr="00E00F13" w:rsidRDefault="4F472575" w:rsidP="005E33C6">
      <w:pPr>
        <w:pStyle w:val="Prrafodelista"/>
        <w:numPr>
          <w:ilvl w:val="0"/>
          <w:numId w:val="2"/>
        </w:numPr>
        <w:spacing w:after="0" w:line="360" w:lineRule="auto"/>
        <w:jc w:val="both"/>
        <w:rPr>
          <w:rFonts w:ascii="Arial" w:hAnsi="Arial" w:cs="Arial"/>
          <w:sz w:val="24"/>
          <w:szCs w:val="24"/>
        </w:rPr>
      </w:pPr>
      <w:r w:rsidRPr="00E00F13">
        <w:rPr>
          <w:rFonts w:ascii="Arial" w:hAnsi="Arial" w:cs="Arial"/>
          <w:sz w:val="24"/>
          <w:szCs w:val="24"/>
        </w:rPr>
        <w:t xml:space="preserve">Equipo estructurador </w:t>
      </w:r>
      <w:r w:rsidR="011138D2" w:rsidRPr="00E00F13">
        <w:rPr>
          <w:rFonts w:ascii="Arial" w:hAnsi="Arial" w:cs="Arial"/>
          <w:sz w:val="24"/>
          <w:szCs w:val="24"/>
        </w:rPr>
        <w:t>central</w:t>
      </w:r>
      <w:r w:rsidR="45D7B187" w:rsidRPr="00E00F13">
        <w:rPr>
          <w:rFonts w:ascii="Arial" w:hAnsi="Arial" w:cs="Arial"/>
          <w:sz w:val="24"/>
          <w:szCs w:val="24"/>
        </w:rPr>
        <w:t>, adscrit</w:t>
      </w:r>
      <w:r w:rsidR="54CC88D4" w:rsidRPr="00E00F13">
        <w:rPr>
          <w:rFonts w:ascii="Arial" w:hAnsi="Arial" w:cs="Arial"/>
          <w:sz w:val="24"/>
          <w:szCs w:val="24"/>
        </w:rPr>
        <w:t>o</w:t>
      </w:r>
      <w:r w:rsidR="45D7B187" w:rsidRPr="00E00F13">
        <w:rPr>
          <w:rFonts w:ascii="Arial" w:hAnsi="Arial" w:cs="Arial"/>
          <w:sz w:val="24"/>
          <w:szCs w:val="24"/>
        </w:rPr>
        <w:t xml:space="preserve"> al Viceministerio </w:t>
      </w:r>
      <w:r w:rsidR="1DFB9039" w:rsidRPr="00E00F13">
        <w:rPr>
          <w:rFonts w:ascii="Arial" w:hAnsi="Arial" w:cs="Arial"/>
          <w:sz w:val="24"/>
          <w:szCs w:val="24"/>
        </w:rPr>
        <w:t>de Vivienda</w:t>
      </w:r>
      <w:r w:rsidR="7A0405D3" w:rsidRPr="00E00F13">
        <w:rPr>
          <w:rFonts w:ascii="Arial" w:hAnsi="Arial" w:cs="Arial"/>
          <w:sz w:val="24"/>
          <w:szCs w:val="24"/>
        </w:rPr>
        <w:t xml:space="preserve">, </w:t>
      </w:r>
      <w:r w:rsidR="45D7B187" w:rsidRPr="00E00F13">
        <w:rPr>
          <w:rFonts w:ascii="Arial" w:hAnsi="Arial" w:cs="Arial"/>
          <w:sz w:val="24"/>
          <w:szCs w:val="24"/>
        </w:rPr>
        <w:t>con capacidad de servicio transversal para todas las líneas de vivienda.</w:t>
      </w:r>
    </w:p>
    <w:p w14:paraId="70B57468" w14:textId="1D5139FD" w:rsidR="00CD492D" w:rsidRPr="00E00F13" w:rsidRDefault="45D7B187" w:rsidP="005E33C6">
      <w:pPr>
        <w:pStyle w:val="Prrafodelista"/>
        <w:numPr>
          <w:ilvl w:val="0"/>
          <w:numId w:val="2"/>
        </w:numPr>
        <w:spacing w:after="0" w:line="360" w:lineRule="auto"/>
        <w:jc w:val="both"/>
        <w:rPr>
          <w:rFonts w:ascii="Arial" w:hAnsi="Arial" w:cs="Arial"/>
          <w:sz w:val="24"/>
          <w:szCs w:val="24"/>
        </w:rPr>
      </w:pPr>
      <w:r w:rsidRPr="00E00F13">
        <w:rPr>
          <w:rFonts w:ascii="Arial" w:hAnsi="Arial" w:cs="Arial"/>
          <w:sz w:val="24"/>
          <w:szCs w:val="24"/>
        </w:rPr>
        <w:t>Equipos de estructuración diferenciados por tipo de programa (rural, urban</w:t>
      </w:r>
      <w:r w:rsidR="6CAC96FC" w:rsidRPr="00E00F13">
        <w:rPr>
          <w:rFonts w:ascii="Arial" w:hAnsi="Arial" w:cs="Arial"/>
          <w:sz w:val="24"/>
          <w:szCs w:val="24"/>
        </w:rPr>
        <w:t>o</w:t>
      </w:r>
      <w:r w:rsidRPr="00E00F13">
        <w:rPr>
          <w:rFonts w:ascii="Arial" w:hAnsi="Arial" w:cs="Arial"/>
          <w:sz w:val="24"/>
          <w:szCs w:val="24"/>
        </w:rPr>
        <w:t>, mejoramiento, entre otros), con especialización técnica y operativa acorde a las particularidades de cada modalidad.</w:t>
      </w:r>
    </w:p>
    <w:p w14:paraId="14DE3B39" w14:textId="3A96E2AD" w:rsidR="00CD492D" w:rsidRPr="00E00F13" w:rsidRDefault="00CD492D" w:rsidP="0BB1733B">
      <w:pPr>
        <w:spacing w:after="0" w:line="360" w:lineRule="auto"/>
        <w:jc w:val="both"/>
        <w:rPr>
          <w:rFonts w:ascii="Arial" w:hAnsi="Arial" w:cs="Arial"/>
          <w:sz w:val="24"/>
          <w:szCs w:val="24"/>
        </w:rPr>
      </w:pPr>
    </w:p>
    <w:p w14:paraId="65F25FD2" w14:textId="34911811" w:rsidR="00917814" w:rsidRPr="00E00F13" w:rsidRDefault="00020CF3" w:rsidP="0BB1733B">
      <w:pPr>
        <w:spacing w:after="0" w:line="360" w:lineRule="auto"/>
        <w:ind w:left="-426"/>
        <w:jc w:val="both"/>
        <w:rPr>
          <w:rFonts w:ascii="Arial" w:hAnsi="Arial" w:cs="Arial"/>
          <w:sz w:val="24"/>
          <w:szCs w:val="24"/>
        </w:rPr>
      </w:pPr>
      <w:r w:rsidRPr="00E00F13">
        <w:rPr>
          <w:rFonts w:ascii="Arial" w:hAnsi="Arial" w:cs="Arial"/>
          <w:b/>
          <w:bCs/>
          <w:sz w:val="24"/>
          <w:szCs w:val="24"/>
        </w:rPr>
        <w:t xml:space="preserve">3. </w:t>
      </w:r>
      <w:r w:rsidR="00917814" w:rsidRPr="00E00F13">
        <w:rPr>
          <w:rFonts w:ascii="Arial" w:hAnsi="Arial" w:cs="Arial"/>
          <w:b/>
          <w:bCs/>
          <w:sz w:val="24"/>
          <w:szCs w:val="24"/>
        </w:rPr>
        <w:t>Gobernanza integral del ciclo del agua</w:t>
      </w:r>
    </w:p>
    <w:p w14:paraId="16FFCAE7" w14:textId="1B1FC677" w:rsidR="517625D2" w:rsidRPr="00E00F13" w:rsidRDefault="517625D2" w:rsidP="0BB1733B">
      <w:pPr>
        <w:spacing w:after="0" w:line="360" w:lineRule="auto"/>
        <w:ind w:left="-426"/>
        <w:jc w:val="both"/>
        <w:rPr>
          <w:rFonts w:ascii="Arial" w:eastAsia="Arial" w:hAnsi="Arial" w:cs="Arial"/>
          <w:sz w:val="24"/>
          <w:szCs w:val="24"/>
        </w:rPr>
      </w:pPr>
      <w:r w:rsidRPr="00E00F13">
        <w:rPr>
          <w:rFonts w:ascii="Arial" w:eastAsia="Arial" w:hAnsi="Arial" w:cs="Arial"/>
          <w:sz w:val="24"/>
          <w:szCs w:val="24"/>
        </w:rPr>
        <w:t>Persisten desarticulaciones estructurales entre las autoridades ambientales, los prestadores del servicio, las entidades territoriales y los distintos sectores del Gobierno, lo que limita la consolidación de un enfoque integral de</w:t>
      </w:r>
      <w:r w:rsidR="0589710E" w:rsidRPr="00E00F13">
        <w:rPr>
          <w:rFonts w:ascii="Arial" w:eastAsia="Arial" w:hAnsi="Arial" w:cs="Arial"/>
          <w:sz w:val="24"/>
          <w:szCs w:val="24"/>
        </w:rPr>
        <w:t>l ciclo del agua, tal y como lo concibe</w:t>
      </w:r>
      <w:r w:rsidR="1A28D3EC" w:rsidRPr="00E00F13">
        <w:rPr>
          <w:rFonts w:ascii="Arial" w:eastAsia="Arial" w:hAnsi="Arial" w:cs="Arial"/>
          <w:sz w:val="24"/>
          <w:szCs w:val="24"/>
        </w:rPr>
        <w:t xml:space="preserve"> la política de</w:t>
      </w:r>
      <w:r w:rsidR="0589710E" w:rsidRPr="00E00F13">
        <w:rPr>
          <w:rFonts w:ascii="Arial" w:eastAsia="Arial" w:hAnsi="Arial" w:cs="Arial"/>
          <w:sz w:val="24"/>
          <w:szCs w:val="24"/>
        </w:rPr>
        <w:t xml:space="preserve"> </w:t>
      </w:r>
      <w:r w:rsidRPr="00E00F13">
        <w:rPr>
          <w:rFonts w:ascii="Arial" w:eastAsia="Arial" w:hAnsi="Arial" w:cs="Arial"/>
          <w:sz w:val="24"/>
          <w:szCs w:val="24"/>
        </w:rPr>
        <w:t>hábitat</w:t>
      </w:r>
      <w:r w:rsidR="2ED60D1F" w:rsidRPr="00E00F13">
        <w:rPr>
          <w:rFonts w:ascii="Arial" w:eastAsia="Arial" w:hAnsi="Arial" w:cs="Arial"/>
          <w:sz w:val="24"/>
          <w:szCs w:val="24"/>
        </w:rPr>
        <w:t xml:space="preserve"> biodiverso</w:t>
      </w:r>
      <w:r w:rsidRPr="00E00F13">
        <w:rPr>
          <w:rFonts w:ascii="Arial" w:eastAsia="Arial" w:hAnsi="Arial" w:cs="Arial"/>
          <w:sz w:val="24"/>
          <w:szCs w:val="24"/>
        </w:rPr>
        <w:t xml:space="preserve">. Frente a este escenario, se recomienda </w:t>
      </w:r>
      <w:r w:rsidR="72CF7C5C" w:rsidRPr="00E00F13">
        <w:rPr>
          <w:rFonts w:ascii="Arial" w:eastAsia="Arial" w:hAnsi="Arial" w:cs="Arial"/>
          <w:sz w:val="24"/>
          <w:szCs w:val="24"/>
        </w:rPr>
        <w:t>continuar con el fortalecimiento de</w:t>
      </w:r>
      <w:r w:rsidR="179824AE" w:rsidRPr="00E00F13">
        <w:rPr>
          <w:rFonts w:ascii="Arial" w:eastAsia="Arial" w:hAnsi="Arial" w:cs="Arial"/>
          <w:sz w:val="24"/>
          <w:szCs w:val="24"/>
        </w:rPr>
        <w:t xml:space="preserve"> la nueva</w:t>
      </w:r>
      <w:r w:rsidRPr="00E00F13">
        <w:rPr>
          <w:rFonts w:ascii="Arial" w:eastAsia="Arial" w:hAnsi="Arial" w:cs="Arial"/>
          <w:sz w:val="24"/>
          <w:szCs w:val="24"/>
        </w:rPr>
        <w:t xml:space="preserve"> visión de ciclo integral del agua, que</w:t>
      </w:r>
      <w:r w:rsidR="5EA16DDE" w:rsidRPr="00E00F13">
        <w:rPr>
          <w:rFonts w:ascii="Arial" w:eastAsia="Arial" w:hAnsi="Arial" w:cs="Arial"/>
          <w:sz w:val="24"/>
          <w:szCs w:val="24"/>
        </w:rPr>
        <w:t xml:space="preserve"> consiste en</w:t>
      </w:r>
      <w:r w:rsidRPr="00E00F13">
        <w:rPr>
          <w:rFonts w:ascii="Arial" w:eastAsia="Arial" w:hAnsi="Arial" w:cs="Arial"/>
          <w:sz w:val="24"/>
          <w:szCs w:val="24"/>
        </w:rPr>
        <w:t xml:space="preserve"> abar</w:t>
      </w:r>
      <w:r w:rsidR="178E9EC2" w:rsidRPr="00E00F13">
        <w:rPr>
          <w:rFonts w:ascii="Arial" w:eastAsia="Arial" w:hAnsi="Arial" w:cs="Arial"/>
          <w:sz w:val="24"/>
          <w:szCs w:val="24"/>
        </w:rPr>
        <w:t>car</w:t>
      </w:r>
      <w:r w:rsidRPr="00E00F13">
        <w:rPr>
          <w:rFonts w:ascii="Arial" w:eastAsia="Arial" w:hAnsi="Arial" w:cs="Arial"/>
          <w:sz w:val="24"/>
          <w:szCs w:val="24"/>
        </w:rPr>
        <w:t xml:space="preserve"> de manera articulada las fuentes, la captación, el abastecimiento, el saneamiento y los vertimientos.</w:t>
      </w:r>
      <w:r w:rsidR="00E973CF" w:rsidRPr="00E00F13">
        <w:rPr>
          <w:rFonts w:ascii="Arial" w:eastAsia="Arial" w:hAnsi="Arial" w:cs="Arial"/>
          <w:sz w:val="24"/>
          <w:szCs w:val="24"/>
        </w:rPr>
        <w:t xml:space="preserve"> Esto requiere</w:t>
      </w:r>
      <w:r w:rsidRPr="00E00F13">
        <w:rPr>
          <w:rFonts w:ascii="Arial" w:eastAsia="Arial" w:hAnsi="Arial" w:cs="Arial"/>
          <w:sz w:val="24"/>
          <w:szCs w:val="24"/>
        </w:rPr>
        <w:t xml:space="preserve"> </w:t>
      </w:r>
      <w:r w:rsidR="4312BD9F" w:rsidRPr="00E00F13">
        <w:rPr>
          <w:rFonts w:ascii="Arial" w:eastAsia="Arial" w:hAnsi="Arial" w:cs="Arial"/>
          <w:sz w:val="24"/>
          <w:szCs w:val="24"/>
        </w:rPr>
        <w:t>fortalecer los mecanismos de coordinación interinstitucional y sectorial</w:t>
      </w:r>
      <w:r w:rsidR="37013AD4" w:rsidRPr="00E00F13">
        <w:rPr>
          <w:rFonts w:ascii="Arial" w:eastAsia="Arial" w:hAnsi="Arial" w:cs="Arial"/>
          <w:sz w:val="24"/>
          <w:szCs w:val="24"/>
        </w:rPr>
        <w:t>, para fortalecer la estrategia de</w:t>
      </w:r>
      <w:r w:rsidRPr="00E00F13">
        <w:rPr>
          <w:rFonts w:ascii="Arial" w:eastAsia="Arial" w:hAnsi="Arial" w:cs="Arial"/>
          <w:sz w:val="24"/>
          <w:szCs w:val="24"/>
        </w:rPr>
        <w:t xml:space="preserve"> posicionar el agua como un eje estructurante del hábitat y del ordenamiento territorial,</w:t>
      </w:r>
      <w:r w:rsidR="35F3460E" w:rsidRPr="00E00F13">
        <w:rPr>
          <w:rFonts w:ascii="Arial" w:eastAsia="Arial" w:hAnsi="Arial" w:cs="Arial"/>
          <w:sz w:val="24"/>
          <w:szCs w:val="24"/>
        </w:rPr>
        <w:t xml:space="preserve"> tal y como lo establece el Plan Nacional de Desarrollo 2022-2026.</w:t>
      </w:r>
      <w:r w:rsidRPr="00E00F13">
        <w:rPr>
          <w:rFonts w:ascii="Arial" w:eastAsia="Arial" w:hAnsi="Arial" w:cs="Arial"/>
          <w:sz w:val="24"/>
          <w:szCs w:val="24"/>
        </w:rPr>
        <w:t xml:space="preserve"> </w:t>
      </w:r>
    </w:p>
    <w:p w14:paraId="15B98B55" w14:textId="77777777" w:rsidR="00CD492D" w:rsidRPr="00E00F13" w:rsidRDefault="00CD492D" w:rsidP="00CD492D">
      <w:pPr>
        <w:spacing w:after="0" w:line="360" w:lineRule="auto"/>
        <w:ind w:left="-426"/>
        <w:jc w:val="both"/>
        <w:rPr>
          <w:rFonts w:ascii="Arial" w:hAnsi="Arial" w:cs="Arial"/>
          <w:sz w:val="24"/>
          <w:szCs w:val="24"/>
        </w:rPr>
      </w:pPr>
    </w:p>
    <w:p w14:paraId="09217CF6" w14:textId="2854E4A0" w:rsidR="00917814" w:rsidRPr="00E00F13" w:rsidRDefault="00020CF3" w:rsidP="0BB1733B">
      <w:pPr>
        <w:spacing w:after="0" w:line="360" w:lineRule="auto"/>
        <w:ind w:left="-426"/>
        <w:jc w:val="both"/>
        <w:rPr>
          <w:rFonts w:ascii="Arial" w:hAnsi="Arial" w:cs="Arial"/>
          <w:sz w:val="24"/>
          <w:szCs w:val="24"/>
        </w:rPr>
      </w:pPr>
      <w:r w:rsidRPr="00E00F13">
        <w:rPr>
          <w:rFonts w:ascii="Arial" w:hAnsi="Arial" w:cs="Arial"/>
          <w:b/>
          <w:bCs/>
          <w:sz w:val="24"/>
          <w:szCs w:val="24"/>
        </w:rPr>
        <w:t xml:space="preserve">4. </w:t>
      </w:r>
      <w:r w:rsidR="00917814" w:rsidRPr="00E00F13">
        <w:rPr>
          <w:rFonts w:ascii="Arial" w:hAnsi="Arial" w:cs="Arial"/>
          <w:b/>
          <w:bCs/>
          <w:sz w:val="24"/>
          <w:szCs w:val="24"/>
        </w:rPr>
        <w:t>Cambio climático y riesgo</w:t>
      </w:r>
    </w:p>
    <w:p w14:paraId="6436C9D9" w14:textId="02E8E69F" w:rsidR="622CB031" w:rsidRPr="00E00F13" w:rsidRDefault="622CB031" w:rsidP="0BB1733B">
      <w:pPr>
        <w:spacing w:after="0" w:line="360" w:lineRule="auto"/>
        <w:ind w:left="-426"/>
        <w:jc w:val="both"/>
        <w:rPr>
          <w:rFonts w:ascii="Arial" w:eastAsia="Arial" w:hAnsi="Arial" w:cs="Arial"/>
          <w:sz w:val="24"/>
          <w:szCs w:val="24"/>
        </w:rPr>
      </w:pPr>
      <w:r w:rsidRPr="00E00F13">
        <w:rPr>
          <w:rFonts w:ascii="Arial" w:eastAsia="Arial" w:hAnsi="Arial" w:cs="Arial"/>
          <w:sz w:val="24"/>
          <w:szCs w:val="24"/>
        </w:rPr>
        <w:t>Los fenómenos de variabilidad climática —como sequías prolongadas, lluvias extremas y avenidas torrenciales— ponen de manifiesto la alta vulnerabilidad de la infraestructura existente y la urgencia de fortalecer políticas de adaptación que se sustenten en la gestión integral del territorio, incorporando criterios de prevención del riesgo, resiliencia climática y planificación territorial articulada, en conjunto con la participación de las organizaciones comuni</w:t>
      </w:r>
      <w:r w:rsidR="4247D5B1" w:rsidRPr="00E00F13">
        <w:rPr>
          <w:rFonts w:ascii="Arial" w:eastAsia="Arial" w:hAnsi="Arial" w:cs="Arial"/>
          <w:sz w:val="24"/>
          <w:szCs w:val="24"/>
        </w:rPr>
        <w:t>tarias.</w:t>
      </w:r>
      <w:r w:rsidR="4307A3EC" w:rsidRPr="00E00F13">
        <w:rPr>
          <w:rFonts w:ascii="Arial" w:eastAsia="Arial" w:hAnsi="Arial" w:cs="Arial"/>
          <w:sz w:val="24"/>
          <w:szCs w:val="24"/>
        </w:rPr>
        <w:t xml:space="preserve"> </w:t>
      </w:r>
      <w:r w:rsidR="53794B9F" w:rsidRPr="00E00F13">
        <w:rPr>
          <w:rFonts w:ascii="Arial" w:eastAsia="Arial" w:hAnsi="Arial" w:cs="Arial"/>
          <w:sz w:val="24"/>
          <w:szCs w:val="24"/>
        </w:rPr>
        <w:t>Se de</w:t>
      </w:r>
      <w:r w:rsidR="08106958" w:rsidRPr="00E00F13">
        <w:rPr>
          <w:rFonts w:ascii="Arial" w:eastAsia="Arial" w:hAnsi="Arial" w:cs="Arial"/>
          <w:sz w:val="24"/>
          <w:szCs w:val="24"/>
        </w:rPr>
        <w:t>be</w:t>
      </w:r>
      <w:r w:rsidR="53794B9F" w:rsidRPr="00E00F13">
        <w:rPr>
          <w:rFonts w:ascii="Arial" w:eastAsia="Arial" w:hAnsi="Arial" w:cs="Arial"/>
          <w:sz w:val="24"/>
          <w:szCs w:val="24"/>
        </w:rPr>
        <w:t>rán f</w:t>
      </w:r>
      <w:r w:rsidR="4307A3EC" w:rsidRPr="00E00F13">
        <w:rPr>
          <w:rFonts w:ascii="Arial" w:eastAsia="Arial" w:hAnsi="Arial" w:cs="Arial"/>
          <w:sz w:val="24"/>
          <w:szCs w:val="24"/>
        </w:rPr>
        <w:t xml:space="preserve">omentar las intervenciones que </w:t>
      </w:r>
      <w:r w:rsidR="7966CF8F" w:rsidRPr="00E00F13">
        <w:rPr>
          <w:rFonts w:ascii="Arial" w:eastAsia="Arial" w:hAnsi="Arial" w:cs="Arial"/>
          <w:sz w:val="24"/>
          <w:szCs w:val="24"/>
        </w:rPr>
        <w:t>le apuesten</w:t>
      </w:r>
      <w:r w:rsidR="2EC8127C" w:rsidRPr="00E00F13">
        <w:rPr>
          <w:rFonts w:ascii="Arial" w:eastAsia="Arial" w:hAnsi="Arial" w:cs="Arial"/>
          <w:sz w:val="24"/>
          <w:szCs w:val="24"/>
        </w:rPr>
        <w:t xml:space="preserve"> </w:t>
      </w:r>
      <w:r w:rsidR="2EC8127C" w:rsidRPr="00E00F13">
        <w:rPr>
          <w:rFonts w:ascii="Arial" w:eastAsia="Arial" w:hAnsi="Arial" w:cs="Arial"/>
          <w:sz w:val="24"/>
          <w:szCs w:val="24"/>
        </w:rPr>
        <w:lastRenderedPageBreak/>
        <w:t xml:space="preserve">a </w:t>
      </w:r>
      <w:r w:rsidR="3E4F684E" w:rsidRPr="00E00F13">
        <w:rPr>
          <w:rFonts w:ascii="Arial" w:eastAsia="Arial" w:hAnsi="Arial" w:cs="Arial"/>
          <w:sz w:val="24"/>
          <w:szCs w:val="24"/>
        </w:rPr>
        <w:t>la</w:t>
      </w:r>
      <w:r w:rsidR="7966CF8F" w:rsidRPr="00E00F13">
        <w:rPr>
          <w:rFonts w:ascii="Arial" w:eastAsia="Arial" w:hAnsi="Arial" w:cs="Arial"/>
          <w:sz w:val="24"/>
          <w:szCs w:val="24"/>
        </w:rPr>
        <w:t xml:space="preserve"> </w:t>
      </w:r>
      <w:r w:rsidR="3E4F684E" w:rsidRPr="00E00F13">
        <w:rPr>
          <w:rFonts w:ascii="Arial" w:eastAsia="Arial" w:hAnsi="Arial" w:cs="Arial"/>
          <w:sz w:val="24"/>
          <w:szCs w:val="24"/>
        </w:rPr>
        <w:t xml:space="preserve">reducción de </w:t>
      </w:r>
      <w:r w:rsidR="4307A3EC" w:rsidRPr="00E00F13">
        <w:rPr>
          <w:rFonts w:ascii="Arial" w:eastAsia="Arial" w:hAnsi="Arial" w:cs="Arial"/>
          <w:sz w:val="24"/>
          <w:szCs w:val="24"/>
        </w:rPr>
        <w:t>la vulnerabilidad</w:t>
      </w:r>
      <w:r w:rsidR="528261A8" w:rsidRPr="00E00F13">
        <w:rPr>
          <w:rFonts w:ascii="Arial" w:eastAsia="Arial" w:hAnsi="Arial" w:cs="Arial"/>
          <w:sz w:val="24"/>
          <w:szCs w:val="24"/>
        </w:rPr>
        <w:t xml:space="preserve"> y a la adaptación del cambio climático</w:t>
      </w:r>
      <w:r w:rsidR="6C65D803" w:rsidRPr="00E00F13">
        <w:rPr>
          <w:rFonts w:ascii="Arial" w:eastAsia="Arial" w:hAnsi="Arial" w:cs="Arial"/>
          <w:sz w:val="24"/>
          <w:szCs w:val="24"/>
        </w:rPr>
        <w:t>, v</w:t>
      </w:r>
      <w:r w:rsidR="1BB1450E" w:rsidRPr="00E00F13">
        <w:rPr>
          <w:rFonts w:ascii="Arial" w:eastAsia="Arial" w:hAnsi="Arial" w:cs="Arial"/>
          <w:sz w:val="24"/>
          <w:szCs w:val="24"/>
        </w:rPr>
        <w:t xml:space="preserve">alorando los </w:t>
      </w:r>
      <w:r w:rsidR="4307A3EC" w:rsidRPr="00E00F13">
        <w:rPr>
          <w:rFonts w:ascii="Arial" w:eastAsia="Arial" w:hAnsi="Arial" w:cs="Arial"/>
          <w:sz w:val="24"/>
          <w:szCs w:val="24"/>
        </w:rPr>
        <w:t xml:space="preserve">elementos culturales </w:t>
      </w:r>
      <w:r w:rsidR="2D7C8042" w:rsidRPr="00E00F13">
        <w:rPr>
          <w:rFonts w:ascii="Arial" w:eastAsia="Arial" w:hAnsi="Arial" w:cs="Arial"/>
          <w:sz w:val="24"/>
          <w:szCs w:val="24"/>
        </w:rPr>
        <w:t>y ambientales</w:t>
      </w:r>
      <w:r w:rsidR="418C6860" w:rsidRPr="00E00F13">
        <w:rPr>
          <w:rFonts w:ascii="Arial" w:eastAsia="Arial" w:hAnsi="Arial" w:cs="Arial"/>
          <w:sz w:val="24"/>
          <w:szCs w:val="24"/>
        </w:rPr>
        <w:t xml:space="preserve">, </w:t>
      </w:r>
      <w:r w:rsidR="2C68590E" w:rsidRPr="00E00F13">
        <w:rPr>
          <w:rFonts w:ascii="Arial" w:eastAsia="Arial" w:hAnsi="Arial" w:cs="Arial"/>
          <w:sz w:val="24"/>
          <w:szCs w:val="24"/>
        </w:rPr>
        <w:t xml:space="preserve">permitiendo con ello llegar a más lugares. </w:t>
      </w:r>
      <w:r w:rsidR="2D7C8042" w:rsidRPr="00E00F13">
        <w:rPr>
          <w:rFonts w:ascii="Arial" w:eastAsia="Arial" w:hAnsi="Arial" w:cs="Arial"/>
          <w:sz w:val="24"/>
          <w:szCs w:val="24"/>
        </w:rPr>
        <w:t xml:space="preserve"> </w:t>
      </w:r>
    </w:p>
    <w:p w14:paraId="77DB1806" w14:textId="77777777" w:rsidR="00CD492D" w:rsidRPr="00E00F13" w:rsidRDefault="00CD492D" w:rsidP="00CD492D">
      <w:pPr>
        <w:spacing w:after="0" w:line="360" w:lineRule="auto"/>
        <w:ind w:left="-426"/>
        <w:jc w:val="both"/>
        <w:rPr>
          <w:rFonts w:ascii="Arial" w:hAnsi="Arial" w:cs="Arial"/>
          <w:sz w:val="24"/>
          <w:szCs w:val="24"/>
        </w:rPr>
      </w:pPr>
    </w:p>
    <w:p w14:paraId="6D7F982B" w14:textId="564DC8CE" w:rsidR="0BB1733B" w:rsidRPr="00E00F13" w:rsidRDefault="00020CF3" w:rsidP="0BB1733B">
      <w:pPr>
        <w:spacing w:after="0" w:line="360" w:lineRule="auto"/>
        <w:ind w:left="-426"/>
        <w:jc w:val="both"/>
        <w:rPr>
          <w:rFonts w:ascii="Arial" w:hAnsi="Arial" w:cs="Arial"/>
          <w:sz w:val="24"/>
          <w:szCs w:val="24"/>
        </w:rPr>
      </w:pPr>
      <w:r w:rsidRPr="00E00F13">
        <w:rPr>
          <w:rFonts w:ascii="Arial" w:hAnsi="Arial" w:cs="Arial"/>
          <w:b/>
          <w:bCs/>
          <w:sz w:val="24"/>
          <w:szCs w:val="24"/>
        </w:rPr>
        <w:t xml:space="preserve">5. </w:t>
      </w:r>
      <w:r w:rsidR="00917814" w:rsidRPr="00E00F13">
        <w:rPr>
          <w:rFonts w:ascii="Arial" w:hAnsi="Arial" w:cs="Arial"/>
          <w:b/>
          <w:bCs/>
          <w:sz w:val="24"/>
          <w:szCs w:val="24"/>
        </w:rPr>
        <w:t>Sostenibilidad comunitaria y financiera</w:t>
      </w:r>
      <w:r w:rsidR="1219CFFA" w:rsidRPr="00E00F13">
        <w:rPr>
          <w:rFonts w:ascii="Arial" w:hAnsi="Arial" w:cs="Arial"/>
          <w:b/>
          <w:bCs/>
          <w:sz w:val="24"/>
          <w:szCs w:val="24"/>
        </w:rPr>
        <w:t xml:space="preserve"> en proyectos de agua y saneamiento básico</w:t>
      </w:r>
    </w:p>
    <w:p w14:paraId="2DBE2980" w14:textId="5D9188A6" w:rsidR="0CD9ECFF" w:rsidRPr="00E00F13" w:rsidRDefault="0CD9ECFF" w:rsidP="1BD4D99C">
      <w:pPr>
        <w:spacing w:after="0" w:line="360" w:lineRule="auto"/>
        <w:ind w:left="-426"/>
        <w:jc w:val="both"/>
        <w:rPr>
          <w:rFonts w:ascii="Arial" w:eastAsia="Arial" w:hAnsi="Arial" w:cs="Arial"/>
          <w:sz w:val="24"/>
          <w:szCs w:val="24"/>
        </w:rPr>
      </w:pPr>
      <w:r w:rsidRPr="00E00F13">
        <w:rPr>
          <w:rFonts w:ascii="Arial" w:eastAsia="Arial" w:hAnsi="Arial" w:cs="Arial"/>
          <w:sz w:val="24"/>
          <w:szCs w:val="24"/>
        </w:rPr>
        <w:t xml:space="preserve">Para asegurar la sostenibilidad de la gestión comunitaria del agua se recomienda desarrollar e implementar instrumentos que fortalezcan las capacidades de mantenimiento y operación, promuevan una cultura de uso responsable del </w:t>
      </w:r>
      <w:r w:rsidR="67ED4294" w:rsidRPr="00E00F13">
        <w:rPr>
          <w:rFonts w:ascii="Arial" w:eastAsia="Arial" w:hAnsi="Arial" w:cs="Arial"/>
          <w:sz w:val="24"/>
          <w:szCs w:val="24"/>
        </w:rPr>
        <w:t xml:space="preserve">agua </w:t>
      </w:r>
      <w:r w:rsidRPr="00E00F13">
        <w:rPr>
          <w:rFonts w:ascii="Arial" w:eastAsia="Arial" w:hAnsi="Arial" w:cs="Arial"/>
          <w:sz w:val="24"/>
          <w:szCs w:val="24"/>
        </w:rPr>
        <w:t xml:space="preserve">y garanticen la disponibilidad de recursos financieros para la ejecución de obras de la envergadura requerida. Es por ello </w:t>
      </w:r>
      <w:proofErr w:type="gramStart"/>
      <w:r w:rsidRPr="00E00F13">
        <w:rPr>
          <w:rFonts w:ascii="Arial" w:eastAsia="Arial" w:hAnsi="Arial" w:cs="Arial"/>
          <w:sz w:val="24"/>
          <w:szCs w:val="24"/>
        </w:rPr>
        <w:t>que</w:t>
      </w:r>
      <w:proofErr w:type="gramEnd"/>
      <w:r w:rsidRPr="00E00F13">
        <w:rPr>
          <w:rFonts w:ascii="Arial" w:eastAsia="Arial" w:hAnsi="Arial" w:cs="Arial"/>
          <w:sz w:val="24"/>
          <w:szCs w:val="24"/>
        </w:rPr>
        <w:t xml:space="preserve"> resulta estratégico incorporar y consolidar modelos de acceso híbridos —comunitarios, públicos y mixtos— que reconozcan la diversidad </w:t>
      </w:r>
      <w:r w:rsidR="4A995395" w:rsidRPr="00E00F13">
        <w:rPr>
          <w:rFonts w:ascii="Arial" w:eastAsia="Arial" w:hAnsi="Arial" w:cs="Arial"/>
          <w:sz w:val="24"/>
          <w:szCs w:val="24"/>
        </w:rPr>
        <w:t>territorial</w:t>
      </w:r>
      <w:r w:rsidRPr="00E00F13">
        <w:rPr>
          <w:rFonts w:ascii="Arial" w:eastAsia="Arial" w:hAnsi="Arial" w:cs="Arial"/>
          <w:sz w:val="24"/>
          <w:szCs w:val="24"/>
        </w:rPr>
        <w:t xml:space="preserve">, superando una aproximación exclusivamente empresarial. </w:t>
      </w:r>
    </w:p>
    <w:p w14:paraId="66CA018D" w14:textId="12703E81" w:rsidR="0CD9ECFF" w:rsidRPr="00E00F13" w:rsidRDefault="0CD9ECFF" w:rsidP="3C9BA45B">
      <w:pPr>
        <w:spacing w:after="0" w:line="360" w:lineRule="auto"/>
        <w:ind w:left="-426"/>
        <w:jc w:val="both"/>
        <w:rPr>
          <w:rFonts w:ascii="Arial" w:eastAsia="Arial" w:hAnsi="Arial" w:cs="Arial"/>
          <w:sz w:val="24"/>
          <w:szCs w:val="24"/>
        </w:rPr>
      </w:pPr>
    </w:p>
    <w:p w14:paraId="45A71E2A" w14:textId="62C6932E" w:rsidR="0CD9ECFF" w:rsidRPr="00E00F13" w:rsidRDefault="4ACEA588" w:rsidP="3C9BA45B">
      <w:pPr>
        <w:spacing w:after="0" w:line="360" w:lineRule="auto"/>
        <w:ind w:left="-426"/>
        <w:jc w:val="both"/>
      </w:pPr>
      <w:r w:rsidRPr="00E00F13">
        <w:rPr>
          <w:rFonts w:ascii="Arial" w:eastAsia="Arial" w:hAnsi="Arial" w:cs="Arial"/>
          <w:sz w:val="24"/>
          <w:szCs w:val="24"/>
        </w:rPr>
        <w:t>Por su parte, se recomienda también</w:t>
      </w:r>
      <w:r w:rsidR="0CD9ECFF" w:rsidRPr="00E00F13">
        <w:rPr>
          <w:rFonts w:ascii="Arial" w:eastAsia="Arial" w:hAnsi="Arial" w:cs="Arial"/>
          <w:sz w:val="24"/>
          <w:szCs w:val="24"/>
        </w:rPr>
        <w:t xml:space="preserve"> profundizar en estrategias de cultura de pago</w:t>
      </w:r>
      <w:r w:rsidR="688DE248" w:rsidRPr="00E00F13">
        <w:rPr>
          <w:rFonts w:ascii="Arial" w:eastAsia="Arial" w:hAnsi="Arial" w:cs="Arial"/>
          <w:sz w:val="24"/>
          <w:szCs w:val="24"/>
        </w:rPr>
        <w:t xml:space="preserve"> </w:t>
      </w:r>
      <w:r w:rsidR="0CD9ECFF" w:rsidRPr="00E00F13">
        <w:rPr>
          <w:rFonts w:ascii="Arial" w:eastAsia="Arial" w:hAnsi="Arial" w:cs="Arial"/>
          <w:sz w:val="24"/>
          <w:szCs w:val="24"/>
        </w:rPr>
        <w:t>y sostenibilidad comunitaria como componentes clave para la permanencia y calidad de los sistemas.</w:t>
      </w:r>
    </w:p>
    <w:p w14:paraId="7E6B513B" w14:textId="76183007" w:rsidR="006B5B27" w:rsidRPr="00E00F13" w:rsidRDefault="006B5B27" w:rsidP="00917814">
      <w:pPr>
        <w:spacing w:after="0" w:line="360" w:lineRule="auto"/>
        <w:ind w:left="567"/>
        <w:jc w:val="both"/>
        <w:rPr>
          <w:rFonts w:ascii="Arial" w:hAnsi="Arial" w:cs="Arial"/>
          <w:sz w:val="24"/>
          <w:szCs w:val="24"/>
        </w:rPr>
      </w:pPr>
    </w:p>
    <w:p w14:paraId="5AA845B4" w14:textId="3089D8AD" w:rsidR="00CD492D" w:rsidRPr="00E00F13" w:rsidRDefault="00020CF3" w:rsidP="1BD4D99C">
      <w:pPr>
        <w:spacing w:after="0" w:line="360" w:lineRule="auto"/>
        <w:ind w:left="-426"/>
        <w:contextualSpacing/>
        <w:jc w:val="both"/>
        <w:rPr>
          <w:rFonts w:ascii="Arial" w:hAnsi="Arial" w:cs="Arial"/>
          <w:b/>
          <w:bCs/>
          <w:sz w:val="24"/>
          <w:szCs w:val="24"/>
        </w:rPr>
      </w:pPr>
      <w:r w:rsidRPr="00E00F13">
        <w:rPr>
          <w:rFonts w:ascii="Arial" w:hAnsi="Arial" w:cs="Arial"/>
          <w:b/>
          <w:bCs/>
          <w:sz w:val="24"/>
          <w:szCs w:val="24"/>
        </w:rPr>
        <w:t xml:space="preserve">6. </w:t>
      </w:r>
      <w:r w:rsidR="6D570F62" w:rsidRPr="00E00F13">
        <w:rPr>
          <w:rFonts w:ascii="Arial" w:hAnsi="Arial" w:cs="Arial"/>
          <w:b/>
          <w:bCs/>
          <w:sz w:val="24"/>
          <w:szCs w:val="24"/>
        </w:rPr>
        <w:t xml:space="preserve">Operativizar </w:t>
      </w:r>
      <w:r w:rsidR="006B5B27" w:rsidRPr="00E00F13">
        <w:rPr>
          <w:rFonts w:ascii="Arial" w:hAnsi="Arial" w:cs="Arial"/>
          <w:b/>
          <w:bCs/>
          <w:sz w:val="24"/>
          <w:szCs w:val="24"/>
        </w:rPr>
        <w:t>los grandes decretos</w:t>
      </w:r>
      <w:r w:rsidR="002F7692" w:rsidRPr="00E00F13">
        <w:rPr>
          <w:rFonts w:ascii="Arial" w:hAnsi="Arial" w:cs="Arial"/>
          <w:b/>
          <w:bCs/>
          <w:sz w:val="24"/>
          <w:szCs w:val="24"/>
        </w:rPr>
        <w:t>, entre otros</w:t>
      </w:r>
      <w:r w:rsidR="006B5B27" w:rsidRPr="00E00F13">
        <w:rPr>
          <w:rFonts w:ascii="Arial" w:hAnsi="Arial" w:cs="Arial"/>
          <w:b/>
          <w:bCs/>
          <w:sz w:val="24"/>
          <w:szCs w:val="24"/>
        </w:rPr>
        <w:t>:</w:t>
      </w:r>
    </w:p>
    <w:p w14:paraId="231688E3" w14:textId="75BBE17C" w:rsidR="1CFFD844" w:rsidRPr="00E00F13" w:rsidRDefault="1CFFD844" w:rsidP="1BD4D99C">
      <w:pPr>
        <w:spacing w:after="0" w:line="360" w:lineRule="auto"/>
        <w:ind w:left="-426"/>
        <w:contextualSpacing/>
        <w:jc w:val="both"/>
        <w:rPr>
          <w:rFonts w:ascii="Arial" w:eastAsia="Arial" w:hAnsi="Arial" w:cs="Arial"/>
          <w:sz w:val="24"/>
          <w:szCs w:val="24"/>
        </w:rPr>
      </w:pPr>
      <w:r w:rsidRPr="00E00F13">
        <w:rPr>
          <w:rFonts w:ascii="Arial" w:hAnsi="Arial" w:cs="Arial"/>
          <w:sz w:val="24"/>
          <w:szCs w:val="24"/>
        </w:rPr>
        <w:t>Es claro que entre 2024 y 20</w:t>
      </w:r>
      <w:r w:rsidR="2E2E45C2" w:rsidRPr="00E00F13">
        <w:rPr>
          <w:rFonts w:ascii="Arial" w:hAnsi="Arial" w:cs="Arial"/>
          <w:sz w:val="24"/>
          <w:szCs w:val="24"/>
        </w:rPr>
        <w:t>2</w:t>
      </w:r>
      <w:r w:rsidRPr="00E00F13">
        <w:rPr>
          <w:rFonts w:ascii="Arial" w:hAnsi="Arial" w:cs="Arial"/>
          <w:sz w:val="24"/>
          <w:szCs w:val="24"/>
        </w:rPr>
        <w:t xml:space="preserve">5 se han expedido </w:t>
      </w:r>
      <w:r w:rsidR="00BA6B1A" w:rsidRPr="00E00F13">
        <w:rPr>
          <w:rFonts w:ascii="Arial" w:hAnsi="Arial" w:cs="Arial"/>
          <w:sz w:val="24"/>
          <w:szCs w:val="24"/>
        </w:rPr>
        <w:t>dieciocho</w:t>
      </w:r>
      <w:r w:rsidRPr="00E00F13">
        <w:rPr>
          <w:rFonts w:ascii="Arial" w:hAnsi="Arial" w:cs="Arial"/>
          <w:sz w:val="24"/>
          <w:szCs w:val="24"/>
        </w:rPr>
        <w:t xml:space="preserve"> decretos, con lo </w:t>
      </w:r>
      <w:r w:rsidR="4E0699EB" w:rsidRPr="00E00F13">
        <w:rPr>
          <w:rFonts w:ascii="Arial" w:hAnsi="Arial" w:cs="Arial"/>
          <w:sz w:val="24"/>
          <w:szCs w:val="24"/>
        </w:rPr>
        <w:t>q</w:t>
      </w:r>
      <w:r w:rsidRPr="00E00F13">
        <w:rPr>
          <w:rFonts w:ascii="Arial" w:hAnsi="Arial" w:cs="Arial"/>
          <w:sz w:val="24"/>
          <w:szCs w:val="24"/>
        </w:rPr>
        <w:t xml:space="preserve">ue se ha </w:t>
      </w:r>
      <w:r w:rsidR="5F7F218B" w:rsidRPr="00E00F13">
        <w:rPr>
          <w:rFonts w:ascii="Arial" w:hAnsi="Arial" w:cs="Arial"/>
          <w:sz w:val="24"/>
          <w:szCs w:val="24"/>
        </w:rPr>
        <w:t>obtenido</w:t>
      </w:r>
      <w:r w:rsidR="6FDC661B" w:rsidRPr="00E00F13">
        <w:rPr>
          <w:rFonts w:ascii="Arial" w:hAnsi="Arial" w:cs="Arial"/>
          <w:sz w:val="24"/>
          <w:szCs w:val="24"/>
        </w:rPr>
        <w:t xml:space="preserve"> el marco normativo robusto y necesario para apalancar los procesos.</w:t>
      </w:r>
      <w:r w:rsidR="37D4CCD3" w:rsidRPr="00E00F13">
        <w:rPr>
          <w:rFonts w:ascii="Arial" w:hAnsi="Arial" w:cs="Arial"/>
          <w:sz w:val="24"/>
          <w:szCs w:val="24"/>
        </w:rPr>
        <w:t xml:space="preserve"> Sin embargo, varios de estos decretos deben ser operativizados. </w:t>
      </w:r>
      <w:r w:rsidR="6FDC661B" w:rsidRPr="00E00F13">
        <w:rPr>
          <w:rFonts w:ascii="Arial" w:eastAsia="Arial" w:hAnsi="Arial" w:cs="Arial"/>
          <w:sz w:val="24"/>
          <w:szCs w:val="24"/>
        </w:rPr>
        <w:t xml:space="preserve">Se recomienda avanzar de manera prioritaria en la </w:t>
      </w:r>
      <w:r w:rsidR="018CC295" w:rsidRPr="00E00F13">
        <w:rPr>
          <w:rFonts w:ascii="Arial" w:eastAsia="Arial" w:hAnsi="Arial" w:cs="Arial"/>
          <w:sz w:val="24"/>
          <w:szCs w:val="24"/>
        </w:rPr>
        <w:t xml:space="preserve">implementación </w:t>
      </w:r>
      <w:r w:rsidR="6FDC661B" w:rsidRPr="00E00F13">
        <w:rPr>
          <w:rFonts w:ascii="Arial" w:eastAsia="Arial" w:hAnsi="Arial" w:cs="Arial"/>
          <w:sz w:val="24"/>
          <w:szCs w:val="24"/>
        </w:rPr>
        <w:t>de los principales decretos estratégicos, mediante la definición de lineamientos técnicos y planes de acción que garanticen su aplicación efectiva en los territorios. Entre ellos se destacan:</w:t>
      </w:r>
    </w:p>
    <w:p w14:paraId="1738C414" w14:textId="70745882" w:rsidR="6FDC661B" w:rsidRPr="00E00F13" w:rsidRDefault="6FDC661B" w:rsidP="00020CF3">
      <w:pPr>
        <w:pStyle w:val="Prrafodelista"/>
        <w:numPr>
          <w:ilvl w:val="0"/>
          <w:numId w:val="1"/>
        </w:numPr>
        <w:spacing w:before="240" w:after="240" w:line="360" w:lineRule="auto"/>
        <w:ind w:left="714" w:hanging="357"/>
        <w:jc w:val="both"/>
        <w:rPr>
          <w:rFonts w:ascii="Arial" w:eastAsia="Arial" w:hAnsi="Arial" w:cs="Arial"/>
          <w:sz w:val="24"/>
          <w:szCs w:val="24"/>
        </w:rPr>
      </w:pPr>
      <w:r w:rsidRPr="00E00F13">
        <w:rPr>
          <w:rFonts w:ascii="Arial" w:eastAsia="Arial" w:hAnsi="Arial" w:cs="Arial"/>
          <w:sz w:val="24"/>
          <w:szCs w:val="24"/>
        </w:rPr>
        <w:t xml:space="preserve">Basura Cero, mediante la adopción de un plan de acción integral que articule y dé viabilidad a sus </w:t>
      </w:r>
      <w:r w:rsidR="32EEEEE1" w:rsidRPr="00E00F13">
        <w:rPr>
          <w:rFonts w:ascii="Arial" w:eastAsia="Arial" w:hAnsi="Arial" w:cs="Arial"/>
          <w:sz w:val="24"/>
          <w:szCs w:val="24"/>
        </w:rPr>
        <w:t xml:space="preserve">múltiples </w:t>
      </w:r>
      <w:r w:rsidRPr="00E00F13">
        <w:rPr>
          <w:rFonts w:ascii="Arial" w:eastAsia="Arial" w:hAnsi="Arial" w:cs="Arial"/>
          <w:sz w:val="24"/>
          <w:szCs w:val="24"/>
        </w:rPr>
        <w:t>estrategias.</w:t>
      </w:r>
    </w:p>
    <w:p w14:paraId="394B0EF4" w14:textId="7807FCD1" w:rsidR="6FDC661B" w:rsidRPr="00E00F13" w:rsidRDefault="6FDC661B" w:rsidP="00020CF3">
      <w:pPr>
        <w:pStyle w:val="Prrafodelista"/>
        <w:numPr>
          <w:ilvl w:val="0"/>
          <w:numId w:val="1"/>
        </w:numPr>
        <w:spacing w:before="240" w:after="240" w:line="360" w:lineRule="auto"/>
        <w:ind w:left="714" w:hanging="357"/>
        <w:jc w:val="both"/>
        <w:rPr>
          <w:rFonts w:ascii="Arial" w:eastAsia="Arial" w:hAnsi="Arial" w:cs="Arial"/>
          <w:sz w:val="24"/>
          <w:szCs w:val="24"/>
        </w:rPr>
      </w:pPr>
      <w:r w:rsidRPr="00E00F13">
        <w:rPr>
          <w:rFonts w:ascii="Arial" w:eastAsia="Arial" w:hAnsi="Arial" w:cs="Arial"/>
          <w:sz w:val="24"/>
          <w:szCs w:val="24"/>
        </w:rPr>
        <w:t>Gestión Comunitaria del Agua, asegurando condiciones claras para su implementación, seguimiento y sostenibilidad.</w:t>
      </w:r>
      <w:r w:rsidR="326203D5" w:rsidRPr="00E00F13">
        <w:rPr>
          <w:rFonts w:ascii="Arial" w:eastAsia="Arial" w:hAnsi="Arial" w:cs="Arial"/>
          <w:sz w:val="24"/>
          <w:szCs w:val="24"/>
        </w:rPr>
        <w:t xml:space="preserve"> Incluye el subsidio comunitario, orientado a reconocer y fortalecer esquemas gestionados por organizaciones sociales, y mecanismos de fomento para gestores </w:t>
      </w:r>
      <w:r w:rsidR="326203D5" w:rsidRPr="00E00F13">
        <w:rPr>
          <w:rFonts w:ascii="Arial" w:eastAsia="Arial" w:hAnsi="Arial" w:cs="Arial"/>
          <w:sz w:val="24"/>
          <w:szCs w:val="24"/>
        </w:rPr>
        <w:lastRenderedPageBreak/>
        <w:t>comunitarios, para que incluyan incentivos técnicos, financieros y de fortalecimiento institucional.</w:t>
      </w:r>
    </w:p>
    <w:p w14:paraId="5DB36CED" w14:textId="59693DFF" w:rsidR="6FDC661B" w:rsidRPr="00E00F13" w:rsidRDefault="326203D5" w:rsidP="00020CF3">
      <w:pPr>
        <w:pStyle w:val="Prrafodelista"/>
        <w:numPr>
          <w:ilvl w:val="0"/>
          <w:numId w:val="1"/>
        </w:numPr>
        <w:spacing w:before="240" w:after="240" w:line="360" w:lineRule="auto"/>
        <w:ind w:left="714" w:hanging="357"/>
        <w:jc w:val="both"/>
        <w:rPr>
          <w:rFonts w:ascii="Arial" w:eastAsia="Arial" w:hAnsi="Arial" w:cs="Arial"/>
          <w:sz w:val="24"/>
          <w:szCs w:val="24"/>
        </w:rPr>
      </w:pPr>
      <w:r w:rsidRPr="00E00F13">
        <w:rPr>
          <w:rFonts w:ascii="Arial" w:eastAsia="Arial" w:hAnsi="Arial" w:cs="Arial"/>
          <w:sz w:val="24"/>
          <w:szCs w:val="24"/>
        </w:rPr>
        <w:t>Autogestión</w:t>
      </w:r>
      <w:r w:rsidR="6E47D785" w:rsidRPr="00E00F13">
        <w:rPr>
          <w:rFonts w:ascii="Arial" w:eastAsia="Arial" w:hAnsi="Arial" w:cs="Arial"/>
          <w:sz w:val="24"/>
          <w:szCs w:val="24"/>
        </w:rPr>
        <w:t>, estableciendo rutas claras para la gestión y acceso de programas de autogestión, así como blindar al Ministerio de lo</w:t>
      </w:r>
      <w:r w:rsidR="304ADE8A" w:rsidRPr="00E00F13">
        <w:rPr>
          <w:rFonts w:ascii="Arial" w:eastAsia="Arial" w:hAnsi="Arial" w:cs="Arial"/>
          <w:sz w:val="24"/>
          <w:szCs w:val="24"/>
        </w:rPr>
        <w:t>s</w:t>
      </w:r>
      <w:r w:rsidR="6E47D785" w:rsidRPr="00E00F13">
        <w:rPr>
          <w:rFonts w:ascii="Arial" w:eastAsia="Arial" w:hAnsi="Arial" w:cs="Arial"/>
          <w:sz w:val="24"/>
          <w:szCs w:val="24"/>
        </w:rPr>
        <w:t xml:space="preserve"> </w:t>
      </w:r>
      <w:r w:rsidR="6C45784B" w:rsidRPr="00E00F13">
        <w:rPr>
          <w:rFonts w:ascii="Arial" w:eastAsia="Arial" w:hAnsi="Arial" w:cs="Arial"/>
          <w:sz w:val="24"/>
          <w:szCs w:val="24"/>
        </w:rPr>
        <w:t xml:space="preserve">riesgos que se puedan presentar en la implementación del programa. </w:t>
      </w:r>
    </w:p>
    <w:p w14:paraId="3D291C25" w14:textId="65BCC542" w:rsidR="326203D5" w:rsidRPr="00E00F13" w:rsidRDefault="326203D5" w:rsidP="00020CF3">
      <w:pPr>
        <w:pStyle w:val="Prrafodelista"/>
        <w:numPr>
          <w:ilvl w:val="0"/>
          <w:numId w:val="1"/>
        </w:numPr>
        <w:spacing w:before="240" w:after="240" w:line="360" w:lineRule="auto"/>
        <w:ind w:left="714" w:hanging="357"/>
        <w:jc w:val="both"/>
        <w:rPr>
          <w:rFonts w:ascii="Arial" w:eastAsia="Arial" w:hAnsi="Arial" w:cs="Arial"/>
          <w:sz w:val="24"/>
          <w:szCs w:val="24"/>
        </w:rPr>
      </w:pPr>
      <w:r w:rsidRPr="00E00F13">
        <w:rPr>
          <w:rFonts w:ascii="Arial" w:eastAsia="Arial" w:hAnsi="Arial" w:cs="Arial"/>
          <w:sz w:val="24"/>
          <w:szCs w:val="24"/>
        </w:rPr>
        <w:t>Vivienda usada</w:t>
      </w:r>
      <w:r w:rsidR="25B93074" w:rsidRPr="00E00F13">
        <w:rPr>
          <w:rFonts w:ascii="Arial" w:eastAsia="Arial" w:hAnsi="Arial" w:cs="Arial"/>
          <w:sz w:val="24"/>
          <w:szCs w:val="24"/>
        </w:rPr>
        <w:t>, generando mecanismos que le permitan a los diferentes grupos p</w:t>
      </w:r>
      <w:r w:rsidR="7D28BB52" w:rsidRPr="00E00F13">
        <w:rPr>
          <w:rFonts w:ascii="Arial" w:eastAsia="Arial" w:hAnsi="Arial" w:cs="Arial"/>
          <w:sz w:val="24"/>
          <w:szCs w:val="24"/>
        </w:rPr>
        <w:t>o</w:t>
      </w:r>
      <w:r w:rsidR="25B93074" w:rsidRPr="00E00F13">
        <w:rPr>
          <w:rFonts w:ascii="Arial" w:eastAsia="Arial" w:hAnsi="Arial" w:cs="Arial"/>
          <w:sz w:val="24"/>
          <w:szCs w:val="24"/>
        </w:rPr>
        <w:t>blacion</w:t>
      </w:r>
      <w:r w:rsidR="25ED5C82" w:rsidRPr="00E00F13">
        <w:rPr>
          <w:rFonts w:ascii="Arial" w:eastAsia="Arial" w:hAnsi="Arial" w:cs="Arial"/>
          <w:sz w:val="24"/>
          <w:szCs w:val="24"/>
        </w:rPr>
        <w:t>al</w:t>
      </w:r>
      <w:r w:rsidR="25B93074" w:rsidRPr="00E00F13">
        <w:rPr>
          <w:rFonts w:ascii="Arial" w:eastAsia="Arial" w:hAnsi="Arial" w:cs="Arial"/>
          <w:sz w:val="24"/>
          <w:szCs w:val="24"/>
        </w:rPr>
        <w:t>es priorizados log</w:t>
      </w:r>
      <w:r w:rsidR="4814117C" w:rsidRPr="00E00F13">
        <w:rPr>
          <w:rFonts w:ascii="Arial" w:eastAsia="Arial" w:hAnsi="Arial" w:cs="Arial"/>
          <w:sz w:val="24"/>
          <w:szCs w:val="24"/>
        </w:rPr>
        <w:t>ra</w:t>
      </w:r>
      <w:r w:rsidR="25B93074" w:rsidRPr="00E00F13">
        <w:rPr>
          <w:rFonts w:ascii="Arial" w:eastAsia="Arial" w:hAnsi="Arial" w:cs="Arial"/>
          <w:sz w:val="24"/>
          <w:szCs w:val="24"/>
        </w:rPr>
        <w:t>r el cierre financiero para sus viviendas, así como establecer estrategias de bancarización y ahorro programado.</w:t>
      </w:r>
    </w:p>
    <w:p w14:paraId="4247FCEB" w14:textId="703C4F3B" w:rsidR="326203D5" w:rsidRPr="00E00F13" w:rsidRDefault="326203D5" w:rsidP="00020CF3">
      <w:pPr>
        <w:pStyle w:val="Prrafodelista"/>
        <w:numPr>
          <w:ilvl w:val="0"/>
          <w:numId w:val="1"/>
        </w:numPr>
        <w:spacing w:before="240" w:after="240" w:line="360" w:lineRule="auto"/>
        <w:ind w:left="714" w:hanging="357"/>
        <w:jc w:val="both"/>
        <w:rPr>
          <w:rFonts w:ascii="Arial" w:eastAsia="Arial" w:hAnsi="Arial" w:cs="Arial"/>
          <w:sz w:val="24"/>
          <w:szCs w:val="24"/>
        </w:rPr>
      </w:pPr>
      <w:r w:rsidRPr="00E00F13">
        <w:rPr>
          <w:rFonts w:ascii="Arial" w:eastAsia="Arial" w:hAnsi="Arial" w:cs="Arial"/>
          <w:sz w:val="24"/>
          <w:szCs w:val="24"/>
        </w:rPr>
        <w:t>Mejoramientos</w:t>
      </w:r>
      <w:r w:rsidR="7E7571F4" w:rsidRPr="00E00F13">
        <w:rPr>
          <w:rFonts w:ascii="Arial" w:eastAsia="Arial" w:hAnsi="Arial" w:cs="Arial"/>
          <w:sz w:val="24"/>
          <w:szCs w:val="24"/>
        </w:rPr>
        <w:t xml:space="preserve">, promoviendo la modalidad de gestión social </w:t>
      </w:r>
      <w:r w:rsidR="6C6E68AF" w:rsidRPr="00E00F13">
        <w:rPr>
          <w:rFonts w:ascii="Arial" w:eastAsia="Arial" w:hAnsi="Arial" w:cs="Arial"/>
          <w:sz w:val="24"/>
          <w:szCs w:val="24"/>
        </w:rPr>
        <w:t xml:space="preserve">fortaleciendo las organizaciones comunitarias de base y la economía circular a través de la utilización de materiales propios de la región y la generación de empleos con profesionales del territorio. </w:t>
      </w:r>
    </w:p>
    <w:p w14:paraId="00B3B236" w14:textId="77777777" w:rsidR="00CD492D" w:rsidRPr="00E00F13" w:rsidRDefault="00CD492D" w:rsidP="00CD492D">
      <w:pPr>
        <w:spacing w:after="0" w:line="360" w:lineRule="auto"/>
        <w:ind w:left="294"/>
        <w:contextualSpacing/>
        <w:jc w:val="both"/>
        <w:rPr>
          <w:rFonts w:ascii="Arial" w:hAnsi="Arial" w:cs="Arial"/>
          <w:b/>
          <w:bCs/>
          <w:sz w:val="24"/>
          <w:szCs w:val="24"/>
        </w:rPr>
      </w:pPr>
    </w:p>
    <w:p w14:paraId="5CD562C3" w14:textId="03CFDA5B" w:rsidR="00CD492D" w:rsidRPr="00E00F13" w:rsidRDefault="00020CF3" w:rsidP="3C9BA45B">
      <w:pPr>
        <w:spacing w:after="0" w:line="360" w:lineRule="auto"/>
        <w:ind w:left="-426"/>
        <w:contextualSpacing/>
        <w:jc w:val="both"/>
        <w:rPr>
          <w:rFonts w:ascii="Arial" w:hAnsi="Arial" w:cs="Arial"/>
          <w:b/>
          <w:bCs/>
          <w:sz w:val="24"/>
          <w:szCs w:val="24"/>
        </w:rPr>
      </w:pPr>
      <w:r w:rsidRPr="00E00F13">
        <w:rPr>
          <w:rFonts w:ascii="Arial" w:hAnsi="Arial" w:cs="Arial"/>
          <w:b/>
          <w:bCs/>
          <w:sz w:val="24"/>
          <w:szCs w:val="24"/>
        </w:rPr>
        <w:t xml:space="preserve">7. </w:t>
      </w:r>
      <w:r w:rsidR="008A229E" w:rsidRPr="00E00F13">
        <w:rPr>
          <w:rFonts w:ascii="Arial" w:hAnsi="Arial" w:cs="Arial"/>
          <w:b/>
          <w:bCs/>
          <w:sz w:val="24"/>
          <w:szCs w:val="24"/>
        </w:rPr>
        <w:t>C</w:t>
      </w:r>
      <w:r w:rsidR="29C3BBDE" w:rsidRPr="00E00F13">
        <w:rPr>
          <w:rFonts w:ascii="Arial" w:hAnsi="Arial" w:cs="Arial"/>
          <w:b/>
          <w:bCs/>
          <w:sz w:val="24"/>
          <w:szCs w:val="24"/>
        </w:rPr>
        <w:t>apacidad instalada</w:t>
      </w:r>
    </w:p>
    <w:p w14:paraId="421A1703" w14:textId="4671C373" w:rsidR="009C6BEB" w:rsidRPr="00E00F13" w:rsidRDefault="2B230049" w:rsidP="3C9BA45B">
      <w:pPr>
        <w:spacing w:after="0" w:line="360" w:lineRule="auto"/>
        <w:ind w:left="-426"/>
        <w:contextualSpacing/>
        <w:jc w:val="both"/>
        <w:rPr>
          <w:rFonts w:ascii="Arial" w:eastAsia="Arial" w:hAnsi="Arial" w:cs="Arial"/>
          <w:sz w:val="24"/>
          <w:szCs w:val="24"/>
        </w:rPr>
      </w:pPr>
      <w:r w:rsidRPr="00E00F13">
        <w:rPr>
          <w:rFonts w:ascii="Arial" w:eastAsia="Arial" w:hAnsi="Arial" w:cs="Arial"/>
          <w:sz w:val="24"/>
          <w:szCs w:val="24"/>
        </w:rPr>
        <w:t xml:space="preserve">Los ajustes en la arquitectura normativa y administrativa descritos a lo largo de este documento han representado un reto estructural </w:t>
      </w:r>
      <w:r w:rsidR="624F0832" w:rsidRPr="00E00F13">
        <w:rPr>
          <w:rFonts w:ascii="Arial" w:eastAsia="Arial" w:hAnsi="Arial" w:cs="Arial"/>
          <w:sz w:val="24"/>
          <w:szCs w:val="24"/>
        </w:rPr>
        <w:t>en el MVCT</w:t>
      </w:r>
      <w:r w:rsidRPr="00E00F13">
        <w:rPr>
          <w:rFonts w:ascii="Arial" w:eastAsia="Arial" w:hAnsi="Arial" w:cs="Arial"/>
          <w:sz w:val="24"/>
          <w:szCs w:val="24"/>
        </w:rPr>
        <w:t>, el cual ha venido siendo abordado de manera progresiva, generando avances significativos en los procesos internos. No obstante, este mismo nivel de esfuerzo debe orientarse a impulsar las transformaciones requeridas en las capacidades humanas</w:t>
      </w:r>
      <w:r w:rsidR="375B0A41" w:rsidRPr="00E00F13">
        <w:rPr>
          <w:rFonts w:ascii="Arial" w:eastAsia="Arial" w:hAnsi="Arial" w:cs="Arial"/>
          <w:sz w:val="24"/>
          <w:szCs w:val="24"/>
        </w:rPr>
        <w:t>,</w:t>
      </w:r>
      <w:r w:rsidRPr="00E00F13">
        <w:rPr>
          <w:rFonts w:ascii="Arial" w:eastAsia="Arial" w:hAnsi="Arial" w:cs="Arial"/>
          <w:sz w:val="24"/>
          <w:szCs w:val="24"/>
        </w:rPr>
        <w:t xml:space="preserve"> que permitan materializar el cambio de visión que sustenta la política </w:t>
      </w:r>
      <w:r w:rsidR="39B25BC6" w:rsidRPr="00E00F13">
        <w:rPr>
          <w:rFonts w:ascii="Arial" w:eastAsia="Arial" w:hAnsi="Arial" w:cs="Arial"/>
          <w:sz w:val="24"/>
          <w:szCs w:val="24"/>
        </w:rPr>
        <w:t>Nuestro</w:t>
      </w:r>
      <w:r w:rsidRPr="00E00F13">
        <w:rPr>
          <w:rFonts w:ascii="Arial" w:eastAsia="Arial" w:hAnsi="Arial" w:cs="Arial"/>
          <w:sz w:val="24"/>
          <w:szCs w:val="24"/>
        </w:rPr>
        <w:t xml:space="preserve"> Hábitat Biodiverso. </w:t>
      </w:r>
    </w:p>
    <w:p w14:paraId="05FA4A09" w14:textId="5F2BA01A" w:rsidR="009C6BEB" w:rsidRPr="00E00F13" w:rsidRDefault="009C6BEB" w:rsidP="3C9BA45B">
      <w:pPr>
        <w:spacing w:after="0" w:line="360" w:lineRule="auto"/>
        <w:ind w:left="-426"/>
        <w:contextualSpacing/>
        <w:jc w:val="both"/>
        <w:rPr>
          <w:rFonts w:ascii="Arial" w:eastAsia="Arial" w:hAnsi="Arial" w:cs="Arial"/>
          <w:sz w:val="24"/>
          <w:szCs w:val="24"/>
        </w:rPr>
      </w:pPr>
    </w:p>
    <w:p w14:paraId="5C5BBF69" w14:textId="27A7D185" w:rsidR="009C6BEB" w:rsidRPr="00E00F13" w:rsidRDefault="2B230049" w:rsidP="1BD4D99C">
      <w:pPr>
        <w:spacing w:after="0" w:line="360" w:lineRule="auto"/>
        <w:ind w:left="-426"/>
        <w:contextualSpacing/>
        <w:jc w:val="both"/>
        <w:rPr>
          <w:rFonts w:ascii="Arial" w:eastAsia="Arial" w:hAnsi="Arial" w:cs="Arial"/>
          <w:sz w:val="24"/>
          <w:szCs w:val="24"/>
        </w:rPr>
      </w:pPr>
      <w:r w:rsidRPr="00E00F13">
        <w:rPr>
          <w:rFonts w:ascii="Arial" w:eastAsia="Arial" w:hAnsi="Arial" w:cs="Arial"/>
          <w:sz w:val="24"/>
          <w:szCs w:val="24"/>
        </w:rPr>
        <w:t>En este sentido, se recomienda formular e implementar procesos sistemáticos de formación y capacitación para las personas que integran el Ministerio, orientados a fortalecer los conocimientos, habilidades y sensibilidades necesari</w:t>
      </w:r>
      <w:r w:rsidR="4CD6895A" w:rsidRPr="00E00F13">
        <w:rPr>
          <w:rFonts w:ascii="Arial" w:eastAsia="Arial" w:hAnsi="Arial" w:cs="Arial"/>
          <w:sz w:val="24"/>
          <w:szCs w:val="24"/>
        </w:rPr>
        <w:t>os</w:t>
      </w:r>
      <w:r w:rsidR="4CD6895A" w:rsidRPr="00E00F13">
        <w:rPr>
          <w:rFonts w:ascii="Arial" w:hAnsi="Arial" w:cs="Arial"/>
          <w:sz w:val="24"/>
          <w:szCs w:val="24"/>
        </w:rPr>
        <w:t xml:space="preserve"> para abordar</w:t>
      </w:r>
      <w:r w:rsidRPr="00E00F13">
        <w:rPr>
          <w:rFonts w:ascii="Arial" w:eastAsia="Arial" w:hAnsi="Arial" w:cs="Arial"/>
          <w:sz w:val="24"/>
          <w:szCs w:val="24"/>
        </w:rPr>
        <w:t xml:space="preserve"> los nuevos enfoques en el diseño y ejecución de programas y proyectos</w:t>
      </w:r>
      <w:r w:rsidR="3255D296" w:rsidRPr="00E00F13">
        <w:rPr>
          <w:rFonts w:ascii="Arial" w:eastAsia="Arial" w:hAnsi="Arial" w:cs="Arial"/>
          <w:sz w:val="24"/>
          <w:szCs w:val="24"/>
        </w:rPr>
        <w:t>, así como de la oferta institucional en general</w:t>
      </w:r>
      <w:r w:rsidRPr="00E00F13">
        <w:rPr>
          <w:rFonts w:ascii="Arial" w:eastAsia="Arial" w:hAnsi="Arial" w:cs="Arial"/>
          <w:sz w:val="24"/>
          <w:szCs w:val="24"/>
        </w:rPr>
        <w:t>. Dichos procesos</w:t>
      </w:r>
      <w:r w:rsidR="15F71087" w:rsidRPr="00E00F13">
        <w:rPr>
          <w:rFonts w:ascii="Arial" w:eastAsia="Arial" w:hAnsi="Arial" w:cs="Arial"/>
          <w:sz w:val="24"/>
          <w:szCs w:val="24"/>
        </w:rPr>
        <w:t xml:space="preserve"> de formación y capacitación</w:t>
      </w:r>
      <w:r w:rsidRPr="00E00F13">
        <w:rPr>
          <w:rFonts w:ascii="Arial" w:eastAsia="Arial" w:hAnsi="Arial" w:cs="Arial"/>
          <w:sz w:val="24"/>
          <w:szCs w:val="24"/>
        </w:rPr>
        <w:t xml:space="preserve"> deben reconocer el rol protagónico de las comunidades organizadas en la política pública, así como las nuevas modalidades de autogestión</w:t>
      </w:r>
      <w:r w:rsidR="2EDBC1B7" w:rsidRPr="00E00F13">
        <w:rPr>
          <w:rFonts w:ascii="Arial" w:eastAsia="Arial" w:hAnsi="Arial" w:cs="Arial"/>
          <w:sz w:val="24"/>
          <w:szCs w:val="24"/>
        </w:rPr>
        <w:t xml:space="preserve"> y de agua y saneamiento básico</w:t>
      </w:r>
      <w:r w:rsidRPr="00E00F13">
        <w:rPr>
          <w:rFonts w:ascii="Arial" w:eastAsia="Arial" w:hAnsi="Arial" w:cs="Arial"/>
          <w:sz w:val="24"/>
          <w:szCs w:val="24"/>
        </w:rPr>
        <w:t>, como elementos centrales para la transformación institucional y territorial.</w:t>
      </w:r>
      <w:r w:rsidR="48F14D79" w:rsidRPr="00E00F13">
        <w:rPr>
          <w:rFonts w:ascii="Arial" w:eastAsia="Arial" w:hAnsi="Arial" w:cs="Arial"/>
          <w:sz w:val="24"/>
          <w:szCs w:val="24"/>
        </w:rPr>
        <w:t xml:space="preserve"> Dejar esta </w:t>
      </w:r>
      <w:r w:rsidR="48F14D79" w:rsidRPr="00E00F13">
        <w:rPr>
          <w:rFonts w:ascii="Arial" w:eastAsia="Arial" w:hAnsi="Arial" w:cs="Arial"/>
          <w:sz w:val="24"/>
          <w:szCs w:val="24"/>
        </w:rPr>
        <w:lastRenderedPageBreak/>
        <w:t xml:space="preserve">capacidad instalada en el </w:t>
      </w:r>
      <w:r w:rsidR="07A45D9A" w:rsidRPr="00E00F13">
        <w:rPr>
          <w:rFonts w:ascii="Arial" w:eastAsia="Arial" w:hAnsi="Arial" w:cs="Arial"/>
          <w:sz w:val="24"/>
          <w:szCs w:val="24"/>
        </w:rPr>
        <w:t xml:space="preserve">MVCT </w:t>
      </w:r>
      <w:r w:rsidR="48F14D79" w:rsidRPr="00E00F13">
        <w:rPr>
          <w:rFonts w:ascii="Arial" w:eastAsia="Arial" w:hAnsi="Arial" w:cs="Arial"/>
          <w:sz w:val="24"/>
          <w:szCs w:val="24"/>
        </w:rPr>
        <w:t>reduciría las posibilidades de poner en riesgo las acciones que se están r</w:t>
      </w:r>
      <w:r w:rsidR="3E14143A" w:rsidRPr="00E00F13">
        <w:rPr>
          <w:rFonts w:ascii="Arial" w:eastAsia="Arial" w:hAnsi="Arial" w:cs="Arial"/>
          <w:sz w:val="24"/>
          <w:szCs w:val="24"/>
        </w:rPr>
        <w:t>ealizando</w:t>
      </w:r>
      <w:r w:rsidR="48F14D79" w:rsidRPr="00E00F13">
        <w:rPr>
          <w:rFonts w:ascii="Arial" w:eastAsia="Arial" w:hAnsi="Arial" w:cs="Arial"/>
          <w:sz w:val="24"/>
          <w:szCs w:val="24"/>
        </w:rPr>
        <w:t xml:space="preserve"> para la materialización de los </w:t>
      </w:r>
      <w:r w:rsidR="00BA6B1A" w:rsidRPr="00E00F13">
        <w:rPr>
          <w:rFonts w:ascii="Arial" w:eastAsia="Arial" w:hAnsi="Arial" w:cs="Arial"/>
          <w:sz w:val="24"/>
          <w:szCs w:val="24"/>
        </w:rPr>
        <w:t>dieciocho</w:t>
      </w:r>
      <w:r w:rsidR="48F14D79" w:rsidRPr="00E00F13">
        <w:rPr>
          <w:rFonts w:ascii="Arial" w:eastAsia="Arial" w:hAnsi="Arial" w:cs="Arial"/>
          <w:sz w:val="24"/>
          <w:szCs w:val="24"/>
        </w:rPr>
        <w:t xml:space="preserve"> </w:t>
      </w:r>
      <w:r w:rsidR="585815E4" w:rsidRPr="00E00F13">
        <w:rPr>
          <w:rFonts w:ascii="Arial" w:eastAsia="Arial" w:hAnsi="Arial" w:cs="Arial"/>
          <w:sz w:val="24"/>
          <w:szCs w:val="24"/>
        </w:rPr>
        <w:t>decretos</w:t>
      </w:r>
      <w:r w:rsidR="4D9B2ED4" w:rsidRPr="00E00F13">
        <w:rPr>
          <w:rFonts w:ascii="Arial" w:eastAsia="Arial" w:hAnsi="Arial" w:cs="Arial"/>
          <w:sz w:val="24"/>
          <w:szCs w:val="24"/>
        </w:rPr>
        <w:t>.</w:t>
      </w:r>
    </w:p>
    <w:p w14:paraId="3FFA5738" w14:textId="7CD561B9" w:rsidR="1BD4D99C" w:rsidRPr="00E00F13" w:rsidRDefault="1BD4D99C" w:rsidP="1BD4D99C">
      <w:pPr>
        <w:spacing w:after="0" w:line="360" w:lineRule="auto"/>
        <w:ind w:left="-426"/>
        <w:contextualSpacing/>
        <w:jc w:val="both"/>
        <w:rPr>
          <w:rFonts w:ascii="Arial" w:eastAsia="Arial" w:hAnsi="Arial" w:cs="Arial"/>
          <w:sz w:val="24"/>
          <w:szCs w:val="24"/>
        </w:rPr>
      </w:pPr>
    </w:p>
    <w:p w14:paraId="41862A0F" w14:textId="302B1C21" w:rsidR="6EB0861C" w:rsidRPr="00E00F13" w:rsidRDefault="6EB0861C" w:rsidP="1BD4D99C">
      <w:pPr>
        <w:spacing w:after="0" w:line="360" w:lineRule="auto"/>
        <w:ind w:left="-426"/>
        <w:contextualSpacing/>
        <w:jc w:val="both"/>
        <w:rPr>
          <w:rFonts w:ascii="Arial" w:eastAsia="Arial" w:hAnsi="Arial" w:cs="Arial"/>
          <w:sz w:val="24"/>
          <w:szCs w:val="24"/>
        </w:rPr>
      </w:pPr>
      <w:r w:rsidRPr="00E00F13">
        <w:rPr>
          <w:rFonts w:ascii="Arial" w:eastAsia="Arial" w:hAnsi="Arial" w:cs="Arial"/>
          <w:sz w:val="24"/>
          <w:szCs w:val="24"/>
        </w:rPr>
        <w:t>Más allá de la capacitación técnica, el requ</w:t>
      </w:r>
      <w:r w:rsidR="0DF48001" w:rsidRPr="00E00F13">
        <w:rPr>
          <w:rFonts w:ascii="Arial" w:eastAsia="Arial" w:hAnsi="Arial" w:cs="Arial"/>
          <w:sz w:val="24"/>
          <w:szCs w:val="24"/>
        </w:rPr>
        <w:t>e</w:t>
      </w:r>
      <w:r w:rsidR="43BD9C86" w:rsidRPr="00E00F13">
        <w:rPr>
          <w:rFonts w:ascii="Arial" w:eastAsia="Arial" w:hAnsi="Arial" w:cs="Arial"/>
          <w:sz w:val="24"/>
          <w:szCs w:val="24"/>
        </w:rPr>
        <w:t>r</w:t>
      </w:r>
      <w:r w:rsidR="0DF48001" w:rsidRPr="00E00F13">
        <w:rPr>
          <w:rFonts w:ascii="Arial" w:eastAsia="Arial" w:hAnsi="Arial" w:cs="Arial"/>
          <w:sz w:val="24"/>
          <w:szCs w:val="24"/>
        </w:rPr>
        <w:t>imie</w:t>
      </w:r>
      <w:r w:rsidRPr="00E00F13">
        <w:rPr>
          <w:rFonts w:ascii="Arial" w:eastAsia="Arial" w:hAnsi="Arial" w:cs="Arial"/>
          <w:sz w:val="24"/>
          <w:szCs w:val="24"/>
        </w:rPr>
        <w:t>nto está orientado a co</w:t>
      </w:r>
      <w:r w:rsidR="315E554C" w:rsidRPr="00E00F13">
        <w:rPr>
          <w:rFonts w:ascii="Arial" w:eastAsia="Arial" w:hAnsi="Arial" w:cs="Arial"/>
          <w:sz w:val="24"/>
          <w:szCs w:val="24"/>
        </w:rPr>
        <w:t>n</w:t>
      </w:r>
      <w:r w:rsidRPr="00E00F13">
        <w:rPr>
          <w:rFonts w:ascii="Arial" w:eastAsia="Arial" w:hAnsi="Arial" w:cs="Arial"/>
          <w:sz w:val="24"/>
          <w:szCs w:val="24"/>
        </w:rPr>
        <w:t>ocer y entender el cambio de paradigma y la nueva visión estratégica que ha estructurado el M</w:t>
      </w:r>
      <w:r w:rsidR="0E138988" w:rsidRPr="00E00F13">
        <w:rPr>
          <w:rFonts w:ascii="Arial" w:eastAsia="Arial" w:hAnsi="Arial" w:cs="Arial"/>
          <w:sz w:val="24"/>
          <w:szCs w:val="24"/>
        </w:rPr>
        <w:t>VCT con el marco normativo e institucional presente.</w:t>
      </w:r>
      <w:r w:rsidRPr="00E00F13">
        <w:rPr>
          <w:rFonts w:ascii="Arial" w:eastAsia="Arial" w:hAnsi="Arial" w:cs="Arial"/>
          <w:sz w:val="24"/>
          <w:szCs w:val="24"/>
        </w:rPr>
        <w:t xml:space="preserve"> </w:t>
      </w:r>
      <w:r w:rsidR="7ECE0764" w:rsidRPr="00E00F13">
        <w:rPr>
          <w:rFonts w:ascii="Arial" w:eastAsia="Arial" w:hAnsi="Arial" w:cs="Arial"/>
          <w:sz w:val="24"/>
          <w:szCs w:val="24"/>
        </w:rPr>
        <w:t xml:space="preserve">Se trata de poner en evidencia las transformaciones programáticas </w:t>
      </w:r>
      <w:r w:rsidR="3DCC3017" w:rsidRPr="00E00F13">
        <w:rPr>
          <w:rFonts w:ascii="Arial" w:eastAsia="Arial" w:hAnsi="Arial" w:cs="Arial"/>
          <w:sz w:val="24"/>
          <w:szCs w:val="24"/>
        </w:rPr>
        <w:t xml:space="preserve">y hacerlas realidad </w:t>
      </w:r>
      <w:r w:rsidR="7ECE0764" w:rsidRPr="00E00F13">
        <w:rPr>
          <w:rFonts w:ascii="Arial" w:eastAsia="Arial" w:hAnsi="Arial" w:cs="Arial"/>
          <w:sz w:val="24"/>
          <w:szCs w:val="24"/>
        </w:rPr>
        <w:t xml:space="preserve">en hechos. </w:t>
      </w:r>
    </w:p>
    <w:p w14:paraId="587F4F76" w14:textId="2AC57AF9" w:rsidR="009C6BEB" w:rsidRPr="00E00F13" w:rsidRDefault="009C6BEB" w:rsidP="3C9BA45B">
      <w:pPr>
        <w:spacing w:after="0" w:line="360" w:lineRule="auto"/>
        <w:ind w:left="-426"/>
        <w:contextualSpacing/>
        <w:jc w:val="both"/>
        <w:rPr>
          <w:rFonts w:ascii="Arial" w:eastAsia="Arial" w:hAnsi="Arial" w:cs="Arial"/>
          <w:sz w:val="24"/>
          <w:szCs w:val="24"/>
        </w:rPr>
      </w:pPr>
    </w:p>
    <w:p w14:paraId="68B4550B" w14:textId="692F755D" w:rsidR="009C6BEB" w:rsidRPr="00E00F13" w:rsidRDefault="009C6BEB" w:rsidP="003F26BE">
      <w:pPr>
        <w:spacing w:after="0" w:line="360" w:lineRule="auto"/>
        <w:jc w:val="both"/>
        <w:rPr>
          <w:rFonts w:ascii="Arial" w:hAnsi="Arial" w:cs="Arial"/>
          <w:sz w:val="24"/>
          <w:szCs w:val="24"/>
        </w:rPr>
      </w:pPr>
    </w:p>
    <w:p w14:paraId="1870487E" w14:textId="77777777" w:rsidR="00555E50" w:rsidRDefault="00555E50" w:rsidP="00555E50"/>
    <w:p w14:paraId="75C9BA38" w14:textId="7625FDB5" w:rsidR="00555E50" w:rsidRDefault="00555E50" w:rsidP="00555E50">
      <w:pPr>
        <w:pStyle w:val="Ttulo1"/>
        <w:jc w:val="both"/>
      </w:pPr>
      <w:bookmarkStart w:id="180" w:name="_Toc234242901"/>
      <w:r w:rsidRPr="009B1425">
        <w:t>5. Hacia una política más integral con enfoque de derechos</w:t>
      </w:r>
      <w:bookmarkEnd w:id="180"/>
      <w:r w:rsidRPr="009B1425">
        <w:t xml:space="preserve"> </w:t>
      </w:r>
    </w:p>
    <w:p w14:paraId="5C0AC1F6" w14:textId="77777777" w:rsidR="00767099" w:rsidRDefault="00767099" w:rsidP="00555E50">
      <w:pPr>
        <w:spacing w:line="360" w:lineRule="auto"/>
        <w:jc w:val="both"/>
      </w:pPr>
    </w:p>
    <w:p w14:paraId="090892F0" w14:textId="06B4AAD8" w:rsidR="00555E50" w:rsidRPr="00767099" w:rsidRDefault="00555E50" w:rsidP="00767099">
      <w:pPr>
        <w:spacing w:line="360" w:lineRule="auto"/>
        <w:jc w:val="both"/>
        <w:rPr>
          <w:rFonts w:ascii="Arial" w:hAnsi="Arial" w:cs="Arial"/>
          <w:sz w:val="24"/>
          <w:szCs w:val="24"/>
        </w:rPr>
      </w:pPr>
      <w:r w:rsidRPr="00767099">
        <w:rPr>
          <w:rFonts w:ascii="Arial" w:hAnsi="Arial" w:cs="Arial"/>
          <w:sz w:val="24"/>
          <w:szCs w:val="24"/>
        </w:rPr>
        <w:t xml:space="preserve">La transición hacia un enfoque de derechos implica cambiar la visión que había sobre la vivienda, dejando de ser </w:t>
      </w:r>
      <w:proofErr w:type="gramStart"/>
      <w:r w:rsidRPr="00767099">
        <w:rPr>
          <w:rFonts w:ascii="Arial" w:hAnsi="Arial" w:cs="Arial"/>
          <w:sz w:val="24"/>
          <w:szCs w:val="24"/>
        </w:rPr>
        <w:t>un apuesta</w:t>
      </w:r>
      <w:proofErr w:type="gramEnd"/>
      <w:r w:rsidRPr="00767099">
        <w:rPr>
          <w:rFonts w:ascii="Arial" w:hAnsi="Arial" w:cs="Arial"/>
          <w:sz w:val="24"/>
          <w:szCs w:val="24"/>
        </w:rPr>
        <w:t xml:space="preserve"> de inversión con rentabilidad económica para darle lugar a la construcción de un hábitat digno que responda a las necesidades poblacionales.</w:t>
      </w:r>
    </w:p>
    <w:p w14:paraId="0C5B890A" w14:textId="0ABF7FF9" w:rsidR="00555E50" w:rsidRPr="00767099" w:rsidRDefault="00555E50" w:rsidP="00767099">
      <w:pPr>
        <w:spacing w:line="360" w:lineRule="auto"/>
        <w:jc w:val="both"/>
        <w:rPr>
          <w:rFonts w:ascii="Arial" w:hAnsi="Arial" w:cs="Arial"/>
          <w:sz w:val="24"/>
          <w:szCs w:val="24"/>
        </w:rPr>
      </w:pPr>
      <w:r w:rsidRPr="00767099">
        <w:rPr>
          <w:rFonts w:ascii="Arial" w:hAnsi="Arial" w:cs="Arial"/>
          <w:sz w:val="24"/>
          <w:szCs w:val="24"/>
        </w:rPr>
        <w:t>El modelo de Mi Casa Ya no contó con políticas de focalización ni priorización poblacional, ya que ha funcionado en orden de llegada una vez que se cumplía con las condiciones de acceso. Las condiciones las dictaba el mercado, los parámetros de la oferta los desarrollaba el privado, por lo que había una falta de respuesta a condiciones diferenciales y no se estaba reconociendo los modos de vida, materialidades, espacialidades y necesidades específicas de muchos de los grupos poblacionales. La carga presupuestal del programa tal como fue diseñado generaba un problema a largo plazo, ya que los subsidios de coberturas y la tasa de interés por siete años comprometen gran parte del presupuesto público del sector, impidiendo el desarrollo de nuevos programas.</w:t>
      </w:r>
    </w:p>
    <w:p w14:paraId="0B4A8AC7" w14:textId="6F9D1A31" w:rsidR="00555E50" w:rsidRPr="00767099" w:rsidRDefault="00555E50" w:rsidP="00767099">
      <w:pPr>
        <w:spacing w:line="360" w:lineRule="auto"/>
        <w:jc w:val="both"/>
        <w:rPr>
          <w:rFonts w:ascii="Arial" w:hAnsi="Arial" w:cs="Arial"/>
          <w:sz w:val="24"/>
          <w:szCs w:val="24"/>
        </w:rPr>
      </w:pPr>
      <w:r w:rsidRPr="00767099">
        <w:rPr>
          <w:rFonts w:ascii="Arial" w:hAnsi="Arial" w:cs="Arial"/>
          <w:sz w:val="24"/>
          <w:szCs w:val="24"/>
        </w:rPr>
        <w:t xml:space="preserve">Dejar de entender el subsidio como un equivalente a un instrumento de financiamiento nos permite explorar otras opciones de intervención que generan mayor asequibilidad y accesibilidad. El subsidio puede ser suelo, vivienda en </w:t>
      </w:r>
      <w:r w:rsidRPr="00767099">
        <w:rPr>
          <w:rFonts w:ascii="Arial" w:hAnsi="Arial" w:cs="Arial"/>
          <w:sz w:val="24"/>
          <w:szCs w:val="24"/>
        </w:rPr>
        <w:lastRenderedPageBreak/>
        <w:t>especie (entregada por la Sociedad de Activos Especiales, SAE), autoconstrucción (materiales), entre otros.</w:t>
      </w:r>
    </w:p>
    <w:p w14:paraId="23A94EEA" w14:textId="64F973DF" w:rsidR="00555E50" w:rsidRPr="00767099" w:rsidRDefault="00555E50" w:rsidP="00767099">
      <w:pPr>
        <w:spacing w:line="360" w:lineRule="auto"/>
        <w:jc w:val="both"/>
        <w:rPr>
          <w:rFonts w:ascii="Arial" w:hAnsi="Arial" w:cs="Arial"/>
          <w:sz w:val="24"/>
          <w:szCs w:val="24"/>
        </w:rPr>
      </w:pPr>
      <w:r w:rsidRPr="00767099">
        <w:rPr>
          <w:rFonts w:ascii="Arial" w:hAnsi="Arial" w:cs="Arial"/>
          <w:sz w:val="24"/>
          <w:szCs w:val="24"/>
        </w:rPr>
        <w:t xml:space="preserve">Es por ello </w:t>
      </w:r>
      <w:proofErr w:type="gramStart"/>
      <w:r w:rsidRPr="00767099">
        <w:rPr>
          <w:rFonts w:ascii="Arial" w:hAnsi="Arial" w:cs="Arial"/>
          <w:sz w:val="24"/>
          <w:szCs w:val="24"/>
        </w:rPr>
        <w:t>que</w:t>
      </w:r>
      <w:proofErr w:type="gramEnd"/>
      <w:r w:rsidRPr="00767099">
        <w:rPr>
          <w:rFonts w:ascii="Arial" w:hAnsi="Arial" w:cs="Arial"/>
          <w:sz w:val="24"/>
          <w:szCs w:val="24"/>
        </w:rPr>
        <w:t xml:space="preserve"> el Ministerio de Vivienda, Ciudad y Territorio ha desarrollado programas tales como Barrios de Paz, autogestión, vivienda usada y mejoramientos de vivienda con nuevas modalidades de gestión y tipologías de intervención, entre otros, que buscan establecer un catálogo de soluciones diferenciales que den respuesta a los diferentes segmentos poblacionales.</w:t>
      </w:r>
    </w:p>
    <w:p w14:paraId="31452E44" w14:textId="7A85401C" w:rsidR="00555E50" w:rsidRPr="00767099" w:rsidRDefault="00555E50" w:rsidP="00767099">
      <w:pPr>
        <w:spacing w:line="360" w:lineRule="auto"/>
        <w:jc w:val="both"/>
        <w:rPr>
          <w:rFonts w:ascii="Arial" w:hAnsi="Arial" w:cs="Arial"/>
          <w:sz w:val="24"/>
          <w:szCs w:val="24"/>
        </w:rPr>
      </w:pPr>
      <w:r w:rsidRPr="00767099">
        <w:rPr>
          <w:rFonts w:ascii="Arial" w:hAnsi="Arial" w:cs="Arial"/>
          <w:sz w:val="24"/>
          <w:szCs w:val="24"/>
        </w:rPr>
        <w:t xml:space="preserve">El MVCT tiene un mandato establecido por el Artículo 51 de la Constitución Política de Colombia, que establece que todos los colombianos y colombianas tienen derecho a vivienda digna. </w:t>
      </w:r>
      <w:proofErr w:type="gramStart"/>
      <w:r w:rsidRPr="00767099">
        <w:rPr>
          <w:rFonts w:ascii="Arial" w:hAnsi="Arial" w:cs="Arial"/>
          <w:sz w:val="24"/>
          <w:szCs w:val="24"/>
        </w:rPr>
        <w:t>Y</w:t>
      </w:r>
      <w:proofErr w:type="gramEnd"/>
      <w:r w:rsidRPr="00767099">
        <w:rPr>
          <w:rFonts w:ascii="Arial" w:hAnsi="Arial" w:cs="Arial"/>
          <w:sz w:val="24"/>
          <w:szCs w:val="24"/>
        </w:rPr>
        <w:t xml:space="preserve"> además, la Constitución indica que el Estado fijará las condiciones necesarias para hacer efectivo este derecho y promoverá planes de vivienda de interés social, sistemas adecuados de financiación a largo plazo y formas asociativas de ejecución de estos programas de vivienda. </w:t>
      </w:r>
    </w:p>
    <w:p w14:paraId="541E558D" w14:textId="50DF1C09" w:rsidR="00555E50" w:rsidRPr="00767099" w:rsidRDefault="00555E50" w:rsidP="00767099">
      <w:pPr>
        <w:spacing w:line="360" w:lineRule="auto"/>
        <w:jc w:val="both"/>
        <w:rPr>
          <w:rFonts w:ascii="Arial" w:hAnsi="Arial" w:cs="Arial"/>
          <w:sz w:val="24"/>
          <w:szCs w:val="24"/>
        </w:rPr>
      </w:pPr>
      <w:r w:rsidRPr="00767099">
        <w:rPr>
          <w:rFonts w:ascii="Arial" w:hAnsi="Arial" w:cs="Arial"/>
          <w:sz w:val="24"/>
          <w:szCs w:val="24"/>
        </w:rPr>
        <w:t>En el marco de este artículo, el Ministerio está implementando políticas y programas integrales con enfoque diferencial que apuntan a ampliar la cobertura tanto poblacional como territorial y a garantizar los derechos de la población más vulnerable.</w:t>
      </w:r>
    </w:p>
    <w:p w14:paraId="2AC4EB59" w14:textId="77777777" w:rsidR="00555E50" w:rsidRPr="00767099" w:rsidRDefault="00555E50" w:rsidP="00767099">
      <w:pPr>
        <w:spacing w:line="360" w:lineRule="auto"/>
        <w:jc w:val="both"/>
        <w:rPr>
          <w:rFonts w:ascii="Arial" w:hAnsi="Arial" w:cs="Arial"/>
          <w:sz w:val="24"/>
          <w:szCs w:val="24"/>
        </w:rPr>
      </w:pPr>
      <w:r w:rsidRPr="00767099">
        <w:rPr>
          <w:rFonts w:ascii="Arial" w:hAnsi="Arial" w:cs="Arial"/>
          <w:sz w:val="24"/>
          <w:szCs w:val="24"/>
        </w:rPr>
        <w:t>El cambio ha sido claro. La vivienda es un medio, no el resultado final, y el agua apta para el consumo humano y el saneamiento son un derecho humano. Lo que se busca es que la vivienda y el agua y el saneamiento básico sean un vehículo para:</w:t>
      </w:r>
    </w:p>
    <w:p w14:paraId="5F85891A" w14:textId="77777777" w:rsidR="00555E50" w:rsidRPr="00767099" w:rsidRDefault="00555E50" w:rsidP="00767099">
      <w:pPr>
        <w:pStyle w:val="Prrafodelista"/>
        <w:numPr>
          <w:ilvl w:val="0"/>
          <w:numId w:val="66"/>
        </w:numPr>
        <w:spacing w:after="0" w:line="360" w:lineRule="auto"/>
        <w:jc w:val="both"/>
        <w:rPr>
          <w:rFonts w:ascii="Arial" w:hAnsi="Arial" w:cs="Arial"/>
          <w:sz w:val="24"/>
          <w:szCs w:val="24"/>
        </w:rPr>
      </w:pPr>
      <w:r w:rsidRPr="00767099">
        <w:rPr>
          <w:rFonts w:ascii="Arial" w:hAnsi="Arial" w:cs="Arial"/>
          <w:sz w:val="24"/>
          <w:szCs w:val="24"/>
        </w:rPr>
        <w:t>Construir un hábitat digno y sostenible.</w:t>
      </w:r>
    </w:p>
    <w:p w14:paraId="20E98722" w14:textId="77777777" w:rsidR="00555E50" w:rsidRPr="00767099" w:rsidRDefault="00555E50" w:rsidP="00767099">
      <w:pPr>
        <w:pStyle w:val="Prrafodelista"/>
        <w:numPr>
          <w:ilvl w:val="0"/>
          <w:numId w:val="66"/>
        </w:numPr>
        <w:spacing w:after="0" w:line="360" w:lineRule="auto"/>
        <w:jc w:val="both"/>
        <w:rPr>
          <w:rFonts w:ascii="Arial" w:hAnsi="Arial" w:cs="Arial"/>
          <w:sz w:val="24"/>
          <w:szCs w:val="24"/>
        </w:rPr>
      </w:pPr>
      <w:r w:rsidRPr="00767099">
        <w:rPr>
          <w:rFonts w:ascii="Arial" w:hAnsi="Arial" w:cs="Arial"/>
          <w:sz w:val="24"/>
          <w:szCs w:val="24"/>
        </w:rPr>
        <w:t>Fortalecer organizaciones sociales de base.</w:t>
      </w:r>
    </w:p>
    <w:p w14:paraId="39F1F147" w14:textId="77777777" w:rsidR="00555E50" w:rsidRPr="00767099" w:rsidRDefault="00555E50" w:rsidP="00767099">
      <w:pPr>
        <w:pStyle w:val="Prrafodelista"/>
        <w:numPr>
          <w:ilvl w:val="0"/>
          <w:numId w:val="66"/>
        </w:numPr>
        <w:spacing w:after="0" w:line="360" w:lineRule="auto"/>
        <w:jc w:val="both"/>
        <w:rPr>
          <w:rFonts w:ascii="Arial" w:hAnsi="Arial" w:cs="Arial"/>
          <w:sz w:val="24"/>
          <w:szCs w:val="24"/>
        </w:rPr>
      </w:pPr>
      <w:r w:rsidRPr="00767099">
        <w:rPr>
          <w:rFonts w:ascii="Arial" w:hAnsi="Arial" w:cs="Arial"/>
          <w:sz w:val="24"/>
          <w:szCs w:val="24"/>
        </w:rPr>
        <w:t>Generar mayor apropiación social sobre el territorio donde se construyen las viviendas.</w:t>
      </w:r>
    </w:p>
    <w:p w14:paraId="5B94C0BB" w14:textId="55B366B7" w:rsidR="00555E50" w:rsidRPr="00767099" w:rsidRDefault="00555E50" w:rsidP="00767099">
      <w:pPr>
        <w:pStyle w:val="Prrafodelista"/>
        <w:numPr>
          <w:ilvl w:val="0"/>
          <w:numId w:val="66"/>
        </w:numPr>
        <w:spacing w:after="0" w:line="360" w:lineRule="auto"/>
        <w:jc w:val="both"/>
        <w:rPr>
          <w:rFonts w:ascii="Arial" w:hAnsi="Arial" w:cs="Arial"/>
          <w:sz w:val="24"/>
          <w:szCs w:val="24"/>
        </w:rPr>
      </w:pPr>
      <w:r w:rsidRPr="00767099">
        <w:rPr>
          <w:rFonts w:ascii="Arial" w:hAnsi="Arial" w:cs="Arial"/>
          <w:sz w:val="24"/>
          <w:szCs w:val="24"/>
        </w:rPr>
        <w:t>Garantizar la sostenibilidad de los procesos en el tiempo.</w:t>
      </w:r>
    </w:p>
    <w:p w14:paraId="74B2A550" w14:textId="77777777" w:rsidR="00555E50" w:rsidRPr="00767099" w:rsidRDefault="00555E50" w:rsidP="00767099">
      <w:pPr>
        <w:spacing w:line="360" w:lineRule="auto"/>
        <w:jc w:val="both"/>
        <w:rPr>
          <w:rFonts w:ascii="Arial" w:hAnsi="Arial" w:cs="Arial"/>
          <w:sz w:val="24"/>
          <w:szCs w:val="24"/>
        </w:rPr>
      </w:pPr>
      <w:r w:rsidRPr="00767099">
        <w:rPr>
          <w:rFonts w:ascii="Arial" w:hAnsi="Arial" w:cs="Arial"/>
          <w:sz w:val="24"/>
          <w:szCs w:val="24"/>
        </w:rPr>
        <w:t>Además,</w:t>
      </w:r>
    </w:p>
    <w:p w14:paraId="047CF709" w14:textId="77777777" w:rsidR="00555E50" w:rsidRPr="00767099" w:rsidRDefault="00555E50" w:rsidP="00767099">
      <w:pPr>
        <w:pStyle w:val="Prrafodelista"/>
        <w:numPr>
          <w:ilvl w:val="0"/>
          <w:numId w:val="67"/>
        </w:numPr>
        <w:spacing w:after="0" w:line="360" w:lineRule="auto"/>
        <w:jc w:val="both"/>
        <w:rPr>
          <w:rFonts w:ascii="Arial" w:hAnsi="Arial" w:cs="Arial"/>
          <w:sz w:val="24"/>
          <w:szCs w:val="24"/>
        </w:rPr>
      </w:pPr>
      <w:r w:rsidRPr="00767099">
        <w:rPr>
          <w:rFonts w:ascii="Arial" w:hAnsi="Arial" w:cs="Arial"/>
          <w:sz w:val="24"/>
          <w:szCs w:val="24"/>
        </w:rPr>
        <w:t xml:space="preserve">Reconocer el proceso comunitario y no únicamente la casa, el acueducto, el alcantarillado o los sistemas de disposición de residuos como producto final. </w:t>
      </w:r>
    </w:p>
    <w:p w14:paraId="491DC93E" w14:textId="77777777" w:rsidR="00555E50" w:rsidRPr="00767099" w:rsidRDefault="00555E50" w:rsidP="00767099">
      <w:pPr>
        <w:pStyle w:val="Prrafodelista"/>
        <w:numPr>
          <w:ilvl w:val="0"/>
          <w:numId w:val="67"/>
        </w:numPr>
        <w:spacing w:after="0" w:line="360" w:lineRule="auto"/>
        <w:jc w:val="both"/>
        <w:rPr>
          <w:rFonts w:ascii="Arial" w:hAnsi="Arial" w:cs="Arial"/>
          <w:sz w:val="24"/>
          <w:szCs w:val="24"/>
        </w:rPr>
      </w:pPr>
      <w:r w:rsidRPr="00767099">
        <w:rPr>
          <w:rFonts w:ascii="Arial" w:hAnsi="Arial" w:cs="Arial"/>
          <w:sz w:val="24"/>
          <w:szCs w:val="24"/>
        </w:rPr>
        <w:lastRenderedPageBreak/>
        <w:t>Respetar e incorporar las múltiples formas de vivir y producir vivienda y hábitat según el territorio, la cultura, las materialidades y las prácticas sociales.</w:t>
      </w:r>
    </w:p>
    <w:p w14:paraId="16BE397A" w14:textId="77777777" w:rsidR="00555E50" w:rsidRPr="00767099" w:rsidRDefault="00555E50" w:rsidP="00767099">
      <w:pPr>
        <w:pStyle w:val="Prrafodelista"/>
        <w:numPr>
          <w:ilvl w:val="0"/>
          <w:numId w:val="67"/>
        </w:numPr>
        <w:spacing w:after="0" w:line="360" w:lineRule="auto"/>
        <w:jc w:val="both"/>
        <w:rPr>
          <w:rFonts w:ascii="Arial" w:hAnsi="Arial" w:cs="Arial"/>
          <w:sz w:val="24"/>
          <w:szCs w:val="24"/>
        </w:rPr>
      </w:pPr>
      <w:r w:rsidRPr="00767099">
        <w:rPr>
          <w:rFonts w:ascii="Arial" w:hAnsi="Arial" w:cs="Arial"/>
          <w:sz w:val="24"/>
          <w:szCs w:val="24"/>
        </w:rPr>
        <w:t xml:space="preserve">Fortalecer a la comunidad organizada para lograr procesos de autogestión y desarrollar proyectos que permitan y mejoren el acceso a agua para el consumo humano y el saneamiento básico. Entre ellos, continuar reconociendo a los recicladores de oficio como sujetos de especial protección y establecer acciones afirmativas orientadas a superar las condiciones históricas de exclusión en las que han desarrollado su labor. </w:t>
      </w:r>
    </w:p>
    <w:p w14:paraId="1AAFAAA8" w14:textId="77777777" w:rsidR="00555E50" w:rsidRPr="00767099" w:rsidRDefault="00555E50" w:rsidP="00767099">
      <w:pPr>
        <w:pStyle w:val="Prrafodelista"/>
        <w:numPr>
          <w:ilvl w:val="0"/>
          <w:numId w:val="67"/>
        </w:numPr>
        <w:spacing w:after="0" w:line="360" w:lineRule="auto"/>
        <w:jc w:val="both"/>
        <w:rPr>
          <w:rFonts w:ascii="Arial" w:hAnsi="Arial" w:cs="Arial"/>
          <w:sz w:val="24"/>
          <w:szCs w:val="24"/>
        </w:rPr>
      </w:pPr>
      <w:r w:rsidRPr="00767099">
        <w:rPr>
          <w:rFonts w:ascii="Arial" w:hAnsi="Arial" w:cs="Arial"/>
          <w:sz w:val="24"/>
          <w:szCs w:val="24"/>
        </w:rPr>
        <w:t>Reconocer el cambio climático en el mejoramiento de vivienda, así como un factor económico adicional para hogares con miembros con movilidad reducida, así como la incorporación real de los enfoques diferenciales y territoriales.</w:t>
      </w:r>
    </w:p>
    <w:p w14:paraId="10F30E04" w14:textId="77777777" w:rsidR="00555E50" w:rsidRPr="00767099" w:rsidRDefault="00555E50" w:rsidP="000F7056">
      <w:pPr>
        <w:spacing w:line="360" w:lineRule="auto"/>
        <w:jc w:val="both"/>
        <w:rPr>
          <w:rFonts w:ascii="Arial" w:hAnsi="Arial" w:cs="Arial"/>
          <w:sz w:val="24"/>
          <w:szCs w:val="24"/>
        </w:rPr>
      </w:pPr>
    </w:p>
    <w:p w14:paraId="576D5EF5" w14:textId="77777777" w:rsidR="00555E50" w:rsidRPr="00767099" w:rsidRDefault="00555E50" w:rsidP="000F7056">
      <w:pPr>
        <w:spacing w:line="360" w:lineRule="auto"/>
        <w:jc w:val="both"/>
        <w:rPr>
          <w:rFonts w:ascii="Arial" w:hAnsi="Arial" w:cs="Arial"/>
          <w:b/>
          <w:bCs/>
          <w:sz w:val="24"/>
          <w:szCs w:val="24"/>
        </w:rPr>
      </w:pPr>
      <w:r w:rsidRPr="00767099">
        <w:rPr>
          <w:rFonts w:ascii="Arial" w:hAnsi="Arial" w:cs="Arial"/>
          <w:b/>
          <w:bCs/>
          <w:sz w:val="24"/>
          <w:szCs w:val="24"/>
        </w:rPr>
        <w:t>A través del programa Mi Casa Ya solo se atiende un segmento específico de la población</w:t>
      </w:r>
    </w:p>
    <w:p w14:paraId="5DBF0389" w14:textId="6C8CED74" w:rsidR="00555E50" w:rsidRDefault="00555E50" w:rsidP="000F7056">
      <w:pPr>
        <w:spacing w:line="360" w:lineRule="auto"/>
        <w:jc w:val="both"/>
        <w:rPr>
          <w:rFonts w:ascii="Arial" w:hAnsi="Arial" w:cs="Arial"/>
          <w:sz w:val="24"/>
          <w:szCs w:val="24"/>
        </w:rPr>
      </w:pPr>
      <w:r w:rsidRPr="00767099">
        <w:rPr>
          <w:rFonts w:ascii="Arial" w:hAnsi="Arial" w:cs="Arial"/>
          <w:sz w:val="24"/>
          <w:szCs w:val="24"/>
        </w:rPr>
        <w:t>El programa de Mi Casa Ya busca atender un segmento específico de la población, hogares bancarizados, con acceso a crédito, capacidad de ahorro, trabajo formal e ingresos recurrentes, dejando por fuera la población con mayor grado de vulnerabilidad.</w:t>
      </w:r>
    </w:p>
    <w:p w14:paraId="03F77F82" w14:textId="77777777" w:rsidR="00555E50" w:rsidRPr="00767099" w:rsidRDefault="00555E50" w:rsidP="000F7056">
      <w:pPr>
        <w:spacing w:line="360" w:lineRule="auto"/>
        <w:jc w:val="both"/>
        <w:rPr>
          <w:rFonts w:ascii="Arial" w:hAnsi="Arial" w:cs="Arial"/>
          <w:b/>
          <w:bCs/>
          <w:sz w:val="24"/>
          <w:szCs w:val="24"/>
        </w:rPr>
      </w:pPr>
      <w:r w:rsidRPr="00767099">
        <w:rPr>
          <w:rFonts w:ascii="Arial" w:hAnsi="Arial" w:cs="Arial"/>
          <w:b/>
          <w:bCs/>
          <w:sz w:val="24"/>
          <w:szCs w:val="24"/>
        </w:rPr>
        <w:t>Con las políticas actuales del MVCT no se está dejando de atender el segmento que se atendía a través de Mi Casa Ya</w:t>
      </w:r>
    </w:p>
    <w:p w14:paraId="48E33E72" w14:textId="77777777" w:rsidR="00555E50" w:rsidRPr="00767099" w:rsidRDefault="00555E50" w:rsidP="000F7056">
      <w:pPr>
        <w:spacing w:line="360" w:lineRule="auto"/>
        <w:jc w:val="both"/>
        <w:rPr>
          <w:rFonts w:ascii="Arial" w:hAnsi="Arial" w:cs="Arial"/>
          <w:sz w:val="24"/>
          <w:szCs w:val="24"/>
        </w:rPr>
      </w:pPr>
      <w:r w:rsidRPr="00767099">
        <w:rPr>
          <w:rFonts w:ascii="Arial" w:hAnsi="Arial" w:cs="Arial"/>
          <w:sz w:val="24"/>
          <w:szCs w:val="24"/>
        </w:rPr>
        <w:t>Es importante destacar que, con la apuesta actual, no estamos dejando de atender el segmento poblacional que atendía Mi Casa Ya, porque están habilitados otros mecanismos de acceso a su disposición como los subsidios entregados por las Cajas de Compensación Familiar, los cuales operan de forma similar.</w:t>
      </w:r>
    </w:p>
    <w:p w14:paraId="283D494E" w14:textId="77777777" w:rsidR="00555E50" w:rsidRPr="00767099" w:rsidRDefault="00555E50" w:rsidP="000F7056">
      <w:pPr>
        <w:spacing w:line="360" w:lineRule="auto"/>
        <w:jc w:val="both"/>
        <w:rPr>
          <w:rFonts w:ascii="Arial" w:hAnsi="Arial" w:cs="Arial"/>
          <w:b/>
          <w:bCs/>
          <w:sz w:val="24"/>
          <w:szCs w:val="24"/>
        </w:rPr>
      </w:pPr>
      <w:r w:rsidRPr="00767099">
        <w:rPr>
          <w:rFonts w:ascii="Arial" w:hAnsi="Arial" w:cs="Arial"/>
          <w:b/>
          <w:bCs/>
          <w:sz w:val="24"/>
          <w:szCs w:val="24"/>
        </w:rPr>
        <w:t>Es un modelo que no permite al Estado fijar las condiciones</w:t>
      </w:r>
    </w:p>
    <w:p w14:paraId="5231F001" w14:textId="77777777" w:rsidR="00555E50" w:rsidRPr="00767099" w:rsidRDefault="00555E50" w:rsidP="000F7056">
      <w:pPr>
        <w:spacing w:line="360" w:lineRule="auto"/>
        <w:jc w:val="both"/>
        <w:rPr>
          <w:rFonts w:ascii="Arial" w:hAnsi="Arial" w:cs="Arial"/>
          <w:sz w:val="24"/>
          <w:szCs w:val="24"/>
        </w:rPr>
      </w:pPr>
      <w:r w:rsidRPr="00767099">
        <w:rPr>
          <w:rFonts w:ascii="Arial" w:hAnsi="Arial" w:cs="Arial"/>
          <w:sz w:val="24"/>
          <w:szCs w:val="24"/>
        </w:rPr>
        <w:t xml:space="preserve">De igual manera, es una estrategia fundamentalmente urbana ya que está supeditada a las condiciones del mercado y a la oferta generada por privados. Es </w:t>
      </w:r>
      <w:r w:rsidRPr="00767099">
        <w:rPr>
          <w:rFonts w:ascii="Arial" w:hAnsi="Arial" w:cs="Arial"/>
          <w:sz w:val="24"/>
          <w:szCs w:val="24"/>
        </w:rPr>
        <w:lastRenderedPageBreak/>
        <w:t>decir, la lógica de acceso está marcada por la rentabilidad, concentrando así la oferta y la inversión en ciudades como Bogotá, Medellín, Cali y Barranquilla.</w:t>
      </w:r>
    </w:p>
    <w:p w14:paraId="557D9DB0" w14:textId="77777777" w:rsidR="00555E50" w:rsidRPr="00767099" w:rsidRDefault="00555E50" w:rsidP="000F7056">
      <w:pPr>
        <w:spacing w:line="360" w:lineRule="auto"/>
        <w:jc w:val="both"/>
        <w:rPr>
          <w:rFonts w:ascii="Arial" w:hAnsi="Arial" w:cs="Arial"/>
          <w:b/>
          <w:bCs/>
          <w:sz w:val="24"/>
          <w:szCs w:val="24"/>
        </w:rPr>
      </w:pPr>
      <w:r w:rsidRPr="00767099">
        <w:rPr>
          <w:rFonts w:ascii="Arial" w:hAnsi="Arial" w:cs="Arial"/>
          <w:b/>
          <w:bCs/>
          <w:sz w:val="24"/>
          <w:szCs w:val="24"/>
        </w:rPr>
        <w:t>Diversidad en la oferta</w:t>
      </w:r>
    </w:p>
    <w:p w14:paraId="4F175B21" w14:textId="77777777" w:rsidR="00555E50" w:rsidRPr="00767099" w:rsidRDefault="00555E50" w:rsidP="000F7056">
      <w:pPr>
        <w:spacing w:line="360" w:lineRule="auto"/>
        <w:jc w:val="both"/>
        <w:rPr>
          <w:rFonts w:ascii="Arial" w:hAnsi="Arial" w:cs="Arial"/>
          <w:sz w:val="24"/>
          <w:szCs w:val="24"/>
        </w:rPr>
      </w:pPr>
      <w:r w:rsidRPr="00767099">
        <w:rPr>
          <w:rFonts w:ascii="Arial" w:hAnsi="Arial" w:cs="Arial"/>
          <w:sz w:val="24"/>
          <w:szCs w:val="24"/>
        </w:rPr>
        <w:t>Un problema complejo como la vivienda requiere respuestas diversas que se adapten a las necesidades de los diferentes grupos poblacionales y que reconozcan sus particularidades, de tal manera que sea posible tener un impacto real en la disminución del déficit. Diversificar las apuestas nos permite llegar a más lugares y dinamizar el sector, estamos yendo a la raíz del problema y apostando por soluciones estructurales que den respuestas de fondo y sean sostenibles a largo plazo.</w:t>
      </w:r>
    </w:p>
    <w:p w14:paraId="50425496" w14:textId="77777777" w:rsidR="00555E50" w:rsidRPr="00767099" w:rsidRDefault="00555E50" w:rsidP="000F7056">
      <w:pPr>
        <w:spacing w:line="360" w:lineRule="auto"/>
        <w:jc w:val="both"/>
        <w:rPr>
          <w:rFonts w:ascii="Arial" w:hAnsi="Arial" w:cs="Arial"/>
          <w:b/>
          <w:bCs/>
          <w:sz w:val="24"/>
          <w:szCs w:val="24"/>
        </w:rPr>
      </w:pPr>
      <w:r w:rsidRPr="00767099">
        <w:rPr>
          <w:rFonts w:ascii="Arial" w:hAnsi="Arial" w:cs="Arial"/>
          <w:b/>
          <w:bCs/>
          <w:sz w:val="24"/>
          <w:szCs w:val="24"/>
        </w:rPr>
        <w:t>Priorizar la demanda sobre la oferta</w:t>
      </w:r>
    </w:p>
    <w:p w14:paraId="1BB3D363" w14:textId="77777777" w:rsidR="00555E50" w:rsidRPr="00767099" w:rsidRDefault="00555E50" w:rsidP="000F7056">
      <w:pPr>
        <w:spacing w:line="360" w:lineRule="auto"/>
        <w:jc w:val="both"/>
        <w:rPr>
          <w:rFonts w:ascii="Arial" w:hAnsi="Arial" w:cs="Arial"/>
          <w:b/>
          <w:bCs/>
          <w:sz w:val="24"/>
          <w:szCs w:val="24"/>
        </w:rPr>
      </w:pPr>
      <w:r w:rsidRPr="00767099">
        <w:rPr>
          <w:rFonts w:ascii="Arial" w:hAnsi="Arial" w:cs="Arial"/>
          <w:sz w:val="24"/>
          <w:szCs w:val="24"/>
        </w:rPr>
        <w:t>El cambio de política de vivienda permitió aumentar la cobertura tanto poblacional como territorial ya que dejamos de responder a la oferta para empezar a responder a la demanda. No estamos condicionados por la oferta privada, centrándonos únicamente en la disminución del déficit cuantitativo, sino que apostamos por la priorización de hogares con vulnerabilidad estructural en zonas periféricas del país, donde a las constructoras privadas no les es rentable invertir, dándole relevancia a los contextos rurales.</w:t>
      </w:r>
    </w:p>
    <w:p w14:paraId="7F03DBD3" w14:textId="77777777" w:rsidR="00555E50" w:rsidRPr="00767099" w:rsidRDefault="00555E50" w:rsidP="000F7056">
      <w:pPr>
        <w:spacing w:line="360" w:lineRule="auto"/>
        <w:jc w:val="both"/>
        <w:rPr>
          <w:rFonts w:ascii="Arial" w:hAnsi="Arial" w:cs="Arial"/>
          <w:b/>
          <w:bCs/>
          <w:sz w:val="24"/>
          <w:szCs w:val="24"/>
        </w:rPr>
      </w:pPr>
      <w:r w:rsidRPr="00767099">
        <w:rPr>
          <w:rFonts w:ascii="Arial" w:hAnsi="Arial" w:cs="Arial"/>
          <w:b/>
          <w:bCs/>
          <w:sz w:val="24"/>
          <w:szCs w:val="24"/>
        </w:rPr>
        <w:t>Enfoque diferencial</w:t>
      </w:r>
    </w:p>
    <w:p w14:paraId="52152FE0" w14:textId="77777777" w:rsidR="00555E50" w:rsidRPr="00767099" w:rsidRDefault="00555E50" w:rsidP="000F7056">
      <w:pPr>
        <w:spacing w:line="360" w:lineRule="auto"/>
        <w:jc w:val="both"/>
        <w:rPr>
          <w:rFonts w:ascii="Arial" w:hAnsi="Arial" w:cs="Arial"/>
          <w:sz w:val="24"/>
          <w:szCs w:val="24"/>
        </w:rPr>
      </w:pPr>
      <w:r w:rsidRPr="00767099">
        <w:rPr>
          <w:rFonts w:ascii="Arial" w:hAnsi="Arial" w:cs="Arial"/>
          <w:sz w:val="24"/>
          <w:szCs w:val="24"/>
        </w:rPr>
        <w:t>Los diez departamentos con mayor reducción del déficit cuantitativo en estos cuatro años nos hablan de una nueva mirada sobre la accesibilidad y asequibilidad en el país.</w:t>
      </w:r>
    </w:p>
    <w:p w14:paraId="11DA98BE" w14:textId="77777777" w:rsidR="00555E50" w:rsidRPr="00767099" w:rsidRDefault="00555E50" w:rsidP="000F7056">
      <w:pPr>
        <w:spacing w:line="360" w:lineRule="auto"/>
        <w:jc w:val="both"/>
        <w:rPr>
          <w:rFonts w:ascii="Arial" w:hAnsi="Arial" w:cs="Arial"/>
          <w:sz w:val="24"/>
          <w:szCs w:val="24"/>
        </w:rPr>
      </w:pPr>
    </w:p>
    <w:p w14:paraId="0A2267E0" w14:textId="77777777" w:rsidR="00555E50" w:rsidRPr="00767099" w:rsidRDefault="00555E50" w:rsidP="00767099">
      <w:pPr>
        <w:pStyle w:val="Ttulo2"/>
        <w:jc w:val="both"/>
        <w:rPr>
          <w:rFonts w:ascii="Arial" w:hAnsi="Arial" w:cs="Arial"/>
          <w:color w:val="156082"/>
          <w:sz w:val="24"/>
          <w:szCs w:val="24"/>
        </w:rPr>
      </w:pPr>
      <w:bookmarkStart w:id="181" w:name="_Toc234242902"/>
      <w:r w:rsidRPr="00767099">
        <w:rPr>
          <w:rFonts w:ascii="Arial" w:hAnsi="Arial" w:cs="Arial"/>
          <w:color w:val="156082"/>
          <w:sz w:val="24"/>
          <w:szCs w:val="24"/>
        </w:rPr>
        <w:t>5.1. Hitos del hábitat en vivienda y agua apta para el consumo humano y saneamiento básico</w:t>
      </w:r>
      <w:bookmarkEnd w:id="181"/>
      <w:r w:rsidRPr="00767099">
        <w:rPr>
          <w:rFonts w:ascii="Arial" w:hAnsi="Arial" w:cs="Arial"/>
          <w:color w:val="156082"/>
          <w:sz w:val="24"/>
          <w:szCs w:val="24"/>
        </w:rPr>
        <w:t xml:space="preserve"> </w:t>
      </w:r>
    </w:p>
    <w:p w14:paraId="64F7AE5A" w14:textId="77777777" w:rsidR="00555E50" w:rsidRPr="00767099" w:rsidRDefault="00555E50" w:rsidP="00767099">
      <w:pPr>
        <w:jc w:val="both"/>
        <w:rPr>
          <w:rFonts w:ascii="Arial" w:hAnsi="Arial" w:cs="Arial"/>
          <w:sz w:val="24"/>
          <w:szCs w:val="24"/>
        </w:rPr>
      </w:pPr>
    </w:p>
    <w:p w14:paraId="0CE89275" w14:textId="77777777" w:rsidR="00555E50" w:rsidRPr="00767099" w:rsidRDefault="00555E50" w:rsidP="00767099">
      <w:pPr>
        <w:jc w:val="both"/>
        <w:rPr>
          <w:rFonts w:ascii="Arial" w:hAnsi="Arial" w:cs="Arial"/>
          <w:b/>
          <w:bCs/>
          <w:sz w:val="24"/>
          <w:szCs w:val="24"/>
        </w:rPr>
      </w:pPr>
      <w:r w:rsidRPr="00767099">
        <w:rPr>
          <w:rFonts w:ascii="Arial" w:hAnsi="Arial" w:cs="Arial"/>
          <w:b/>
          <w:bCs/>
          <w:sz w:val="24"/>
          <w:szCs w:val="24"/>
        </w:rPr>
        <w:t>Déficit cualitativo y déficit cuantitativo</w:t>
      </w:r>
    </w:p>
    <w:p w14:paraId="51474B39" w14:textId="6AFAB635" w:rsidR="00555E50" w:rsidRPr="00767099" w:rsidRDefault="00555E50" w:rsidP="00767099">
      <w:pPr>
        <w:spacing w:line="360" w:lineRule="auto"/>
        <w:jc w:val="both"/>
        <w:rPr>
          <w:rFonts w:ascii="Arial" w:hAnsi="Arial" w:cs="Arial"/>
          <w:sz w:val="24"/>
          <w:szCs w:val="24"/>
        </w:rPr>
      </w:pPr>
      <w:r w:rsidRPr="00767099">
        <w:rPr>
          <w:rFonts w:ascii="Arial" w:hAnsi="Arial" w:cs="Arial"/>
          <w:sz w:val="24"/>
          <w:szCs w:val="24"/>
        </w:rPr>
        <w:t xml:space="preserve">La pregunta que dio origen a la política de hábitat fue ¿cuál es el déficit habitacional en Colombia? En Colombia el déficit habitacional llega al 26,8%. De ese 26,8% del </w:t>
      </w:r>
      <w:r w:rsidRPr="00767099">
        <w:rPr>
          <w:rFonts w:ascii="Arial" w:hAnsi="Arial" w:cs="Arial"/>
          <w:sz w:val="24"/>
          <w:szCs w:val="24"/>
        </w:rPr>
        <w:lastRenderedPageBreak/>
        <w:t xml:space="preserve">déficit, el 76% es cualitativo y apenas el 24% cuantitativo, </w:t>
      </w:r>
      <w:proofErr w:type="gramStart"/>
      <w:r w:rsidRPr="00767099">
        <w:rPr>
          <w:rFonts w:ascii="Arial" w:hAnsi="Arial" w:cs="Arial"/>
          <w:sz w:val="24"/>
          <w:szCs w:val="24"/>
        </w:rPr>
        <w:t>y</w:t>
      </w:r>
      <w:proofErr w:type="gramEnd"/>
      <w:r w:rsidRPr="00767099">
        <w:rPr>
          <w:rFonts w:ascii="Arial" w:hAnsi="Arial" w:cs="Arial"/>
          <w:sz w:val="24"/>
          <w:szCs w:val="24"/>
        </w:rPr>
        <w:t xml:space="preserve"> sin embargo, los anteriores gobiernos lo que hicieron fue invertir el 74% de los recursos en paliar el déficit cuantitativo y apenas el 26% del recurso en el déficit cualitativo. Es decir, se ocuparon del 26,8 correspondiente al déficit cuantitativo y dejaron menos recursos para sanar el 76% del déficit, que corresponde a lo cualitativo. Por eso nos referimos, como ministerio, a una corrección técnico-ética.</w:t>
      </w:r>
    </w:p>
    <w:p w14:paraId="09FAC24C" w14:textId="052EF1BA" w:rsidR="00555E50" w:rsidRPr="00767099" w:rsidRDefault="00555E50" w:rsidP="00767099">
      <w:pPr>
        <w:spacing w:line="360" w:lineRule="auto"/>
        <w:jc w:val="both"/>
        <w:rPr>
          <w:rFonts w:ascii="Arial" w:hAnsi="Arial" w:cs="Arial"/>
          <w:sz w:val="24"/>
          <w:szCs w:val="24"/>
        </w:rPr>
      </w:pPr>
      <w:r w:rsidRPr="00767099">
        <w:rPr>
          <w:rFonts w:ascii="Arial" w:hAnsi="Arial" w:cs="Arial"/>
          <w:sz w:val="24"/>
          <w:szCs w:val="24"/>
        </w:rPr>
        <w:t xml:space="preserve">Dado que el gran problema de la vivienda es cualitativo, los pocos recursos que tenga un país no deben estar dirigidos en su mayoría a vivienda nueva. Es necesario tener la capacidad de ver la vivienda como un derecho, no parte del libre mercado. Si el corazón del problema es el déficit cualitativo, para reducir este problema tiene que haber todo un abanico de soluciones posibles. Es esa integralidad lo que se ha denominado hábitat biodiverso, y el conjunto de programas y normas la política. </w:t>
      </w:r>
    </w:p>
    <w:p w14:paraId="3D875172" w14:textId="74FC1D32" w:rsidR="00555E50" w:rsidRPr="00767099" w:rsidRDefault="00555E50" w:rsidP="00767099">
      <w:pPr>
        <w:jc w:val="both"/>
        <w:rPr>
          <w:rFonts w:ascii="Arial" w:hAnsi="Arial" w:cs="Arial"/>
          <w:b/>
          <w:bCs/>
          <w:sz w:val="24"/>
          <w:szCs w:val="24"/>
        </w:rPr>
      </w:pPr>
      <w:r w:rsidRPr="00767099">
        <w:rPr>
          <w:rFonts w:ascii="Arial" w:hAnsi="Arial" w:cs="Arial"/>
          <w:b/>
          <w:bCs/>
          <w:sz w:val="24"/>
          <w:szCs w:val="24"/>
        </w:rPr>
        <w:t>Se transforma el rol del Estado con la política de hábitat</w:t>
      </w:r>
    </w:p>
    <w:p w14:paraId="0BBB3872" w14:textId="2F2D0E42" w:rsidR="00555E50" w:rsidRPr="00767099" w:rsidRDefault="00555E50" w:rsidP="00767099">
      <w:pPr>
        <w:spacing w:line="360" w:lineRule="auto"/>
        <w:jc w:val="both"/>
        <w:rPr>
          <w:rFonts w:ascii="Arial" w:hAnsi="Arial" w:cs="Arial"/>
          <w:sz w:val="24"/>
          <w:szCs w:val="24"/>
        </w:rPr>
      </w:pPr>
      <w:r w:rsidRPr="00767099">
        <w:rPr>
          <w:rFonts w:ascii="Arial" w:hAnsi="Arial" w:cs="Arial"/>
          <w:sz w:val="24"/>
          <w:szCs w:val="24"/>
        </w:rPr>
        <w:t>Pasar de un Estado pagador —centrado en subsidios individuales y en la relación con el sistema financiero— a un Estado acompañante, que gestiona, facilita y produce soluciones de vivienda con las comunidades.</w:t>
      </w:r>
    </w:p>
    <w:p w14:paraId="28711281" w14:textId="77777777" w:rsidR="00555E50" w:rsidRPr="00767099" w:rsidRDefault="00555E50" w:rsidP="00767099">
      <w:pPr>
        <w:spacing w:line="360" w:lineRule="auto"/>
        <w:jc w:val="both"/>
        <w:rPr>
          <w:rFonts w:ascii="Arial" w:hAnsi="Arial" w:cs="Arial"/>
          <w:sz w:val="24"/>
          <w:szCs w:val="24"/>
        </w:rPr>
      </w:pPr>
      <w:r w:rsidRPr="00767099">
        <w:rPr>
          <w:rFonts w:ascii="Arial" w:hAnsi="Arial" w:cs="Arial"/>
          <w:sz w:val="24"/>
          <w:szCs w:val="24"/>
        </w:rPr>
        <w:t>En su rol el MVCT propenderá porque la política de vivienda y de agua para el consumo humano y el saneamiento básico dejen de ser solo un instrumento económico para pasar a ser un proceso social de coproducción del hábitat, y transitará hacia un rol de facilitador y articulador de acciones locales. Lo anterior de acuerdo con su oferta institucional y con la Asistencia Técnica Integral.</w:t>
      </w:r>
    </w:p>
    <w:p w14:paraId="653C48E1" w14:textId="77777777" w:rsidR="00555E50" w:rsidRPr="00767099" w:rsidRDefault="00555E50" w:rsidP="00767099">
      <w:pPr>
        <w:jc w:val="both"/>
        <w:rPr>
          <w:rFonts w:ascii="Arial" w:hAnsi="Arial" w:cs="Arial"/>
          <w:b/>
          <w:bCs/>
          <w:sz w:val="24"/>
          <w:szCs w:val="24"/>
        </w:rPr>
      </w:pPr>
      <w:r w:rsidRPr="00767099">
        <w:rPr>
          <w:rFonts w:ascii="Arial" w:hAnsi="Arial" w:cs="Arial"/>
          <w:b/>
          <w:bCs/>
          <w:sz w:val="24"/>
          <w:szCs w:val="24"/>
        </w:rPr>
        <w:t>¿A qué le atendemos, al déficit cuantitativo que es menor, o al cualitativo, que es mayor? El mejoramiento de vivienda y la apuesta para la mayoría</w:t>
      </w:r>
    </w:p>
    <w:p w14:paraId="1ECA5DFE" w14:textId="6E88CF51" w:rsidR="00555E50" w:rsidRPr="00767099" w:rsidRDefault="00555E50" w:rsidP="00767099">
      <w:pPr>
        <w:spacing w:line="360" w:lineRule="auto"/>
        <w:jc w:val="both"/>
        <w:rPr>
          <w:rFonts w:ascii="Arial" w:hAnsi="Arial" w:cs="Arial"/>
          <w:sz w:val="24"/>
          <w:szCs w:val="24"/>
        </w:rPr>
      </w:pPr>
      <w:r w:rsidRPr="00767099">
        <w:rPr>
          <w:rFonts w:ascii="Arial" w:hAnsi="Arial" w:cs="Arial"/>
          <w:sz w:val="24"/>
          <w:szCs w:val="24"/>
        </w:rPr>
        <w:t xml:space="preserve">Este cambio de estrategia hacia el mejoramiento de la vivienda está </w:t>
      </w:r>
      <w:proofErr w:type="gramStart"/>
      <w:r w:rsidRPr="00767099">
        <w:rPr>
          <w:rFonts w:ascii="Arial" w:hAnsi="Arial" w:cs="Arial"/>
          <w:sz w:val="24"/>
          <w:szCs w:val="24"/>
        </w:rPr>
        <w:t>orientada</w:t>
      </w:r>
      <w:proofErr w:type="gramEnd"/>
      <w:r w:rsidRPr="00767099">
        <w:rPr>
          <w:rFonts w:ascii="Arial" w:hAnsi="Arial" w:cs="Arial"/>
          <w:sz w:val="24"/>
          <w:szCs w:val="24"/>
        </w:rPr>
        <w:t xml:space="preserve"> al 76% del déficit habitacional del país, que es cualitativo. Con el énfasis en el mejoramiento de vivienda destinado a reducir el déficit cualitativo se minimiza la lógica centrada en el déficit cuantitativo, que es el menor </w:t>
      </w:r>
      <w:proofErr w:type="gramStart"/>
      <w:r w:rsidRPr="00767099">
        <w:rPr>
          <w:rFonts w:ascii="Arial" w:hAnsi="Arial" w:cs="Arial"/>
          <w:sz w:val="24"/>
          <w:szCs w:val="24"/>
        </w:rPr>
        <w:t>de los déficit</w:t>
      </w:r>
      <w:proofErr w:type="gramEnd"/>
      <w:r w:rsidRPr="00767099">
        <w:rPr>
          <w:rFonts w:ascii="Arial" w:hAnsi="Arial" w:cs="Arial"/>
          <w:sz w:val="24"/>
          <w:szCs w:val="24"/>
        </w:rPr>
        <w:t xml:space="preserve"> y que no ha sido suficiente para mejorar el hábitat de las personas. Por lo que se hace un llamado a las entidades financieras para que faciliten el acceso a créditos destinados al mejoramiento de vivienda.</w:t>
      </w:r>
    </w:p>
    <w:p w14:paraId="007C60DC" w14:textId="1186525C" w:rsidR="00555E50" w:rsidRPr="00767099" w:rsidRDefault="00555E50" w:rsidP="00767099">
      <w:pPr>
        <w:spacing w:line="360" w:lineRule="auto"/>
        <w:jc w:val="both"/>
        <w:rPr>
          <w:rFonts w:ascii="Arial" w:hAnsi="Arial" w:cs="Arial"/>
          <w:sz w:val="24"/>
          <w:szCs w:val="24"/>
        </w:rPr>
      </w:pPr>
      <w:r w:rsidRPr="00767099">
        <w:rPr>
          <w:rFonts w:ascii="Arial" w:hAnsi="Arial" w:cs="Arial"/>
          <w:sz w:val="24"/>
          <w:szCs w:val="24"/>
        </w:rPr>
        <w:lastRenderedPageBreak/>
        <w:t xml:space="preserve">El énfasis en el mejoramiento de vivienda ha permitido ampliar la cobertura poblacional y territorial, fortalecer capacidades locales para atender también el déficit cualitativo, y mejorar las condiciones de accesibilidad y asequibilidad del hábitat. Y es una forma de reivindicar y reconocer las realidades de más de la mitad de la población colombiana. </w:t>
      </w:r>
    </w:p>
    <w:p w14:paraId="3E9C8AE0" w14:textId="77777777" w:rsidR="00555E50" w:rsidRPr="00767099" w:rsidRDefault="00555E50" w:rsidP="00767099">
      <w:pPr>
        <w:spacing w:line="360" w:lineRule="auto"/>
        <w:jc w:val="both"/>
        <w:rPr>
          <w:rFonts w:ascii="Arial" w:hAnsi="Arial" w:cs="Arial"/>
          <w:sz w:val="24"/>
          <w:szCs w:val="24"/>
        </w:rPr>
      </w:pPr>
      <w:r w:rsidRPr="00767099">
        <w:rPr>
          <w:rFonts w:ascii="Arial" w:hAnsi="Arial" w:cs="Arial"/>
          <w:sz w:val="24"/>
          <w:szCs w:val="24"/>
        </w:rPr>
        <w:t>El enfoque de trabajar para mitigar ese 75% que corresponde al gran déficit cualitativo incorpora, también, a la población históricamente excluida.</w:t>
      </w:r>
      <w:r w:rsidRPr="00767099">
        <w:rPr>
          <w:rFonts w:ascii="Arial" w:hAnsi="Arial" w:cs="Arial"/>
          <w:color w:val="333333"/>
          <w:sz w:val="24"/>
          <w:szCs w:val="24"/>
          <w:highlight w:val="white"/>
        </w:rPr>
        <w:t xml:space="preserve"> Así, el Decreto 0413 de 2025 de mejoramiento de vivienda reconoce y profundiza de manera explícita el enfoque diferencial, al establecer que el programa de mejoramiento de vivienda se implementa bajo enfoques diferencial, de género y territorial, incorporándolos como criterio obligatorio de diseño, focalización e intervención para responder a las condiciones socioculturales, económicas y territoriales de la población y priorizar a los grupos más vulnerables.</w:t>
      </w:r>
      <w:r w:rsidRPr="00767099">
        <w:rPr>
          <w:rFonts w:ascii="Arial" w:hAnsi="Arial" w:cs="Arial"/>
          <w:sz w:val="24"/>
          <w:szCs w:val="24"/>
        </w:rPr>
        <w:t xml:space="preserve"> </w:t>
      </w:r>
    </w:p>
    <w:p w14:paraId="0CD57431" w14:textId="77777777" w:rsidR="00555E50" w:rsidRPr="00767099" w:rsidRDefault="00555E50" w:rsidP="00767099">
      <w:pPr>
        <w:jc w:val="both"/>
        <w:rPr>
          <w:rFonts w:ascii="Arial" w:hAnsi="Arial" w:cs="Arial"/>
          <w:b/>
          <w:bCs/>
          <w:sz w:val="24"/>
          <w:szCs w:val="24"/>
        </w:rPr>
      </w:pPr>
      <w:r w:rsidRPr="00767099">
        <w:rPr>
          <w:rFonts w:ascii="Arial" w:hAnsi="Arial" w:cs="Arial"/>
          <w:b/>
          <w:bCs/>
          <w:sz w:val="24"/>
          <w:szCs w:val="24"/>
        </w:rPr>
        <w:t>Autogestión y autoconstrucción</w:t>
      </w:r>
    </w:p>
    <w:p w14:paraId="73D73F62" w14:textId="77777777" w:rsidR="00555E50" w:rsidRPr="00767099" w:rsidRDefault="00555E50" w:rsidP="00767099">
      <w:pPr>
        <w:spacing w:line="360" w:lineRule="auto"/>
        <w:jc w:val="both"/>
        <w:rPr>
          <w:rFonts w:ascii="Arial" w:hAnsi="Arial" w:cs="Arial"/>
          <w:color w:val="333333"/>
          <w:sz w:val="24"/>
          <w:szCs w:val="24"/>
          <w:highlight w:val="white"/>
        </w:rPr>
      </w:pPr>
      <w:r w:rsidRPr="00767099">
        <w:rPr>
          <w:rFonts w:ascii="Arial" w:hAnsi="Arial" w:cs="Arial"/>
          <w:color w:val="333333"/>
          <w:sz w:val="24"/>
          <w:szCs w:val="24"/>
          <w:highlight w:val="white"/>
        </w:rPr>
        <w:t>Esta política es entendida como un reconocimiento de que gran parte del país ha sido autogestionado y autoconstruido. El Decreto 0585 de 2025 de autogestión y autoconstrucción reconoce también, e incorpora, el enfoque diferencial, al establecer que la política de vivienda y hábitat debe considerar las condiciones socioeconómicas y culturales de los grupos poblacionales, así como criterios diferenciales, étnicos y de género en la focalización y priorización del acceso al subsidio de vivienda.</w:t>
      </w:r>
    </w:p>
    <w:p w14:paraId="6DCC052F" w14:textId="77777777" w:rsidR="00555E50" w:rsidRPr="00767099" w:rsidRDefault="00555E50" w:rsidP="00767099">
      <w:pPr>
        <w:jc w:val="both"/>
        <w:rPr>
          <w:rFonts w:ascii="Arial" w:hAnsi="Arial" w:cs="Arial"/>
          <w:b/>
          <w:bCs/>
          <w:sz w:val="24"/>
          <w:szCs w:val="24"/>
        </w:rPr>
      </w:pPr>
      <w:r w:rsidRPr="00767099">
        <w:rPr>
          <w:rFonts w:ascii="Arial" w:hAnsi="Arial" w:cs="Arial"/>
          <w:b/>
          <w:bCs/>
          <w:sz w:val="24"/>
          <w:szCs w:val="24"/>
        </w:rPr>
        <w:t>Vivienda rural, más de un millón que aún se necesitan</w:t>
      </w:r>
    </w:p>
    <w:p w14:paraId="7AC2C2E2" w14:textId="69125788" w:rsidR="00555E50" w:rsidRPr="00767099" w:rsidRDefault="00555E50" w:rsidP="00767099">
      <w:pPr>
        <w:spacing w:line="360" w:lineRule="auto"/>
        <w:jc w:val="both"/>
        <w:rPr>
          <w:rFonts w:ascii="Arial" w:hAnsi="Arial" w:cs="Arial"/>
          <w:sz w:val="24"/>
          <w:szCs w:val="24"/>
        </w:rPr>
      </w:pPr>
      <w:r w:rsidRPr="00767099">
        <w:rPr>
          <w:rFonts w:ascii="Arial" w:hAnsi="Arial" w:cs="Arial"/>
          <w:sz w:val="24"/>
          <w:szCs w:val="24"/>
        </w:rPr>
        <w:t xml:space="preserve">En Colombia la población rural representa aproximadamente el 32% del total nacional. Esto equivale a cerca de 16 millones de personas viviendo en el campo o en centros poblados, según datos del DANE y el Banco Mundial. </w:t>
      </w:r>
    </w:p>
    <w:p w14:paraId="1CBB5ED3" w14:textId="77777777" w:rsidR="00555E50" w:rsidRPr="00767099" w:rsidRDefault="00555E50" w:rsidP="00767099">
      <w:pPr>
        <w:spacing w:line="360" w:lineRule="auto"/>
        <w:jc w:val="both"/>
        <w:rPr>
          <w:rFonts w:ascii="Arial" w:hAnsi="Arial" w:cs="Arial"/>
          <w:color w:val="E97132"/>
          <w:sz w:val="24"/>
          <w:szCs w:val="24"/>
        </w:rPr>
      </w:pPr>
      <w:r w:rsidRPr="00767099">
        <w:rPr>
          <w:rFonts w:ascii="Arial" w:hAnsi="Arial" w:cs="Arial"/>
          <w:sz w:val="24"/>
          <w:szCs w:val="24"/>
        </w:rPr>
        <w:t xml:space="preserve">Con estos datos, el MVCT ha hecho énfasis en la construcción de vivienda rural, cuyos resultados han sido favorables. La meta de este cuatrienio fue de 10 mil viviendas rurales y llegamos a construir 14 mil, que corresponde al 152% de la meta. Sin embargo, esta política necesita continuarse y reforzarse, pues la población rural </w:t>
      </w:r>
      <w:r w:rsidRPr="00767099">
        <w:rPr>
          <w:rFonts w:ascii="Arial" w:hAnsi="Arial" w:cs="Arial"/>
          <w:sz w:val="24"/>
          <w:szCs w:val="24"/>
        </w:rPr>
        <w:lastRenderedPageBreak/>
        <w:t xml:space="preserve">colombiana que amerita vivienda es muy alta: se necesitan más de un millón de viviendas rurales. </w:t>
      </w:r>
    </w:p>
    <w:p w14:paraId="173E749B" w14:textId="77777777" w:rsidR="00555E50" w:rsidRPr="00767099" w:rsidRDefault="00555E50" w:rsidP="00767099">
      <w:pPr>
        <w:jc w:val="both"/>
        <w:rPr>
          <w:rFonts w:ascii="Arial" w:hAnsi="Arial" w:cs="Arial"/>
          <w:b/>
          <w:bCs/>
          <w:sz w:val="24"/>
          <w:szCs w:val="24"/>
        </w:rPr>
      </w:pPr>
      <w:r w:rsidRPr="00767099">
        <w:rPr>
          <w:rFonts w:ascii="Arial" w:hAnsi="Arial" w:cs="Arial"/>
          <w:b/>
          <w:bCs/>
          <w:sz w:val="24"/>
          <w:szCs w:val="24"/>
        </w:rPr>
        <w:t>El reto de las comunidades organizadas en los proyectos de vivienda, agua apta para el consumo humano y en el hábitat</w:t>
      </w:r>
    </w:p>
    <w:p w14:paraId="520C26C3" w14:textId="77777777" w:rsidR="00555E50" w:rsidRPr="00767099" w:rsidRDefault="00555E50" w:rsidP="00767099">
      <w:pPr>
        <w:spacing w:line="360" w:lineRule="auto"/>
        <w:jc w:val="both"/>
        <w:rPr>
          <w:rFonts w:ascii="Arial" w:hAnsi="Arial" w:cs="Arial"/>
          <w:sz w:val="24"/>
          <w:szCs w:val="24"/>
        </w:rPr>
      </w:pPr>
      <w:r w:rsidRPr="00767099">
        <w:rPr>
          <w:rFonts w:ascii="Arial" w:hAnsi="Arial" w:cs="Arial"/>
          <w:sz w:val="24"/>
          <w:szCs w:val="24"/>
        </w:rPr>
        <w:t>El reto principal es que la ciudadanía se apropie de este avance y lo sostenga en el tiempo. Aunque ya se dio el cambio institucional, ahora corresponde a la gente mantenerlo, fortalecerlo y ejercer veeduría ciudadana y social para evitar retrocesos.</w:t>
      </w:r>
    </w:p>
    <w:p w14:paraId="3737F97B" w14:textId="77777777" w:rsidR="00555E50" w:rsidRPr="00767099" w:rsidRDefault="00555E50" w:rsidP="00767099">
      <w:pPr>
        <w:spacing w:line="360" w:lineRule="auto"/>
        <w:jc w:val="both"/>
        <w:rPr>
          <w:rFonts w:ascii="Arial" w:hAnsi="Arial" w:cs="Arial"/>
          <w:color w:val="E97132"/>
          <w:sz w:val="24"/>
          <w:szCs w:val="24"/>
        </w:rPr>
      </w:pPr>
    </w:p>
    <w:p w14:paraId="796ABA13" w14:textId="77777777" w:rsidR="00555E50" w:rsidRPr="00767099" w:rsidRDefault="00555E50" w:rsidP="00767099">
      <w:pPr>
        <w:jc w:val="both"/>
        <w:rPr>
          <w:rFonts w:ascii="Arial" w:hAnsi="Arial" w:cs="Arial"/>
          <w:b/>
          <w:bCs/>
          <w:sz w:val="24"/>
          <w:szCs w:val="24"/>
        </w:rPr>
      </w:pPr>
      <w:r w:rsidRPr="00767099">
        <w:rPr>
          <w:rFonts w:ascii="Arial" w:hAnsi="Arial" w:cs="Arial"/>
          <w:b/>
          <w:bCs/>
          <w:sz w:val="24"/>
          <w:szCs w:val="24"/>
        </w:rPr>
        <w:t xml:space="preserve">Titulación y legalización de predios, legalización de barrios, construcción de hábitat: </w:t>
      </w:r>
      <w:proofErr w:type="spellStart"/>
      <w:r w:rsidRPr="00767099">
        <w:rPr>
          <w:rFonts w:ascii="Arial" w:hAnsi="Arial" w:cs="Arial"/>
          <w:b/>
          <w:bCs/>
          <w:sz w:val="24"/>
          <w:szCs w:val="24"/>
        </w:rPr>
        <w:t>Ecobarrio</w:t>
      </w:r>
      <w:proofErr w:type="spellEnd"/>
      <w:r w:rsidRPr="00767099">
        <w:rPr>
          <w:rFonts w:ascii="Arial" w:hAnsi="Arial" w:cs="Arial"/>
          <w:b/>
          <w:bCs/>
          <w:sz w:val="24"/>
          <w:szCs w:val="24"/>
        </w:rPr>
        <w:t xml:space="preserve"> de Paz de Buenaventura</w:t>
      </w:r>
    </w:p>
    <w:p w14:paraId="0E71554E" w14:textId="77777777" w:rsidR="00555E50" w:rsidRPr="00767099" w:rsidRDefault="00555E50" w:rsidP="00767099">
      <w:pPr>
        <w:spacing w:line="360" w:lineRule="auto"/>
        <w:jc w:val="both"/>
        <w:rPr>
          <w:rFonts w:ascii="Arial" w:hAnsi="Arial" w:cs="Arial"/>
          <w:sz w:val="24"/>
          <w:szCs w:val="24"/>
        </w:rPr>
      </w:pPr>
      <w:r w:rsidRPr="00767099">
        <w:rPr>
          <w:rFonts w:ascii="Arial" w:hAnsi="Arial" w:cs="Arial"/>
          <w:sz w:val="24"/>
          <w:szCs w:val="24"/>
        </w:rPr>
        <w:t xml:space="preserve">No </w:t>
      </w:r>
      <w:proofErr w:type="gramStart"/>
      <w:r w:rsidRPr="00767099">
        <w:rPr>
          <w:rFonts w:ascii="Arial" w:hAnsi="Arial" w:cs="Arial"/>
          <w:sz w:val="24"/>
          <w:szCs w:val="24"/>
        </w:rPr>
        <w:t>obstante</w:t>
      </w:r>
      <w:proofErr w:type="gramEnd"/>
      <w:r w:rsidRPr="00767099">
        <w:rPr>
          <w:rFonts w:ascii="Arial" w:hAnsi="Arial" w:cs="Arial"/>
          <w:sz w:val="24"/>
          <w:szCs w:val="24"/>
        </w:rPr>
        <w:t xml:space="preserve"> la titulación y legalización de predios ha existido como política dentro del ministerio, es la aplicación integral y coherente con el territorio lo que ha caracterizado la política del hábitat biodiverso. Estos procesos, antes aislados, se incorporan dentro de la política de Barrios de Paz, como una gran apuesta de esta administración. </w:t>
      </w:r>
      <w:r w:rsidRPr="00767099">
        <w:rPr>
          <w:rFonts w:ascii="Arial" w:hAnsi="Arial" w:cs="Arial"/>
          <w:color w:val="333333"/>
          <w:sz w:val="24"/>
          <w:szCs w:val="24"/>
          <w:highlight w:val="white"/>
        </w:rPr>
        <w:t xml:space="preserve">El Decreto 1470 de 2024 de Barrios de Paz tiene por objetivo la construcción de un hábitat, por lo que convierte la política de vivienda y agua y saneamiento básico en un instrumento directo de construcción de paz territorial, obligando al Estado a intervenir integralmente en barrios con legalización, titulación, infraestructura, servicios públicos, equipamientos y fortalecimiento comunitario, bajo un enfoque de reconciliación, reparación y no repetición. Es decir, reconoce que la paz requiere cerrar las brechas urbanas y sociales. Un ejemplo de ello ha sido el </w:t>
      </w:r>
      <w:proofErr w:type="spellStart"/>
      <w:r w:rsidRPr="00767099">
        <w:rPr>
          <w:rFonts w:ascii="Arial" w:hAnsi="Arial" w:cs="Arial"/>
          <w:color w:val="333333"/>
          <w:sz w:val="24"/>
          <w:szCs w:val="24"/>
          <w:highlight w:val="white"/>
        </w:rPr>
        <w:t>Ecobarrio</w:t>
      </w:r>
      <w:proofErr w:type="spellEnd"/>
      <w:r w:rsidRPr="00767099">
        <w:rPr>
          <w:rFonts w:ascii="Arial" w:hAnsi="Arial" w:cs="Arial"/>
          <w:color w:val="333333"/>
          <w:sz w:val="24"/>
          <w:szCs w:val="24"/>
          <w:highlight w:val="white"/>
        </w:rPr>
        <w:t xml:space="preserve"> de Paz de Buenaventura, como un modelo integral que recoge toda la política del MVCT durante esta gestión en un solo espacio territorial urbano.</w:t>
      </w:r>
    </w:p>
    <w:p w14:paraId="7F0F35E3" w14:textId="19F2DA74" w:rsidR="00555E50" w:rsidRPr="00767099" w:rsidRDefault="00555E50" w:rsidP="00767099">
      <w:pPr>
        <w:jc w:val="both"/>
        <w:rPr>
          <w:rFonts w:ascii="Arial" w:hAnsi="Arial" w:cs="Arial"/>
          <w:b/>
          <w:bCs/>
          <w:sz w:val="24"/>
          <w:szCs w:val="24"/>
        </w:rPr>
      </w:pPr>
      <w:r w:rsidRPr="00767099">
        <w:rPr>
          <w:rFonts w:ascii="Arial" w:hAnsi="Arial" w:cs="Arial"/>
          <w:b/>
          <w:bCs/>
          <w:sz w:val="24"/>
          <w:szCs w:val="24"/>
        </w:rPr>
        <w:t>Un reto histórico: la población víctima del conflicto armado</w:t>
      </w:r>
    </w:p>
    <w:p w14:paraId="05934020" w14:textId="77777777" w:rsidR="00555E50" w:rsidRPr="00767099" w:rsidRDefault="00555E50" w:rsidP="00767099">
      <w:pPr>
        <w:spacing w:line="360" w:lineRule="auto"/>
        <w:jc w:val="both"/>
        <w:rPr>
          <w:rFonts w:ascii="Arial" w:hAnsi="Arial" w:cs="Arial"/>
          <w:sz w:val="24"/>
          <w:szCs w:val="24"/>
        </w:rPr>
      </w:pPr>
      <w:r w:rsidRPr="00767099">
        <w:rPr>
          <w:rFonts w:ascii="Arial" w:hAnsi="Arial" w:cs="Arial"/>
          <w:sz w:val="24"/>
          <w:szCs w:val="24"/>
        </w:rPr>
        <w:t xml:space="preserve">En 2022 encontramos un ministerio destinado a ser pagador de subsidios. Para pagar el subsidio, se exigía el cierre financiero por medio de entidades crediticias. No obstante, gran parte de las personas que necesitan vivienda no tienen acceso al crédito, por lo que la banca comercial no podría entregar créditos a estas personas que no tienen historial crediticio ni forma de pagarlo. Un segmento importante de la población estaba quedando por fuera de toda posibilidad de contar con una vivienda </w:t>
      </w:r>
      <w:r w:rsidRPr="00767099">
        <w:rPr>
          <w:rFonts w:ascii="Arial" w:hAnsi="Arial" w:cs="Arial"/>
          <w:sz w:val="24"/>
          <w:szCs w:val="24"/>
        </w:rPr>
        <w:lastRenderedPageBreak/>
        <w:t xml:space="preserve">digna, como lo mandata la Constitución Política de Colombia. Por ese modelo volcado al mercado, hoy le apostamos a otro segmento de la población a la que no estaban llegando los recursos ni los programas. Entre ellos, las víctimas del conflicto armado en Colombia. </w:t>
      </w:r>
    </w:p>
    <w:p w14:paraId="6222C318" w14:textId="77777777" w:rsidR="00555E50" w:rsidRPr="00767099" w:rsidRDefault="00555E50" w:rsidP="00767099">
      <w:pPr>
        <w:spacing w:line="360" w:lineRule="auto"/>
        <w:jc w:val="both"/>
        <w:rPr>
          <w:rFonts w:ascii="Arial" w:hAnsi="Arial" w:cs="Arial"/>
          <w:sz w:val="24"/>
          <w:szCs w:val="24"/>
        </w:rPr>
      </w:pPr>
      <w:r w:rsidRPr="00767099">
        <w:rPr>
          <w:rFonts w:ascii="Arial" w:hAnsi="Arial" w:cs="Arial"/>
          <w:sz w:val="24"/>
          <w:szCs w:val="24"/>
        </w:rPr>
        <w:t>En Colombia, el Registro Único de Víctimas (RUV) contabiliza cerca de 9.8 millones de personas. ha sido una población con escasas oportunidades de consolidar sus derechos. Por ello, el MVCT ha focalizado a esta población en el conjunto de decretos expedidos entre 2024 y 2026. En ellos, los siguientes:</w:t>
      </w:r>
    </w:p>
    <w:p w14:paraId="1A460B34" w14:textId="77777777" w:rsidR="00555E50" w:rsidRPr="00767099" w:rsidRDefault="00555E50" w:rsidP="00767099">
      <w:pPr>
        <w:jc w:val="both"/>
        <w:rPr>
          <w:rFonts w:ascii="Arial" w:hAnsi="Arial" w:cs="Arial"/>
          <w:b/>
          <w:bCs/>
          <w:sz w:val="24"/>
          <w:szCs w:val="24"/>
        </w:rPr>
      </w:pPr>
      <w:r w:rsidRPr="00767099">
        <w:rPr>
          <w:rFonts w:ascii="Arial" w:hAnsi="Arial" w:cs="Arial"/>
          <w:b/>
          <w:bCs/>
          <w:sz w:val="24"/>
          <w:szCs w:val="24"/>
        </w:rPr>
        <w:t>Actores locales para la gobernabilidad del país</w:t>
      </w:r>
    </w:p>
    <w:p w14:paraId="0C28889C" w14:textId="7FB4DA83" w:rsidR="00555E50" w:rsidRPr="00767099" w:rsidRDefault="00555E50" w:rsidP="00767099">
      <w:pPr>
        <w:spacing w:line="360" w:lineRule="auto"/>
        <w:jc w:val="both"/>
        <w:rPr>
          <w:rFonts w:ascii="Arial" w:hAnsi="Arial" w:cs="Arial"/>
          <w:sz w:val="24"/>
          <w:szCs w:val="24"/>
        </w:rPr>
      </w:pPr>
      <w:r w:rsidRPr="00767099">
        <w:rPr>
          <w:rFonts w:ascii="Arial" w:hAnsi="Arial" w:cs="Arial"/>
          <w:sz w:val="24"/>
          <w:szCs w:val="24"/>
        </w:rPr>
        <w:t>La idea es clara: la gobernabilidad territorial pasa por los actores locales, contemplados ahora como parte de una política de hábitat, integral y con enfoque social. El territorio, los entes territoriales, las gobernaciones y alcaldías, las OPV, las Juntas de Acción Comunal, los consejos comunitarios, los resguardos indígenas, las Organizaciones de Recicladores de Oficio y demás organizaciones sociales son actores locales, que forman parte de la gobernanza territorial. Los programas de mejoramiento de vivienda y barrios de paz, especialmente, se desarrollan a través de las organizaciones locales, entre ellos las étnicas, y entes territoriales.</w:t>
      </w:r>
    </w:p>
    <w:p w14:paraId="42916D47" w14:textId="77777777" w:rsidR="00555E50" w:rsidRPr="00767099" w:rsidRDefault="00555E50" w:rsidP="00767099">
      <w:pPr>
        <w:jc w:val="both"/>
        <w:rPr>
          <w:rFonts w:ascii="Arial" w:hAnsi="Arial" w:cs="Arial"/>
          <w:b/>
          <w:bCs/>
          <w:sz w:val="24"/>
          <w:szCs w:val="24"/>
        </w:rPr>
      </w:pPr>
      <w:r w:rsidRPr="00767099">
        <w:rPr>
          <w:rFonts w:ascii="Arial" w:hAnsi="Arial" w:cs="Arial"/>
          <w:b/>
          <w:bCs/>
          <w:sz w:val="24"/>
          <w:szCs w:val="24"/>
        </w:rPr>
        <w:t>Uno de nuestros focos: la población diferencial y los territorios</w:t>
      </w:r>
    </w:p>
    <w:p w14:paraId="601A1CD9" w14:textId="77777777" w:rsidR="00555E50" w:rsidRPr="00767099" w:rsidRDefault="00555E50" w:rsidP="00767099">
      <w:pPr>
        <w:spacing w:line="360" w:lineRule="auto"/>
        <w:jc w:val="both"/>
        <w:rPr>
          <w:rFonts w:ascii="Arial" w:hAnsi="Arial" w:cs="Arial"/>
          <w:sz w:val="24"/>
          <w:szCs w:val="24"/>
        </w:rPr>
      </w:pPr>
      <w:r w:rsidRPr="00767099">
        <w:rPr>
          <w:rFonts w:ascii="Arial" w:hAnsi="Arial" w:cs="Arial"/>
          <w:sz w:val="24"/>
          <w:szCs w:val="24"/>
        </w:rPr>
        <w:t>La inclusión de los enfoques diferenciales en la oferta institucional del MVCT no ha sido aleatorio. Es producto de la orientación sobre las profundas desigualdades en las políticas dirigidas a la población étnica, campesina, y que habita en los territorios apartados.</w:t>
      </w:r>
    </w:p>
    <w:p w14:paraId="64D1ABCA" w14:textId="77777777" w:rsidR="00555E50" w:rsidRPr="00767099" w:rsidRDefault="00555E50" w:rsidP="00767099">
      <w:pPr>
        <w:spacing w:line="360" w:lineRule="auto"/>
        <w:jc w:val="both"/>
        <w:rPr>
          <w:rFonts w:ascii="Arial" w:hAnsi="Arial" w:cs="Arial"/>
          <w:sz w:val="24"/>
          <w:szCs w:val="24"/>
        </w:rPr>
      </w:pPr>
      <w:r w:rsidRPr="00767099">
        <w:rPr>
          <w:rFonts w:ascii="Arial" w:hAnsi="Arial" w:cs="Arial"/>
          <w:sz w:val="24"/>
          <w:szCs w:val="24"/>
        </w:rPr>
        <w:t xml:space="preserve">La focalización hacia estas poblaciones se ha manifestado en su inclusión dentro de la normativa del ministerio y en sus programas de la oferta institucional, como un paso hacia la solución de problemas sociales habitacionales y de agua apta para el consumo humano y el saneamiento básico. </w:t>
      </w:r>
    </w:p>
    <w:p w14:paraId="69A23D97" w14:textId="77777777" w:rsidR="00555E50" w:rsidRPr="00767099" w:rsidRDefault="00555E50" w:rsidP="00767099">
      <w:pPr>
        <w:jc w:val="both"/>
        <w:rPr>
          <w:rFonts w:ascii="Arial" w:hAnsi="Arial" w:cs="Arial"/>
          <w:b/>
          <w:bCs/>
          <w:sz w:val="24"/>
          <w:szCs w:val="24"/>
        </w:rPr>
      </w:pPr>
      <w:r w:rsidRPr="00767099">
        <w:rPr>
          <w:rFonts w:ascii="Arial" w:hAnsi="Arial" w:cs="Arial"/>
          <w:b/>
          <w:bCs/>
          <w:sz w:val="24"/>
          <w:szCs w:val="24"/>
        </w:rPr>
        <w:t>El agua apta para el consumo humano es un bien común y un derecho humano</w:t>
      </w:r>
    </w:p>
    <w:p w14:paraId="1021CA96" w14:textId="77777777" w:rsidR="00555E50" w:rsidRPr="00767099" w:rsidRDefault="00555E50" w:rsidP="00767099">
      <w:pPr>
        <w:spacing w:line="360" w:lineRule="auto"/>
        <w:jc w:val="both"/>
        <w:rPr>
          <w:rFonts w:ascii="Arial" w:hAnsi="Arial" w:cs="Arial"/>
          <w:sz w:val="24"/>
          <w:szCs w:val="24"/>
        </w:rPr>
      </w:pPr>
      <w:r w:rsidRPr="00767099">
        <w:rPr>
          <w:rFonts w:ascii="Arial" w:hAnsi="Arial" w:cs="Arial"/>
          <w:sz w:val="24"/>
          <w:szCs w:val="24"/>
        </w:rPr>
        <w:t xml:space="preserve">El programa </w:t>
      </w:r>
      <w:proofErr w:type="spellStart"/>
      <w:r w:rsidRPr="00767099">
        <w:rPr>
          <w:rFonts w:ascii="Arial" w:hAnsi="Arial" w:cs="Arial"/>
          <w:sz w:val="24"/>
          <w:szCs w:val="24"/>
        </w:rPr>
        <w:t>Comuniagua</w:t>
      </w:r>
      <w:proofErr w:type="spellEnd"/>
      <w:r w:rsidRPr="00767099">
        <w:rPr>
          <w:rFonts w:ascii="Arial" w:hAnsi="Arial" w:cs="Arial"/>
          <w:sz w:val="24"/>
          <w:szCs w:val="24"/>
        </w:rPr>
        <w:t xml:space="preserve"> considera el agua como bien común y derecho humano fundamental. A pesar de las luchas sociales en defensa del agua, persiste la visión </w:t>
      </w:r>
      <w:r w:rsidRPr="00767099">
        <w:rPr>
          <w:rFonts w:ascii="Arial" w:hAnsi="Arial" w:cs="Arial"/>
          <w:sz w:val="24"/>
          <w:szCs w:val="24"/>
        </w:rPr>
        <w:lastRenderedPageBreak/>
        <w:t>del agua como un bien del mercado, pese a ser reconocida internacionalmente como un derecho humano fundamental, esencial para la vida, la dignidad, la salud y la alimentación. Es fundamental la continuación y fortalecimiento de este programa, que representa un cambio importante de paradigma, pues se trata de que proyectos de agua y saneamiento básico puedan ser ejecutados por las mismas organizaciones comunitarias.</w:t>
      </w:r>
    </w:p>
    <w:p w14:paraId="02A72AE4" w14:textId="77777777" w:rsidR="00555E50" w:rsidRPr="00767099" w:rsidRDefault="00555E50" w:rsidP="00767099">
      <w:pPr>
        <w:spacing w:line="360" w:lineRule="auto"/>
        <w:jc w:val="both"/>
        <w:rPr>
          <w:rFonts w:ascii="Arial" w:hAnsi="Arial" w:cs="Arial"/>
          <w:sz w:val="24"/>
          <w:szCs w:val="24"/>
        </w:rPr>
      </w:pPr>
      <w:r w:rsidRPr="00767099">
        <w:rPr>
          <w:rFonts w:ascii="Arial" w:hAnsi="Arial" w:cs="Arial"/>
          <w:sz w:val="24"/>
          <w:szCs w:val="24"/>
        </w:rPr>
        <w:t xml:space="preserve">Por su parte, el Plan </w:t>
      </w:r>
      <w:proofErr w:type="spellStart"/>
      <w:r w:rsidRPr="00767099">
        <w:rPr>
          <w:rFonts w:ascii="Arial" w:hAnsi="Arial" w:cs="Arial"/>
          <w:sz w:val="24"/>
          <w:szCs w:val="24"/>
        </w:rPr>
        <w:t>Wüin</w:t>
      </w:r>
      <w:proofErr w:type="spellEnd"/>
      <w:r w:rsidRPr="00767099">
        <w:rPr>
          <w:rFonts w:ascii="Arial" w:hAnsi="Arial" w:cs="Arial"/>
          <w:sz w:val="24"/>
          <w:szCs w:val="24"/>
        </w:rPr>
        <w:t xml:space="preserve"> </w:t>
      </w:r>
      <w:proofErr w:type="spellStart"/>
      <w:r w:rsidRPr="00767099">
        <w:rPr>
          <w:rFonts w:ascii="Arial" w:hAnsi="Arial" w:cs="Arial"/>
          <w:sz w:val="24"/>
          <w:szCs w:val="24"/>
        </w:rPr>
        <w:t>Ülees</w:t>
      </w:r>
      <w:proofErr w:type="spellEnd"/>
      <w:r w:rsidRPr="00767099">
        <w:rPr>
          <w:rFonts w:ascii="Arial" w:hAnsi="Arial" w:cs="Arial"/>
          <w:sz w:val="24"/>
          <w:szCs w:val="24"/>
        </w:rPr>
        <w:t xml:space="preserve"> ubicado en La Guajira, como uno de los departamentos priorizados en este cuatrienio. Un proyecto de agua para el consumo humano en La Guajira bajo el ordenamiento territorial étnico, que surgió como una estrategia del MVCT para poder movilizar diferentes actores con el fin de aumentar el acceso al agua para el consumo humano de las comunidades </w:t>
      </w:r>
      <w:proofErr w:type="spellStart"/>
      <w:r w:rsidRPr="00767099">
        <w:rPr>
          <w:rFonts w:ascii="Arial" w:hAnsi="Arial" w:cs="Arial"/>
          <w:sz w:val="24"/>
          <w:szCs w:val="24"/>
        </w:rPr>
        <w:t>Wayúu</w:t>
      </w:r>
      <w:proofErr w:type="spellEnd"/>
      <w:r w:rsidRPr="00767099">
        <w:rPr>
          <w:rFonts w:ascii="Arial" w:hAnsi="Arial" w:cs="Arial"/>
          <w:sz w:val="24"/>
          <w:szCs w:val="24"/>
        </w:rPr>
        <w:t xml:space="preserve"> de la Alta Guajira.</w:t>
      </w:r>
    </w:p>
    <w:p w14:paraId="62251750" w14:textId="77777777" w:rsidR="00555E50" w:rsidRPr="00767099" w:rsidRDefault="00555E50" w:rsidP="00767099">
      <w:pPr>
        <w:spacing w:line="360" w:lineRule="auto"/>
        <w:jc w:val="both"/>
        <w:rPr>
          <w:rFonts w:ascii="Arial" w:hAnsi="Arial" w:cs="Arial"/>
          <w:sz w:val="24"/>
          <w:szCs w:val="24"/>
        </w:rPr>
      </w:pPr>
    </w:p>
    <w:p w14:paraId="43FC3188" w14:textId="77777777" w:rsidR="00555E50" w:rsidRPr="00767099" w:rsidRDefault="00555E50" w:rsidP="00767099">
      <w:pPr>
        <w:pStyle w:val="Ttulo2"/>
        <w:jc w:val="both"/>
        <w:rPr>
          <w:rFonts w:ascii="Arial" w:hAnsi="Arial" w:cs="Arial"/>
          <w:sz w:val="24"/>
          <w:szCs w:val="24"/>
        </w:rPr>
      </w:pPr>
      <w:bookmarkStart w:id="182" w:name="_Toc234242903"/>
      <w:r w:rsidRPr="00767099">
        <w:rPr>
          <w:rFonts w:ascii="Arial" w:hAnsi="Arial" w:cs="Arial"/>
          <w:sz w:val="24"/>
          <w:szCs w:val="24"/>
        </w:rPr>
        <w:t>5.2. Instrumentos para avanzar en los derechos</w:t>
      </w:r>
      <w:bookmarkEnd w:id="182"/>
    </w:p>
    <w:p w14:paraId="021AAD18" w14:textId="62045E42" w:rsidR="00555E50" w:rsidRPr="00767099" w:rsidRDefault="00555E50" w:rsidP="00767099">
      <w:pPr>
        <w:spacing w:line="360" w:lineRule="auto"/>
        <w:jc w:val="both"/>
        <w:rPr>
          <w:rFonts w:ascii="Arial" w:eastAsia="Verdana" w:hAnsi="Arial" w:cs="Arial"/>
          <w:sz w:val="24"/>
          <w:szCs w:val="24"/>
        </w:rPr>
      </w:pPr>
      <w:r w:rsidRPr="00767099">
        <w:rPr>
          <w:rFonts w:ascii="Arial" w:eastAsia="Verdana" w:hAnsi="Arial" w:cs="Arial"/>
          <w:sz w:val="24"/>
          <w:szCs w:val="24"/>
        </w:rPr>
        <w:t>El MCVT ha consolidado la política pública del hábitat biodiverso a través de la implementación de sus programas, del marco normativo y de los enfoques diferencial, territorial, de paz, ambiental, de cuidado, y de víctimas.</w:t>
      </w:r>
    </w:p>
    <w:p w14:paraId="58CD50A9" w14:textId="171A519A" w:rsidR="00555E50" w:rsidRPr="00767099" w:rsidRDefault="00555E50" w:rsidP="00767099">
      <w:pPr>
        <w:spacing w:line="360" w:lineRule="auto"/>
        <w:jc w:val="both"/>
        <w:rPr>
          <w:rFonts w:ascii="Arial" w:eastAsia="Verdana" w:hAnsi="Arial" w:cs="Arial"/>
          <w:sz w:val="24"/>
          <w:szCs w:val="24"/>
        </w:rPr>
      </w:pPr>
      <w:r w:rsidRPr="00767099">
        <w:rPr>
          <w:rFonts w:ascii="Arial" w:eastAsia="Verdana" w:hAnsi="Arial" w:cs="Arial"/>
          <w:sz w:val="24"/>
          <w:szCs w:val="24"/>
        </w:rPr>
        <w:t xml:space="preserve">La siguiente tabla es un instrumento construido con la finalidad de reconocer los diferentes instrumentos que permiten reconocer los avances en derechos de la población en cada uno de los programas, decretos y normativas emitidas por el MVCT en el </w:t>
      </w:r>
      <w:r w:rsidR="003E51C8">
        <w:rPr>
          <w:rFonts w:ascii="Arial" w:eastAsia="Verdana" w:hAnsi="Arial" w:cs="Arial"/>
          <w:sz w:val="24"/>
          <w:szCs w:val="24"/>
        </w:rPr>
        <w:t>m</w:t>
      </w:r>
      <w:r w:rsidRPr="00767099">
        <w:rPr>
          <w:rFonts w:ascii="Arial" w:eastAsia="Verdana" w:hAnsi="Arial" w:cs="Arial"/>
          <w:sz w:val="24"/>
          <w:szCs w:val="24"/>
        </w:rPr>
        <w:t>arco de la política de hábitat biodiverso.</w:t>
      </w:r>
    </w:p>
    <w:p w14:paraId="27AF8B9C" w14:textId="579C361D" w:rsidR="00555E50" w:rsidRPr="00767099" w:rsidRDefault="00555E50" w:rsidP="00767099">
      <w:pPr>
        <w:spacing w:line="360" w:lineRule="auto"/>
        <w:jc w:val="both"/>
        <w:rPr>
          <w:rFonts w:ascii="Arial" w:eastAsia="Verdana" w:hAnsi="Arial" w:cs="Arial"/>
          <w:sz w:val="24"/>
          <w:szCs w:val="24"/>
        </w:rPr>
      </w:pPr>
      <w:r w:rsidRPr="00767099">
        <w:rPr>
          <w:rFonts w:ascii="Arial" w:eastAsia="Verdana" w:hAnsi="Arial" w:cs="Arial"/>
          <w:sz w:val="24"/>
          <w:szCs w:val="24"/>
        </w:rPr>
        <w:t xml:space="preserve">En la tabla se aplica una semaforización con tres categorías: </w:t>
      </w:r>
    </w:p>
    <w:p w14:paraId="148B9998" w14:textId="77777777" w:rsidR="00555E50" w:rsidRPr="00767099" w:rsidRDefault="00555E50" w:rsidP="00767099">
      <w:pPr>
        <w:pStyle w:val="Prrafodelista"/>
        <w:numPr>
          <w:ilvl w:val="0"/>
          <w:numId w:val="68"/>
        </w:numPr>
        <w:spacing w:after="0" w:line="360" w:lineRule="auto"/>
        <w:jc w:val="both"/>
        <w:rPr>
          <w:rFonts w:ascii="Arial" w:eastAsia="Verdana" w:hAnsi="Arial" w:cs="Arial"/>
          <w:sz w:val="24"/>
          <w:szCs w:val="24"/>
        </w:rPr>
      </w:pPr>
      <w:r w:rsidRPr="00767099">
        <w:rPr>
          <w:rFonts w:ascii="Arial" w:eastAsia="Verdana" w:hAnsi="Arial" w:cs="Arial"/>
          <w:sz w:val="24"/>
          <w:szCs w:val="24"/>
        </w:rPr>
        <w:t>Oportunidad (verde) para los instrumentos que avanzan la gestión comunitaria, la economía popular y solidaria y el hábitat biodiverso.</w:t>
      </w:r>
    </w:p>
    <w:p w14:paraId="4A901F5B" w14:textId="77777777" w:rsidR="00555E50" w:rsidRPr="00767099" w:rsidRDefault="00555E50" w:rsidP="00767099">
      <w:pPr>
        <w:pStyle w:val="Prrafodelista"/>
        <w:numPr>
          <w:ilvl w:val="0"/>
          <w:numId w:val="68"/>
        </w:numPr>
        <w:spacing w:after="0" w:line="360" w:lineRule="auto"/>
        <w:jc w:val="both"/>
        <w:rPr>
          <w:rFonts w:ascii="Arial" w:eastAsia="Verdana" w:hAnsi="Arial" w:cs="Arial"/>
          <w:sz w:val="24"/>
          <w:szCs w:val="24"/>
        </w:rPr>
      </w:pPr>
      <w:r w:rsidRPr="00767099">
        <w:rPr>
          <w:rFonts w:ascii="Arial" w:eastAsia="Verdana" w:hAnsi="Arial" w:cs="Arial"/>
          <w:sz w:val="24"/>
          <w:szCs w:val="24"/>
        </w:rPr>
        <w:t xml:space="preserve">Requiere modificación (amarillo) para los que son </w:t>
      </w:r>
      <w:proofErr w:type="gramStart"/>
      <w:r w:rsidRPr="00767099">
        <w:rPr>
          <w:rFonts w:ascii="Arial" w:eastAsia="Verdana" w:hAnsi="Arial" w:cs="Arial"/>
          <w:sz w:val="24"/>
          <w:szCs w:val="24"/>
        </w:rPr>
        <w:t>útiles</w:t>
      </w:r>
      <w:proofErr w:type="gramEnd"/>
      <w:r w:rsidRPr="00767099">
        <w:rPr>
          <w:rFonts w:ascii="Arial" w:eastAsia="Verdana" w:hAnsi="Arial" w:cs="Arial"/>
          <w:sz w:val="24"/>
          <w:szCs w:val="24"/>
        </w:rPr>
        <w:t xml:space="preserve"> pero conservan sesgos del modelo anterior o vacíos operativos críticos. </w:t>
      </w:r>
    </w:p>
    <w:p w14:paraId="160FB64F" w14:textId="77777777" w:rsidR="00555E50" w:rsidRPr="00767099" w:rsidRDefault="00555E50" w:rsidP="00767099">
      <w:pPr>
        <w:pStyle w:val="Prrafodelista"/>
        <w:numPr>
          <w:ilvl w:val="0"/>
          <w:numId w:val="68"/>
        </w:numPr>
        <w:spacing w:after="0" w:line="360" w:lineRule="auto"/>
        <w:jc w:val="both"/>
        <w:rPr>
          <w:rFonts w:ascii="Arial" w:eastAsia="Verdana" w:hAnsi="Arial" w:cs="Arial"/>
          <w:sz w:val="24"/>
          <w:szCs w:val="24"/>
        </w:rPr>
      </w:pPr>
      <w:r w:rsidRPr="00767099">
        <w:rPr>
          <w:rFonts w:ascii="Arial" w:eastAsia="Verdana" w:hAnsi="Arial" w:cs="Arial"/>
          <w:sz w:val="24"/>
          <w:szCs w:val="24"/>
        </w:rPr>
        <w:t xml:space="preserve">Problemático (rojo) para los que profundizan la lógica del mercado y la </w:t>
      </w:r>
      <w:proofErr w:type="spellStart"/>
      <w:r w:rsidRPr="00767099">
        <w:rPr>
          <w:rFonts w:ascii="Arial" w:eastAsia="Verdana" w:hAnsi="Arial" w:cs="Arial"/>
          <w:sz w:val="24"/>
          <w:szCs w:val="24"/>
        </w:rPr>
        <w:t>financiarización</w:t>
      </w:r>
      <w:proofErr w:type="spellEnd"/>
      <w:r w:rsidRPr="00767099">
        <w:rPr>
          <w:rFonts w:ascii="Arial" w:eastAsia="Verdana" w:hAnsi="Arial" w:cs="Arial"/>
          <w:sz w:val="24"/>
          <w:szCs w:val="24"/>
        </w:rPr>
        <w:t xml:space="preserve"> en perjuicio de la transformación del hábitat.</w:t>
      </w:r>
    </w:p>
    <w:p w14:paraId="73D1BCC7" w14:textId="77777777" w:rsidR="00555E50" w:rsidRDefault="00555E50" w:rsidP="00555E50">
      <w:pPr>
        <w:spacing w:before="60" w:after="60"/>
        <w:jc w:val="both"/>
        <w:rPr>
          <w:rFonts w:ascii="Verdana" w:eastAsia="Verdana" w:hAnsi="Verdana" w:cs="Verdana"/>
        </w:rPr>
      </w:pPr>
      <w:r>
        <w:rPr>
          <w:rFonts w:ascii="Verdana" w:eastAsia="Verdana" w:hAnsi="Verdana" w:cs="Verdana"/>
        </w:rPr>
        <w:t xml:space="preserve"> </w:t>
      </w:r>
    </w:p>
    <w:tbl>
      <w:tblPr>
        <w:tblW w:w="902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718"/>
        <w:gridCol w:w="1541"/>
        <w:gridCol w:w="4766"/>
      </w:tblGrid>
      <w:tr w:rsidR="00555E50" w14:paraId="6A567ACC" w14:textId="77777777" w:rsidTr="00765AB2">
        <w:trPr>
          <w:trHeight w:val="795"/>
        </w:trPr>
        <w:tc>
          <w:tcPr>
            <w:tcW w:w="2718" w:type="dxa"/>
            <w:tcBorders>
              <w:top w:val="single" w:sz="8" w:space="0" w:color="999999"/>
              <w:left w:val="single" w:sz="8" w:space="0" w:color="999999"/>
              <w:bottom w:val="single" w:sz="8" w:space="0" w:color="999999"/>
              <w:right w:val="single" w:sz="8" w:space="0" w:color="999999"/>
            </w:tcBorders>
            <w:shd w:val="clear" w:color="auto" w:fill="1F4E79"/>
            <w:tcMar>
              <w:top w:w="100" w:type="dxa"/>
              <w:left w:w="100" w:type="dxa"/>
              <w:bottom w:w="100" w:type="dxa"/>
              <w:right w:w="100" w:type="dxa"/>
            </w:tcMar>
          </w:tcPr>
          <w:p w14:paraId="50441474" w14:textId="77777777" w:rsidR="00555E50" w:rsidRDefault="00555E50" w:rsidP="00765AB2">
            <w:pPr>
              <w:jc w:val="both"/>
              <w:rPr>
                <w:rFonts w:ascii="Verdana" w:eastAsia="Verdana" w:hAnsi="Verdana" w:cs="Verdana"/>
                <w:b/>
                <w:bCs/>
                <w:color w:val="FFFFFF"/>
                <w:sz w:val="18"/>
                <w:szCs w:val="18"/>
              </w:rPr>
            </w:pPr>
            <w:r>
              <w:rPr>
                <w:rFonts w:ascii="Verdana" w:eastAsia="Verdana" w:hAnsi="Verdana" w:cs="Verdana"/>
                <w:b/>
                <w:bCs/>
                <w:color w:val="FFFFFF"/>
                <w:sz w:val="18"/>
                <w:szCs w:val="18"/>
              </w:rPr>
              <w:lastRenderedPageBreak/>
              <w:t>Programa, decreto o normativa</w:t>
            </w:r>
          </w:p>
        </w:tc>
        <w:tc>
          <w:tcPr>
            <w:tcW w:w="1541" w:type="dxa"/>
            <w:tcBorders>
              <w:top w:val="single" w:sz="8" w:space="0" w:color="999999"/>
              <w:bottom w:val="single" w:sz="8" w:space="0" w:color="999999"/>
              <w:right w:val="single" w:sz="8" w:space="0" w:color="999999"/>
            </w:tcBorders>
            <w:shd w:val="clear" w:color="auto" w:fill="1F4E79"/>
            <w:tcMar>
              <w:top w:w="100" w:type="dxa"/>
              <w:left w:w="100" w:type="dxa"/>
              <w:bottom w:w="100" w:type="dxa"/>
              <w:right w:w="100" w:type="dxa"/>
            </w:tcMar>
          </w:tcPr>
          <w:p w14:paraId="5ED19136" w14:textId="77777777" w:rsidR="00555E50" w:rsidRDefault="00555E50" w:rsidP="00765AB2">
            <w:pPr>
              <w:jc w:val="both"/>
              <w:rPr>
                <w:rFonts w:ascii="Verdana" w:eastAsia="Verdana" w:hAnsi="Verdana" w:cs="Verdana"/>
                <w:b/>
                <w:bCs/>
                <w:color w:val="FFFFFF"/>
                <w:sz w:val="18"/>
                <w:szCs w:val="18"/>
              </w:rPr>
            </w:pPr>
            <w:r>
              <w:rPr>
                <w:rFonts w:ascii="Verdana" w:eastAsia="Verdana" w:hAnsi="Verdana" w:cs="Verdana"/>
                <w:b/>
                <w:bCs/>
                <w:color w:val="FFFFFF"/>
                <w:sz w:val="18"/>
                <w:szCs w:val="18"/>
              </w:rPr>
              <w:t>Clasificación</w:t>
            </w:r>
          </w:p>
        </w:tc>
        <w:tc>
          <w:tcPr>
            <w:tcW w:w="4765" w:type="dxa"/>
            <w:tcBorders>
              <w:top w:val="single" w:sz="8" w:space="0" w:color="999999"/>
              <w:bottom w:val="single" w:sz="8" w:space="0" w:color="999999"/>
              <w:right w:val="single" w:sz="8" w:space="0" w:color="999999"/>
            </w:tcBorders>
            <w:shd w:val="clear" w:color="auto" w:fill="1F4E79"/>
            <w:tcMar>
              <w:top w:w="100" w:type="dxa"/>
              <w:left w:w="100" w:type="dxa"/>
              <w:bottom w:w="100" w:type="dxa"/>
              <w:right w:w="100" w:type="dxa"/>
            </w:tcMar>
          </w:tcPr>
          <w:p w14:paraId="28BCB41D" w14:textId="77777777" w:rsidR="00555E50" w:rsidRDefault="00555E50" w:rsidP="00765AB2">
            <w:pPr>
              <w:jc w:val="both"/>
              <w:rPr>
                <w:rFonts w:ascii="Verdana" w:eastAsia="Verdana" w:hAnsi="Verdana" w:cs="Verdana"/>
                <w:b/>
                <w:bCs/>
                <w:color w:val="FFFFFF"/>
                <w:sz w:val="18"/>
                <w:szCs w:val="18"/>
              </w:rPr>
            </w:pPr>
            <w:r>
              <w:rPr>
                <w:rFonts w:ascii="Verdana" w:eastAsia="Verdana" w:hAnsi="Verdana" w:cs="Verdana"/>
                <w:b/>
                <w:bCs/>
                <w:color w:val="FFFFFF"/>
                <w:sz w:val="18"/>
                <w:szCs w:val="18"/>
              </w:rPr>
              <w:t>Análisis desde el hábitat biodiverso, la gestión comunitaria, la economía popular y solidaria, y el derecho al agua</w:t>
            </w:r>
          </w:p>
        </w:tc>
      </w:tr>
      <w:tr w:rsidR="00555E50" w14:paraId="4D3D467C" w14:textId="77777777" w:rsidTr="00765AB2">
        <w:trPr>
          <w:trHeight w:val="330"/>
        </w:trPr>
        <w:tc>
          <w:tcPr>
            <w:tcW w:w="9024" w:type="dxa"/>
            <w:gridSpan w:val="3"/>
            <w:tcBorders>
              <w:left w:val="single" w:sz="8" w:space="0" w:color="999999"/>
              <w:bottom w:val="single" w:sz="8" w:space="0" w:color="999999"/>
              <w:right w:val="single" w:sz="8" w:space="0" w:color="999999"/>
            </w:tcBorders>
            <w:shd w:val="clear" w:color="auto" w:fill="DEEBF7"/>
            <w:tcMar>
              <w:top w:w="60" w:type="dxa"/>
              <w:left w:w="100" w:type="dxa"/>
              <w:bottom w:w="60" w:type="dxa"/>
              <w:right w:w="100" w:type="dxa"/>
            </w:tcMar>
          </w:tcPr>
          <w:p w14:paraId="12B1E224" w14:textId="77777777" w:rsidR="00555E50" w:rsidRDefault="00555E50" w:rsidP="00765AB2">
            <w:pPr>
              <w:jc w:val="both"/>
              <w:rPr>
                <w:rFonts w:ascii="Verdana" w:eastAsia="Verdana" w:hAnsi="Verdana" w:cs="Verdana"/>
                <w:b/>
                <w:bCs/>
                <w:color w:val="1F4E79"/>
                <w:sz w:val="18"/>
                <w:szCs w:val="18"/>
              </w:rPr>
            </w:pPr>
            <w:r>
              <w:rPr>
                <w:rFonts w:ascii="Verdana" w:eastAsia="Verdana" w:hAnsi="Verdana" w:cs="Verdana"/>
                <w:b/>
                <w:bCs/>
                <w:color w:val="1F4E79"/>
                <w:sz w:val="18"/>
                <w:szCs w:val="18"/>
              </w:rPr>
              <w:t>VIVIENDA Y HÁBITAT</w:t>
            </w:r>
          </w:p>
        </w:tc>
      </w:tr>
      <w:tr w:rsidR="00555E50" w14:paraId="1A817EC8" w14:textId="77777777" w:rsidTr="00765AB2">
        <w:trPr>
          <w:trHeight w:val="1815"/>
        </w:trPr>
        <w:tc>
          <w:tcPr>
            <w:tcW w:w="2718" w:type="dxa"/>
            <w:tcBorders>
              <w:left w:val="single" w:sz="8" w:space="0" w:color="999999"/>
              <w:bottom w:val="single" w:sz="8" w:space="0" w:color="999999"/>
              <w:right w:val="single" w:sz="8" w:space="0" w:color="999999"/>
            </w:tcBorders>
            <w:tcMar>
              <w:top w:w="80" w:type="dxa"/>
              <w:left w:w="100" w:type="dxa"/>
              <w:bottom w:w="80" w:type="dxa"/>
              <w:right w:w="100" w:type="dxa"/>
            </w:tcMar>
          </w:tcPr>
          <w:p w14:paraId="42C5E0DB"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Decreto 1470 de 2024 — Programa Barrios y Veredas de Paz</w:t>
            </w:r>
          </w:p>
        </w:tc>
        <w:tc>
          <w:tcPr>
            <w:tcW w:w="1541" w:type="dxa"/>
            <w:tcBorders>
              <w:bottom w:val="single" w:sz="8" w:space="0" w:color="999999"/>
              <w:right w:val="single" w:sz="8" w:space="0" w:color="999999"/>
            </w:tcBorders>
            <w:shd w:val="clear" w:color="auto" w:fill="D9EAD3"/>
            <w:tcMar>
              <w:top w:w="80" w:type="dxa"/>
              <w:left w:w="100" w:type="dxa"/>
              <w:bottom w:w="80" w:type="dxa"/>
              <w:right w:w="100" w:type="dxa"/>
            </w:tcMar>
          </w:tcPr>
          <w:p w14:paraId="3C501B48"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Oportunidad</w:t>
            </w:r>
          </w:p>
        </w:tc>
        <w:tc>
          <w:tcPr>
            <w:tcW w:w="4765" w:type="dxa"/>
            <w:tcBorders>
              <w:bottom w:val="single" w:sz="8" w:space="0" w:color="999999"/>
              <w:right w:val="single" w:sz="8" w:space="0" w:color="999999"/>
            </w:tcBorders>
            <w:tcMar>
              <w:top w:w="80" w:type="dxa"/>
              <w:left w:w="100" w:type="dxa"/>
              <w:bottom w:w="80" w:type="dxa"/>
              <w:right w:w="100" w:type="dxa"/>
            </w:tcMar>
          </w:tcPr>
          <w:p w14:paraId="68337E4F" w14:textId="77777777" w:rsidR="00555E50" w:rsidRDefault="00555E50" w:rsidP="00765AB2">
            <w:pPr>
              <w:spacing w:before="40" w:after="40"/>
              <w:jc w:val="both"/>
              <w:rPr>
                <w:rFonts w:ascii="Verdana" w:eastAsia="Verdana" w:hAnsi="Verdana" w:cs="Verdana"/>
                <w:sz w:val="18"/>
                <w:szCs w:val="18"/>
              </w:rPr>
            </w:pPr>
            <w:r>
              <w:rPr>
                <w:rFonts w:ascii="Verdana" w:eastAsia="Verdana" w:hAnsi="Verdana" w:cs="Verdana"/>
                <w:sz w:val="18"/>
                <w:szCs w:val="18"/>
              </w:rPr>
              <w:t>Reconoce el origen popular, informal y comunitario del hábitat. Crea Planes de Gestión del Hábitat y Mesa Nacional articulada con catorce ministerios. Es el instrumento estructural del hábitat biodiverso para asentamientos urbanos y rurales impactados por el conflicto. Reto: blindarlo presupuestal y operativamente, masificarlo y evitar que la lógica de mejoramiento integral de barrios desplace la centralidad de la paz y la gobernanza comunitaria.</w:t>
            </w:r>
          </w:p>
        </w:tc>
      </w:tr>
      <w:tr w:rsidR="00555E50" w14:paraId="3A1705D3" w14:textId="77777777" w:rsidTr="00765AB2">
        <w:trPr>
          <w:trHeight w:val="2010"/>
        </w:trPr>
        <w:tc>
          <w:tcPr>
            <w:tcW w:w="2718" w:type="dxa"/>
            <w:tcBorders>
              <w:left w:val="single" w:sz="8" w:space="0" w:color="999999"/>
              <w:bottom w:val="single" w:sz="8" w:space="0" w:color="999999"/>
              <w:right w:val="single" w:sz="8" w:space="0" w:color="999999"/>
            </w:tcBorders>
            <w:tcMar>
              <w:top w:w="80" w:type="dxa"/>
              <w:left w:w="100" w:type="dxa"/>
              <w:bottom w:w="80" w:type="dxa"/>
              <w:right w:w="100" w:type="dxa"/>
            </w:tcMar>
          </w:tcPr>
          <w:p w14:paraId="74E98F93"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 xml:space="preserve">Decreto 585 de 2025 — Autogestión, Autoconstrucción y Construcción </w:t>
            </w:r>
            <w:proofErr w:type="gramStart"/>
            <w:r>
              <w:rPr>
                <w:rFonts w:ascii="Verdana" w:eastAsia="Verdana" w:hAnsi="Verdana" w:cs="Verdana"/>
                <w:b/>
                <w:bCs/>
                <w:sz w:val="18"/>
                <w:szCs w:val="18"/>
              </w:rPr>
              <w:t>Delegada</w:t>
            </w:r>
            <w:proofErr w:type="gramEnd"/>
          </w:p>
        </w:tc>
        <w:tc>
          <w:tcPr>
            <w:tcW w:w="1541" w:type="dxa"/>
            <w:tcBorders>
              <w:bottom w:val="single" w:sz="8" w:space="0" w:color="999999"/>
              <w:right w:val="single" w:sz="8" w:space="0" w:color="999999"/>
            </w:tcBorders>
            <w:shd w:val="clear" w:color="auto" w:fill="D9EAD3"/>
            <w:tcMar>
              <w:top w:w="80" w:type="dxa"/>
              <w:left w:w="100" w:type="dxa"/>
              <w:bottom w:w="80" w:type="dxa"/>
              <w:right w:w="100" w:type="dxa"/>
            </w:tcMar>
          </w:tcPr>
          <w:p w14:paraId="3F360133"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Oportunidad</w:t>
            </w:r>
          </w:p>
        </w:tc>
        <w:tc>
          <w:tcPr>
            <w:tcW w:w="4765" w:type="dxa"/>
            <w:tcBorders>
              <w:bottom w:val="single" w:sz="8" w:space="0" w:color="999999"/>
              <w:right w:val="single" w:sz="8" w:space="0" w:color="999999"/>
            </w:tcBorders>
            <w:tcMar>
              <w:top w:w="80" w:type="dxa"/>
              <w:left w:w="100" w:type="dxa"/>
              <w:bottom w:w="80" w:type="dxa"/>
              <w:right w:w="100" w:type="dxa"/>
            </w:tcMar>
          </w:tcPr>
          <w:p w14:paraId="15D8D2AD" w14:textId="77777777" w:rsidR="00555E50" w:rsidRDefault="00555E50" w:rsidP="00765AB2">
            <w:pPr>
              <w:spacing w:before="40" w:after="40"/>
              <w:jc w:val="both"/>
              <w:rPr>
                <w:rFonts w:ascii="Verdana" w:eastAsia="Verdana" w:hAnsi="Verdana" w:cs="Verdana"/>
                <w:sz w:val="18"/>
                <w:szCs w:val="18"/>
              </w:rPr>
            </w:pPr>
            <w:r>
              <w:rPr>
                <w:rFonts w:ascii="Verdana" w:eastAsia="Verdana" w:hAnsi="Verdana" w:cs="Verdana"/>
                <w:sz w:val="18"/>
                <w:szCs w:val="18"/>
              </w:rPr>
              <w:t>Hito histórico: por primera vez el Estado reconoce a OPV, JAC, cooperativas, consejos comunitarios y resguardos como ejecutores de vivienda VIS nueva. Subsidio hasta 70 SMMLV (100 SMMLV en zonas de difícil acceso). Reconoce posesión sana de 5 años, suelos urbanizados por la comunidad y procesos en legalización. Reto: resolver el cuello de botella financiero (subsidio se paga contra producto terminado), expedir el manual operativo, y asegurar que las organizaciones pequeñas no queden por fuera por falta de músculo financiero.</w:t>
            </w:r>
          </w:p>
        </w:tc>
      </w:tr>
      <w:tr w:rsidR="00555E50" w14:paraId="01C5C1E3" w14:textId="77777777" w:rsidTr="00765AB2">
        <w:trPr>
          <w:trHeight w:val="1815"/>
        </w:trPr>
        <w:tc>
          <w:tcPr>
            <w:tcW w:w="2718" w:type="dxa"/>
            <w:tcBorders>
              <w:left w:val="single" w:sz="8" w:space="0" w:color="999999"/>
              <w:bottom w:val="single" w:sz="8" w:space="0" w:color="999999"/>
              <w:right w:val="single" w:sz="8" w:space="0" w:color="999999"/>
            </w:tcBorders>
            <w:tcMar>
              <w:top w:w="80" w:type="dxa"/>
              <w:left w:w="100" w:type="dxa"/>
              <w:bottom w:w="80" w:type="dxa"/>
              <w:right w:w="100" w:type="dxa"/>
            </w:tcMar>
          </w:tcPr>
          <w:p w14:paraId="2047345D"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Decreto 413 de 2025 — Mejoramiento de Vivienda urbana y rural</w:t>
            </w:r>
          </w:p>
        </w:tc>
        <w:tc>
          <w:tcPr>
            <w:tcW w:w="1541" w:type="dxa"/>
            <w:tcBorders>
              <w:bottom w:val="single" w:sz="8" w:space="0" w:color="999999"/>
              <w:right w:val="single" w:sz="8" w:space="0" w:color="999999"/>
            </w:tcBorders>
            <w:shd w:val="clear" w:color="auto" w:fill="D9EAD3"/>
            <w:tcMar>
              <w:top w:w="80" w:type="dxa"/>
              <w:left w:w="100" w:type="dxa"/>
              <w:bottom w:w="80" w:type="dxa"/>
              <w:right w:w="100" w:type="dxa"/>
            </w:tcMar>
          </w:tcPr>
          <w:p w14:paraId="66B09CEA"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Oportunidad</w:t>
            </w:r>
          </w:p>
        </w:tc>
        <w:tc>
          <w:tcPr>
            <w:tcW w:w="4765" w:type="dxa"/>
            <w:tcBorders>
              <w:bottom w:val="single" w:sz="8" w:space="0" w:color="999999"/>
              <w:right w:val="single" w:sz="8" w:space="0" w:color="999999"/>
            </w:tcBorders>
            <w:tcMar>
              <w:top w:w="80" w:type="dxa"/>
              <w:left w:w="100" w:type="dxa"/>
              <w:bottom w:w="80" w:type="dxa"/>
              <w:right w:w="100" w:type="dxa"/>
            </w:tcMar>
          </w:tcPr>
          <w:p w14:paraId="2080A1A4" w14:textId="77777777" w:rsidR="00555E50" w:rsidRDefault="00555E50" w:rsidP="00765AB2">
            <w:pPr>
              <w:spacing w:before="40" w:after="40"/>
              <w:jc w:val="both"/>
              <w:rPr>
                <w:rFonts w:ascii="Verdana" w:eastAsia="Verdana" w:hAnsi="Verdana" w:cs="Verdana"/>
                <w:sz w:val="18"/>
                <w:szCs w:val="18"/>
              </w:rPr>
            </w:pPr>
            <w:r>
              <w:rPr>
                <w:rFonts w:ascii="Verdana" w:eastAsia="Verdana" w:hAnsi="Verdana" w:cs="Verdana"/>
                <w:sz w:val="18"/>
                <w:szCs w:val="18"/>
              </w:rPr>
              <w:t>Cambio estructural: pasa del énfasis en vivienda nueva al déficit cualitativo (3,7 millones de hogares). Cuatro modalidades de gestión (social, particular con alianza comunitaria, asociada y pública). Habilita a maestros de obra, ferreteros y organizaciones populares como ejecutores; incorpora resiliencia climática. La Modalidad I de gestión social rompe el monopolio histórico de las grandes firmas constructoras. Articulación con Resolución 0466 de 2025 (Manual Operativo).</w:t>
            </w:r>
          </w:p>
        </w:tc>
      </w:tr>
      <w:tr w:rsidR="00555E50" w14:paraId="40A512B9" w14:textId="77777777" w:rsidTr="00765AB2">
        <w:trPr>
          <w:trHeight w:val="1815"/>
        </w:trPr>
        <w:tc>
          <w:tcPr>
            <w:tcW w:w="2718" w:type="dxa"/>
            <w:tcBorders>
              <w:left w:val="single" w:sz="8" w:space="0" w:color="999999"/>
              <w:bottom w:val="single" w:sz="8" w:space="0" w:color="999999"/>
              <w:right w:val="single" w:sz="8" w:space="0" w:color="999999"/>
            </w:tcBorders>
            <w:tcMar>
              <w:top w:w="80" w:type="dxa"/>
              <w:left w:w="100" w:type="dxa"/>
              <w:bottom w:w="80" w:type="dxa"/>
              <w:right w:w="100" w:type="dxa"/>
            </w:tcMar>
          </w:tcPr>
          <w:p w14:paraId="1AABC283"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Decreto 775 de 2025 — Subsidio para Vivienda Usada</w:t>
            </w:r>
          </w:p>
        </w:tc>
        <w:tc>
          <w:tcPr>
            <w:tcW w:w="1541" w:type="dxa"/>
            <w:tcBorders>
              <w:bottom w:val="single" w:sz="8" w:space="0" w:color="999999"/>
              <w:right w:val="single" w:sz="8" w:space="0" w:color="999999"/>
            </w:tcBorders>
            <w:shd w:val="clear" w:color="auto" w:fill="D9EAD3"/>
            <w:tcMar>
              <w:top w:w="80" w:type="dxa"/>
              <w:left w:w="100" w:type="dxa"/>
              <w:bottom w:w="80" w:type="dxa"/>
              <w:right w:w="100" w:type="dxa"/>
            </w:tcMar>
          </w:tcPr>
          <w:p w14:paraId="4A51D30A"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Oportunidad</w:t>
            </w:r>
          </w:p>
        </w:tc>
        <w:tc>
          <w:tcPr>
            <w:tcW w:w="4765" w:type="dxa"/>
            <w:tcBorders>
              <w:bottom w:val="single" w:sz="8" w:space="0" w:color="999999"/>
              <w:right w:val="single" w:sz="8" w:space="0" w:color="999999"/>
            </w:tcBorders>
            <w:tcMar>
              <w:top w:w="80" w:type="dxa"/>
              <w:left w:w="100" w:type="dxa"/>
              <w:bottom w:w="80" w:type="dxa"/>
              <w:right w:w="100" w:type="dxa"/>
            </w:tcMar>
          </w:tcPr>
          <w:p w14:paraId="401A00FF" w14:textId="77777777" w:rsidR="00555E50" w:rsidRDefault="00555E50" w:rsidP="00765AB2">
            <w:pPr>
              <w:spacing w:before="40" w:after="40"/>
              <w:jc w:val="both"/>
              <w:rPr>
                <w:rFonts w:ascii="Verdana" w:eastAsia="Verdana" w:hAnsi="Verdana" w:cs="Verdana"/>
                <w:sz w:val="18"/>
                <w:szCs w:val="18"/>
              </w:rPr>
            </w:pPr>
            <w:r>
              <w:rPr>
                <w:rFonts w:ascii="Verdana" w:eastAsia="Verdana" w:hAnsi="Verdana" w:cs="Verdana"/>
                <w:sz w:val="18"/>
                <w:szCs w:val="18"/>
              </w:rPr>
              <w:t>Habilita por primera vez el SFV para vivienda usada, priorizando víctimas del conflicto, reincorporados, madres comunitarias y recicladores. Aprovecha el patrimonio urbano consolidado y abre acceso al sector vulnerable que no podía esperar años por proyectos nuevos. Reto: garantizar mecanismos de cierre financiero accesibles para hogares sin historial crediticio y evitar que el subsidio termine inflando precios del mercado secundario.</w:t>
            </w:r>
          </w:p>
        </w:tc>
      </w:tr>
      <w:tr w:rsidR="00555E50" w14:paraId="53D1155E" w14:textId="77777777" w:rsidTr="00765AB2">
        <w:trPr>
          <w:trHeight w:val="1620"/>
        </w:trPr>
        <w:tc>
          <w:tcPr>
            <w:tcW w:w="2718" w:type="dxa"/>
            <w:tcBorders>
              <w:left w:val="single" w:sz="8" w:space="0" w:color="999999"/>
              <w:bottom w:val="single" w:sz="8" w:space="0" w:color="999999"/>
              <w:right w:val="single" w:sz="8" w:space="0" w:color="999999"/>
            </w:tcBorders>
            <w:tcMar>
              <w:top w:w="80" w:type="dxa"/>
              <w:left w:w="100" w:type="dxa"/>
              <w:bottom w:w="80" w:type="dxa"/>
              <w:right w:w="100" w:type="dxa"/>
            </w:tcMar>
          </w:tcPr>
          <w:p w14:paraId="17CC261D"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lastRenderedPageBreak/>
              <w:t>Decreto 1166 de 2025 — Reconocimiento de edificaciones sin licencia</w:t>
            </w:r>
          </w:p>
        </w:tc>
        <w:tc>
          <w:tcPr>
            <w:tcW w:w="1541" w:type="dxa"/>
            <w:tcBorders>
              <w:bottom w:val="single" w:sz="8" w:space="0" w:color="999999"/>
              <w:right w:val="single" w:sz="8" w:space="0" w:color="999999"/>
            </w:tcBorders>
            <w:shd w:val="clear" w:color="auto" w:fill="D9EAD3"/>
            <w:tcMar>
              <w:top w:w="80" w:type="dxa"/>
              <w:left w:w="100" w:type="dxa"/>
              <w:bottom w:w="80" w:type="dxa"/>
              <w:right w:w="100" w:type="dxa"/>
            </w:tcMar>
          </w:tcPr>
          <w:p w14:paraId="0DDEF763"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Oportunidad</w:t>
            </w:r>
          </w:p>
        </w:tc>
        <w:tc>
          <w:tcPr>
            <w:tcW w:w="4765" w:type="dxa"/>
            <w:tcBorders>
              <w:bottom w:val="single" w:sz="8" w:space="0" w:color="999999"/>
              <w:right w:val="single" w:sz="8" w:space="0" w:color="999999"/>
            </w:tcBorders>
            <w:tcMar>
              <w:top w:w="80" w:type="dxa"/>
              <w:left w:w="100" w:type="dxa"/>
              <w:bottom w:w="80" w:type="dxa"/>
              <w:right w:w="100" w:type="dxa"/>
            </w:tcMar>
          </w:tcPr>
          <w:p w14:paraId="3DC54411" w14:textId="77777777" w:rsidR="00555E50" w:rsidRDefault="00555E50" w:rsidP="00765AB2">
            <w:pPr>
              <w:spacing w:before="40" w:after="40"/>
              <w:jc w:val="both"/>
              <w:rPr>
                <w:rFonts w:ascii="Verdana" w:eastAsia="Verdana" w:hAnsi="Verdana" w:cs="Verdana"/>
                <w:sz w:val="18"/>
                <w:szCs w:val="18"/>
              </w:rPr>
            </w:pPr>
            <w:r>
              <w:rPr>
                <w:rFonts w:ascii="Verdana" w:eastAsia="Verdana" w:hAnsi="Verdana" w:cs="Verdana"/>
                <w:sz w:val="18"/>
                <w:szCs w:val="18"/>
              </w:rPr>
              <w:t>Elimina la exigencia de licencia para mejoramiento, construcción progresiva y construcción en sitio propio cuando se aplique subsidio, mediante carta de responsabilidad técnica. Articulado con el Decreto 585 reduce barreras burocráticas en territorios donde el costo de la licencia supera el de la propia intervención. Reto: extender su alcance explícito a la vivienda rural y a construcciones sin subsidio, hoy excluidas.</w:t>
            </w:r>
          </w:p>
        </w:tc>
      </w:tr>
      <w:tr w:rsidR="00555E50" w14:paraId="370DFF16" w14:textId="77777777" w:rsidTr="00765AB2">
        <w:trPr>
          <w:trHeight w:val="2010"/>
        </w:trPr>
        <w:tc>
          <w:tcPr>
            <w:tcW w:w="2718" w:type="dxa"/>
            <w:tcBorders>
              <w:left w:val="single" w:sz="8" w:space="0" w:color="999999"/>
              <w:bottom w:val="single" w:sz="8" w:space="0" w:color="999999"/>
              <w:right w:val="single" w:sz="8" w:space="0" w:color="999999"/>
            </w:tcBorders>
            <w:tcMar>
              <w:top w:w="80" w:type="dxa"/>
              <w:left w:w="100" w:type="dxa"/>
              <w:bottom w:w="80" w:type="dxa"/>
              <w:right w:w="100" w:type="dxa"/>
            </w:tcMar>
          </w:tcPr>
          <w:p w14:paraId="172DA525"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Programa Mi Casa Ya (Ley 3 de 1991; programa operado desde 2015)</w:t>
            </w:r>
          </w:p>
        </w:tc>
        <w:tc>
          <w:tcPr>
            <w:tcW w:w="1541" w:type="dxa"/>
            <w:tcBorders>
              <w:bottom w:val="single" w:sz="8" w:space="0" w:color="999999"/>
              <w:right w:val="single" w:sz="8" w:space="0" w:color="999999"/>
            </w:tcBorders>
            <w:shd w:val="clear" w:color="auto" w:fill="F4CCCC"/>
            <w:tcMar>
              <w:top w:w="80" w:type="dxa"/>
              <w:left w:w="100" w:type="dxa"/>
              <w:bottom w:w="80" w:type="dxa"/>
              <w:right w:w="100" w:type="dxa"/>
            </w:tcMar>
          </w:tcPr>
          <w:p w14:paraId="4D2548CB"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Problemático</w:t>
            </w:r>
          </w:p>
        </w:tc>
        <w:tc>
          <w:tcPr>
            <w:tcW w:w="4765" w:type="dxa"/>
            <w:tcBorders>
              <w:bottom w:val="single" w:sz="8" w:space="0" w:color="999999"/>
              <w:right w:val="single" w:sz="8" w:space="0" w:color="999999"/>
            </w:tcBorders>
            <w:tcMar>
              <w:top w:w="80" w:type="dxa"/>
              <w:left w:w="100" w:type="dxa"/>
              <w:bottom w:w="80" w:type="dxa"/>
              <w:right w:w="100" w:type="dxa"/>
            </w:tcMar>
          </w:tcPr>
          <w:p w14:paraId="2A66711C" w14:textId="77777777" w:rsidR="00555E50" w:rsidRDefault="00555E50" w:rsidP="00765AB2">
            <w:pPr>
              <w:spacing w:before="40" w:after="40"/>
              <w:jc w:val="both"/>
              <w:rPr>
                <w:rFonts w:ascii="Verdana" w:eastAsia="Verdana" w:hAnsi="Verdana" w:cs="Verdana"/>
                <w:sz w:val="18"/>
                <w:szCs w:val="18"/>
              </w:rPr>
            </w:pPr>
            <w:r>
              <w:rPr>
                <w:rFonts w:ascii="Verdana" w:eastAsia="Verdana" w:hAnsi="Verdana" w:cs="Verdana"/>
                <w:sz w:val="18"/>
                <w:szCs w:val="18"/>
              </w:rPr>
              <w:t xml:space="preserve">Modelo emblemático del paradigma neoliberal: subsidio a la demanda, bancarizado, dependiente del cierre financiero con la banca privada. Concentra recursos en el Sistema de Ciudades (151 municipios) y deja por fuera al 86% del país. Beneficia a grandes constructoras (Camacol) y al sistema financiero. Su discontinuación en 2026 abre espacio al cambio de paradigma, pero un </w:t>
            </w:r>
            <w:proofErr w:type="spellStart"/>
            <w:r>
              <w:rPr>
                <w:rFonts w:ascii="Verdana" w:eastAsia="Verdana" w:hAnsi="Verdana" w:cs="Verdana"/>
                <w:sz w:val="18"/>
                <w:szCs w:val="18"/>
              </w:rPr>
              <w:t>Conpes</w:t>
            </w:r>
            <w:proofErr w:type="spellEnd"/>
            <w:r>
              <w:rPr>
                <w:rFonts w:ascii="Verdana" w:eastAsia="Verdana" w:hAnsi="Verdana" w:cs="Verdana"/>
                <w:sz w:val="18"/>
                <w:szCs w:val="18"/>
              </w:rPr>
              <w:t xml:space="preserve"> lo sostiene normativamente: requiere desmonte progresivo y reorientación de recursos hacia autogestión, mejoramiento y oferta.</w:t>
            </w:r>
          </w:p>
        </w:tc>
      </w:tr>
      <w:tr w:rsidR="00555E50" w14:paraId="3363D97A" w14:textId="77777777" w:rsidTr="003F11D6">
        <w:trPr>
          <w:trHeight w:val="472"/>
        </w:trPr>
        <w:tc>
          <w:tcPr>
            <w:tcW w:w="2718" w:type="dxa"/>
            <w:tcBorders>
              <w:left w:val="single" w:sz="8" w:space="0" w:color="999999"/>
              <w:bottom w:val="single" w:sz="8" w:space="0" w:color="999999"/>
              <w:right w:val="single" w:sz="8" w:space="0" w:color="999999"/>
            </w:tcBorders>
            <w:tcMar>
              <w:top w:w="80" w:type="dxa"/>
              <w:left w:w="100" w:type="dxa"/>
              <w:bottom w:w="80" w:type="dxa"/>
              <w:right w:w="100" w:type="dxa"/>
            </w:tcMar>
          </w:tcPr>
          <w:p w14:paraId="2EFFC683"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Decreto 1494 de 2024 — Línea de crédito con tasa compensada VIS/VIP (Findeter)</w:t>
            </w:r>
          </w:p>
        </w:tc>
        <w:tc>
          <w:tcPr>
            <w:tcW w:w="1541" w:type="dxa"/>
            <w:tcBorders>
              <w:bottom w:val="single" w:sz="8" w:space="0" w:color="999999"/>
              <w:right w:val="single" w:sz="8" w:space="0" w:color="999999"/>
            </w:tcBorders>
            <w:shd w:val="clear" w:color="auto" w:fill="FFF2CC"/>
            <w:tcMar>
              <w:top w:w="80" w:type="dxa"/>
              <w:left w:w="100" w:type="dxa"/>
              <w:bottom w:w="80" w:type="dxa"/>
              <w:right w:w="100" w:type="dxa"/>
            </w:tcMar>
          </w:tcPr>
          <w:p w14:paraId="256F4910"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Requiere modificación</w:t>
            </w:r>
          </w:p>
        </w:tc>
        <w:tc>
          <w:tcPr>
            <w:tcW w:w="4765" w:type="dxa"/>
            <w:tcBorders>
              <w:bottom w:val="single" w:sz="8" w:space="0" w:color="999999"/>
              <w:right w:val="single" w:sz="8" w:space="0" w:color="999999"/>
            </w:tcBorders>
            <w:tcMar>
              <w:top w:w="80" w:type="dxa"/>
              <w:left w:w="100" w:type="dxa"/>
              <w:bottom w:w="80" w:type="dxa"/>
              <w:right w:w="100" w:type="dxa"/>
            </w:tcMar>
          </w:tcPr>
          <w:p w14:paraId="3952AA81" w14:textId="77777777" w:rsidR="00555E50" w:rsidRDefault="00555E50" w:rsidP="00765AB2">
            <w:pPr>
              <w:spacing w:before="40" w:after="40"/>
              <w:jc w:val="both"/>
              <w:rPr>
                <w:rFonts w:ascii="Verdana" w:eastAsia="Verdana" w:hAnsi="Verdana" w:cs="Verdana"/>
                <w:sz w:val="18"/>
                <w:szCs w:val="18"/>
              </w:rPr>
            </w:pPr>
            <w:r>
              <w:rPr>
                <w:rFonts w:ascii="Verdana" w:eastAsia="Verdana" w:hAnsi="Verdana" w:cs="Verdana"/>
                <w:sz w:val="18"/>
                <w:szCs w:val="18"/>
              </w:rPr>
              <w:t>Hasta $2 billones para tasa compensada en VIS/VIP de desarrollo regional. Útil para alcanzar municipios fuera del Sistema de Ciudades, pero opera dentro de la lógica bancaria tradicional y no incorpora a las organizaciones comunitarias como destinatarias directas del crédito. Requiere modificación para que se canalice también a OPV, cooperativas y gestores comunitarios, con garantías flexibles del FNA (avales, garantías personales o mobiliarias).</w:t>
            </w:r>
          </w:p>
        </w:tc>
      </w:tr>
      <w:tr w:rsidR="00555E50" w14:paraId="147F7144" w14:textId="77777777" w:rsidTr="00765AB2">
        <w:trPr>
          <w:trHeight w:val="1620"/>
        </w:trPr>
        <w:tc>
          <w:tcPr>
            <w:tcW w:w="2718" w:type="dxa"/>
            <w:tcBorders>
              <w:left w:val="single" w:sz="8" w:space="0" w:color="999999"/>
              <w:bottom w:val="single" w:sz="8" w:space="0" w:color="999999"/>
              <w:right w:val="single" w:sz="8" w:space="0" w:color="999999"/>
            </w:tcBorders>
            <w:tcMar>
              <w:top w:w="80" w:type="dxa"/>
              <w:left w:w="100" w:type="dxa"/>
              <w:bottom w:w="80" w:type="dxa"/>
              <w:right w:w="100" w:type="dxa"/>
            </w:tcMar>
          </w:tcPr>
          <w:p w14:paraId="189AE328"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 xml:space="preserve">Decreto 583 de 2025 — Primera cuota crédito hipotecario (30% </w:t>
            </w:r>
            <w:r>
              <w:rPr>
                <w:rFonts w:ascii="Arial Unicode MS" w:eastAsia="Arial Unicode MS" w:hAnsi="Arial Unicode MS" w:cs="Arial Unicode MS"/>
                <w:b/>
                <w:bCs/>
                <w:sz w:val="18"/>
                <w:szCs w:val="18"/>
              </w:rPr>
              <w:t>→</w:t>
            </w:r>
            <w:r>
              <w:rPr>
                <w:rFonts w:ascii="Verdana" w:eastAsia="Verdana" w:hAnsi="Verdana" w:cs="Verdana"/>
                <w:b/>
                <w:bCs/>
                <w:sz w:val="18"/>
                <w:szCs w:val="18"/>
              </w:rPr>
              <w:t xml:space="preserve"> 40%)</w:t>
            </w:r>
          </w:p>
        </w:tc>
        <w:tc>
          <w:tcPr>
            <w:tcW w:w="1541" w:type="dxa"/>
            <w:tcBorders>
              <w:bottom w:val="single" w:sz="8" w:space="0" w:color="999999"/>
              <w:right w:val="single" w:sz="8" w:space="0" w:color="999999"/>
            </w:tcBorders>
            <w:shd w:val="clear" w:color="auto" w:fill="F4CCCC"/>
            <w:tcMar>
              <w:top w:w="80" w:type="dxa"/>
              <w:left w:w="100" w:type="dxa"/>
              <w:bottom w:w="80" w:type="dxa"/>
              <w:right w:w="100" w:type="dxa"/>
            </w:tcMar>
          </w:tcPr>
          <w:p w14:paraId="0909341A"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Problemático</w:t>
            </w:r>
          </w:p>
        </w:tc>
        <w:tc>
          <w:tcPr>
            <w:tcW w:w="4765" w:type="dxa"/>
            <w:tcBorders>
              <w:bottom w:val="single" w:sz="8" w:space="0" w:color="999999"/>
              <w:right w:val="single" w:sz="8" w:space="0" w:color="999999"/>
            </w:tcBorders>
            <w:tcMar>
              <w:top w:w="80" w:type="dxa"/>
              <w:left w:w="100" w:type="dxa"/>
              <w:bottom w:w="80" w:type="dxa"/>
              <w:right w:w="100" w:type="dxa"/>
            </w:tcMar>
          </w:tcPr>
          <w:p w14:paraId="41207042" w14:textId="77777777" w:rsidR="00555E50" w:rsidRDefault="00555E50" w:rsidP="00765AB2">
            <w:pPr>
              <w:spacing w:before="40" w:after="40"/>
              <w:jc w:val="both"/>
              <w:rPr>
                <w:rFonts w:ascii="Verdana" w:eastAsia="Verdana" w:hAnsi="Verdana" w:cs="Verdana"/>
                <w:sz w:val="18"/>
                <w:szCs w:val="18"/>
              </w:rPr>
            </w:pPr>
            <w:r>
              <w:rPr>
                <w:rFonts w:ascii="Verdana" w:eastAsia="Verdana" w:hAnsi="Verdana" w:cs="Verdana"/>
                <w:sz w:val="18"/>
                <w:szCs w:val="18"/>
              </w:rPr>
              <w:t xml:space="preserve">Eleva del 30% al 40% el porcentaje del ingreso familiar </w:t>
            </w:r>
            <w:proofErr w:type="spellStart"/>
            <w:r>
              <w:rPr>
                <w:rFonts w:ascii="Verdana" w:eastAsia="Verdana" w:hAnsi="Verdana" w:cs="Verdana"/>
                <w:sz w:val="18"/>
                <w:szCs w:val="18"/>
              </w:rPr>
              <w:t>destinable</w:t>
            </w:r>
            <w:proofErr w:type="spellEnd"/>
            <w:r>
              <w:rPr>
                <w:rFonts w:ascii="Verdana" w:eastAsia="Verdana" w:hAnsi="Verdana" w:cs="Verdana"/>
                <w:sz w:val="18"/>
                <w:szCs w:val="18"/>
              </w:rPr>
              <w:t xml:space="preserve"> a la primera cuota de créditos no VIS. Aumenta la capacidad de endeudamiento de hogares de mayores ingresos sin tocar las causas estructurales del costo: indexación al SMLMV, utilidades del sector, costos de intermediación. Beneficia a la banca y al constructor de no-VIS; no aporta al cierre del déficit cualitativo ni a la economía popular.</w:t>
            </w:r>
          </w:p>
        </w:tc>
      </w:tr>
      <w:tr w:rsidR="00555E50" w14:paraId="0D15A02D" w14:textId="77777777" w:rsidTr="00765AB2">
        <w:trPr>
          <w:trHeight w:val="1815"/>
        </w:trPr>
        <w:tc>
          <w:tcPr>
            <w:tcW w:w="2718" w:type="dxa"/>
            <w:tcBorders>
              <w:left w:val="single" w:sz="8" w:space="0" w:color="999999"/>
              <w:bottom w:val="single" w:sz="8" w:space="0" w:color="999999"/>
              <w:right w:val="single" w:sz="8" w:space="0" w:color="999999"/>
            </w:tcBorders>
            <w:tcMar>
              <w:top w:w="80" w:type="dxa"/>
              <w:left w:w="100" w:type="dxa"/>
              <w:bottom w:w="80" w:type="dxa"/>
              <w:right w:w="100" w:type="dxa"/>
            </w:tcMar>
          </w:tcPr>
          <w:p w14:paraId="7828F6A5"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Decreto 074 de 2025 — Prórroga de licencias urbanísticas</w:t>
            </w:r>
          </w:p>
        </w:tc>
        <w:tc>
          <w:tcPr>
            <w:tcW w:w="1541" w:type="dxa"/>
            <w:tcBorders>
              <w:bottom w:val="single" w:sz="8" w:space="0" w:color="999999"/>
              <w:right w:val="single" w:sz="8" w:space="0" w:color="999999"/>
            </w:tcBorders>
            <w:shd w:val="clear" w:color="auto" w:fill="FFF2CC"/>
            <w:tcMar>
              <w:top w:w="80" w:type="dxa"/>
              <w:left w:w="100" w:type="dxa"/>
              <w:bottom w:w="80" w:type="dxa"/>
              <w:right w:w="100" w:type="dxa"/>
            </w:tcMar>
          </w:tcPr>
          <w:p w14:paraId="568B19F1"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Requiere modificación</w:t>
            </w:r>
          </w:p>
        </w:tc>
        <w:tc>
          <w:tcPr>
            <w:tcW w:w="4765" w:type="dxa"/>
            <w:tcBorders>
              <w:bottom w:val="single" w:sz="8" w:space="0" w:color="999999"/>
              <w:right w:val="single" w:sz="8" w:space="0" w:color="999999"/>
            </w:tcBorders>
            <w:tcMar>
              <w:top w:w="80" w:type="dxa"/>
              <w:left w:w="100" w:type="dxa"/>
              <w:bottom w:w="80" w:type="dxa"/>
              <w:right w:w="100" w:type="dxa"/>
            </w:tcMar>
          </w:tcPr>
          <w:p w14:paraId="316F1216" w14:textId="77777777" w:rsidR="00555E50" w:rsidRDefault="00555E50" w:rsidP="00765AB2">
            <w:pPr>
              <w:spacing w:before="40" w:after="40"/>
              <w:jc w:val="both"/>
              <w:rPr>
                <w:rFonts w:ascii="Verdana" w:eastAsia="Verdana" w:hAnsi="Verdana" w:cs="Verdana"/>
                <w:sz w:val="18"/>
                <w:szCs w:val="18"/>
              </w:rPr>
            </w:pPr>
            <w:r>
              <w:rPr>
                <w:rFonts w:ascii="Verdana" w:eastAsia="Verdana" w:hAnsi="Verdana" w:cs="Verdana"/>
                <w:sz w:val="18"/>
                <w:szCs w:val="18"/>
              </w:rPr>
              <w:t xml:space="preserve">Otorga segunda prórroga (12 meses adicionales) y revalidación a licencias vigentes hasta junio 2026. Medida coyuntural de reactivación del sector privado constructor. Útil para no perder obras en curso, pero no aporta a la transformación estructural y no contempla licencias asociadas a procesos de autogestión o legalización urbanística popular. Modificación: articular con Decreto 1166 </w:t>
            </w:r>
            <w:r>
              <w:rPr>
                <w:rFonts w:ascii="Verdana" w:eastAsia="Verdana" w:hAnsi="Verdana" w:cs="Verdana"/>
                <w:sz w:val="18"/>
                <w:szCs w:val="18"/>
              </w:rPr>
              <w:lastRenderedPageBreak/>
              <w:t>para reducir cargas a OPV y procesos comunitarios.</w:t>
            </w:r>
          </w:p>
        </w:tc>
      </w:tr>
      <w:tr w:rsidR="00555E50" w14:paraId="7C97BA8B" w14:textId="77777777" w:rsidTr="00765AB2">
        <w:trPr>
          <w:trHeight w:val="1620"/>
        </w:trPr>
        <w:tc>
          <w:tcPr>
            <w:tcW w:w="2718" w:type="dxa"/>
            <w:tcBorders>
              <w:left w:val="single" w:sz="8" w:space="0" w:color="999999"/>
              <w:bottom w:val="single" w:sz="8" w:space="0" w:color="999999"/>
              <w:right w:val="single" w:sz="8" w:space="0" w:color="999999"/>
            </w:tcBorders>
            <w:tcMar>
              <w:top w:w="80" w:type="dxa"/>
              <w:left w:w="100" w:type="dxa"/>
              <w:bottom w:w="80" w:type="dxa"/>
              <w:right w:w="100" w:type="dxa"/>
            </w:tcMar>
          </w:tcPr>
          <w:p w14:paraId="11AE8B15"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lastRenderedPageBreak/>
              <w:t>Indexación de la VIS al SMLMV (Estatuto del Consumidor; proyecto de decreto 2026)</w:t>
            </w:r>
          </w:p>
        </w:tc>
        <w:tc>
          <w:tcPr>
            <w:tcW w:w="1541" w:type="dxa"/>
            <w:tcBorders>
              <w:bottom w:val="single" w:sz="8" w:space="0" w:color="999999"/>
              <w:right w:val="single" w:sz="8" w:space="0" w:color="999999"/>
            </w:tcBorders>
            <w:shd w:val="clear" w:color="auto" w:fill="FFF2CC"/>
            <w:tcMar>
              <w:top w:w="80" w:type="dxa"/>
              <w:left w:w="100" w:type="dxa"/>
              <w:bottom w:w="80" w:type="dxa"/>
              <w:right w:w="100" w:type="dxa"/>
            </w:tcMar>
          </w:tcPr>
          <w:p w14:paraId="701A68F6"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Requiere modificación</w:t>
            </w:r>
          </w:p>
        </w:tc>
        <w:tc>
          <w:tcPr>
            <w:tcW w:w="4765" w:type="dxa"/>
            <w:tcBorders>
              <w:bottom w:val="single" w:sz="8" w:space="0" w:color="999999"/>
              <w:right w:val="single" w:sz="8" w:space="0" w:color="999999"/>
            </w:tcBorders>
            <w:tcMar>
              <w:top w:w="80" w:type="dxa"/>
              <w:left w:w="100" w:type="dxa"/>
              <w:bottom w:w="80" w:type="dxa"/>
              <w:right w:w="100" w:type="dxa"/>
            </w:tcMar>
          </w:tcPr>
          <w:p w14:paraId="40399862" w14:textId="77777777" w:rsidR="00555E50" w:rsidRDefault="00555E50" w:rsidP="00765AB2">
            <w:pPr>
              <w:spacing w:before="40" w:after="40"/>
              <w:jc w:val="both"/>
              <w:rPr>
                <w:rFonts w:ascii="Verdana" w:eastAsia="Verdana" w:hAnsi="Verdana" w:cs="Verdana"/>
                <w:sz w:val="18"/>
                <w:szCs w:val="18"/>
              </w:rPr>
            </w:pPr>
            <w:r>
              <w:rPr>
                <w:rFonts w:ascii="Verdana" w:eastAsia="Verdana" w:hAnsi="Verdana" w:cs="Verdana"/>
                <w:sz w:val="18"/>
                <w:szCs w:val="18"/>
              </w:rPr>
              <w:t>El alza del 23% del SMLMV en 2026 dispara el tope de la VIS a $262 millones sin que correspondan los costos reales. El proyecto de decreto 2026 propone armonizar el tope en 135 SMMLV y fijar precios en pesos. Requiere aprobación urgente y articulación con la Circular 04 de 2024 de la SIC para impedir cláusulas abusivas. Sin esta corrección, el subsidio público termina capturado por incrementos artificiales del precio.</w:t>
            </w:r>
          </w:p>
        </w:tc>
      </w:tr>
      <w:tr w:rsidR="00555E50" w14:paraId="19CCCDA8" w14:textId="77777777" w:rsidTr="00765AB2">
        <w:trPr>
          <w:trHeight w:val="330"/>
        </w:trPr>
        <w:tc>
          <w:tcPr>
            <w:tcW w:w="9024" w:type="dxa"/>
            <w:gridSpan w:val="3"/>
            <w:tcBorders>
              <w:left w:val="single" w:sz="8" w:space="0" w:color="999999"/>
              <w:bottom w:val="single" w:sz="8" w:space="0" w:color="999999"/>
              <w:right w:val="single" w:sz="8" w:space="0" w:color="999999"/>
            </w:tcBorders>
            <w:shd w:val="clear" w:color="auto" w:fill="DEEBF7"/>
            <w:tcMar>
              <w:top w:w="60" w:type="dxa"/>
              <w:left w:w="100" w:type="dxa"/>
              <w:bottom w:w="60" w:type="dxa"/>
              <w:right w:w="100" w:type="dxa"/>
            </w:tcMar>
          </w:tcPr>
          <w:p w14:paraId="63DC699E" w14:textId="77777777" w:rsidR="00555E50" w:rsidRDefault="00555E50" w:rsidP="00765AB2">
            <w:pPr>
              <w:jc w:val="both"/>
              <w:rPr>
                <w:rFonts w:ascii="Verdana" w:eastAsia="Verdana" w:hAnsi="Verdana" w:cs="Verdana"/>
                <w:b/>
                <w:bCs/>
                <w:color w:val="1F4E79"/>
                <w:sz w:val="18"/>
                <w:szCs w:val="18"/>
              </w:rPr>
            </w:pPr>
            <w:r>
              <w:rPr>
                <w:rFonts w:ascii="Verdana" w:eastAsia="Verdana" w:hAnsi="Verdana" w:cs="Verdana"/>
                <w:b/>
                <w:bCs/>
                <w:color w:val="1F4E79"/>
                <w:sz w:val="18"/>
                <w:szCs w:val="18"/>
              </w:rPr>
              <w:t>AGUA POTABLE Y SANEAMIENTO BÁSICO</w:t>
            </w:r>
          </w:p>
        </w:tc>
      </w:tr>
      <w:tr w:rsidR="00555E50" w14:paraId="7410AE11" w14:textId="77777777" w:rsidTr="003F11D6">
        <w:trPr>
          <w:trHeight w:val="473"/>
        </w:trPr>
        <w:tc>
          <w:tcPr>
            <w:tcW w:w="2718" w:type="dxa"/>
            <w:tcBorders>
              <w:left w:val="single" w:sz="8" w:space="0" w:color="999999"/>
              <w:bottom w:val="single" w:sz="8" w:space="0" w:color="999999"/>
              <w:right w:val="single" w:sz="8" w:space="0" w:color="999999"/>
            </w:tcBorders>
            <w:tcMar>
              <w:top w:w="80" w:type="dxa"/>
              <w:left w:w="100" w:type="dxa"/>
              <w:bottom w:w="80" w:type="dxa"/>
              <w:right w:w="100" w:type="dxa"/>
            </w:tcMar>
          </w:tcPr>
          <w:p w14:paraId="60FA7827"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Decreto 960 de 2025 — Política de Gestión Comunitaria del Agua y Saneamiento Básico</w:t>
            </w:r>
          </w:p>
        </w:tc>
        <w:tc>
          <w:tcPr>
            <w:tcW w:w="1541" w:type="dxa"/>
            <w:tcBorders>
              <w:bottom w:val="single" w:sz="8" w:space="0" w:color="999999"/>
              <w:right w:val="single" w:sz="8" w:space="0" w:color="999999"/>
            </w:tcBorders>
            <w:shd w:val="clear" w:color="auto" w:fill="D9EAD3"/>
            <w:tcMar>
              <w:top w:w="80" w:type="dxa"/>
              <w:left w:w="100" w:type="dxa"/>
              <w:bottom w:w="80" w:type="dxa"/>
              <w:right w:w="100" w:type="dxa"/>
            </w:tcMar>
          </w:tcPr>
          <w:p w14:paraId="03E04D02"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Oportunidad</w:t>
            </w:r>
          </w:p>
        </w:tc>
        <w:tc>
          <w:tcPr>
            <w:tcW w:w="4765" w:type="dxa"/>
            <w:tcBorders>
              <w:bottom w:val="single" w:sz="8" w:space="0" w:color="999999"/>
              <w:right w:val="single" w:sz="8" w:space="0" w:color="999999"/>
            </w:tcBorders>
            <w:tcMar>
              <w:top w:w="80" w:type="dxa"/>
              <w:left w:w="100" w:type="dxa"/>
              <w:bottom w:w="80" w:type="dxa"/>
              <w:right w:w="100" w:type="dxa"/>
            </w:tcMar>
          </w:tcPr>
          <w:p w14:paraId="4EF6FB3A" w14:textId="77777777" w:rsidR="00555E50" w:rsidRDefault="00555E50" w:rsidP="00765AB2">
            <w:pPr>
              <w:spacing w:before="40" w:after="40"/>
              <w:jc w:val="both"/>
              <w:rPr>
                <w:rFonts w:ascii="Verdana" w:eastAsia="Verdana" w:hAnsi="Verdana" w:cs="Verdana"/>
                <w:sz w:val="18"/>
                <w:szCs w:val="18"/>
              </w:rPr>
            </w:pPr>
            <w:r>
              <w:rPr>
                <w:rFonts w:ascii="Verdana" w:eastAsia="Verdana" w:hAnsi="Verdana" w:cs="Verdana"/>
                <w:sz w:val="18"/>
                <w:szCs w:val="18"/>
              </w:rPr>
              <w:t>Marco rector con vigencia de 12 años. Reconoce a los gestores comunitarios como sujetos políticos y actores estructurales del servicio (más de 9 millones de personas atendidas). Institucionaliza la Mesa de Gestión Comunitaria del Agua. Habilita convenios solidarios de mínima cuantía con recursos de la Nación. Crea la estrategia “Ministerio Ambulante”. Reto: expedir manuales operativos pendientes (Convenios Solidarios, Mecanismos de Fomento) y asegurar la sostenibilidad financiera frente a la imposibilidad de las organizaciones sin ánimo de lucro de acceder a crédito.</w:t>
            </w:r>
          </w:p>
        </w:tc>
      </w:tr>
      <w:tr w:rsidR="00555E50" w14:paraId="0F23E8A0" w14:textId="77777777" w:rsidTr="00765AB2">
        <w:trPr>
          <w:trHeight w:val="1425"/>
        </w:trPr>
        <w:tc>
          <w:tcPr>
            <w:tcW w:w="2718" w:type="dxa"/>
            <w:tcBorders>
              <w:left w:val="single" w:sz="8" w:space="0" w:color="999999"/>
              <w:bottom w:val="single" w:sz="8" w:space="0" w:color="999999"/>
              <w:right w:val="single" w:sz="8" w:space="0" w:color="999999"/>
            </w:tcBorders>
            <w:tcMar>
              <w:top w:w="80" w:type="dxa"/>
              <w:left w:w="100" w:type="dxa"/>
              <w:bottom w:w="80" w:type="dxa"/>
              <w:right w:w="100" w:type="dxa"/>
            </w:tcMar>
          </w:tcPr>
          <w:p w14:paraId="3EF2C5C0"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Decreto 776 de 2025 — Mínimo Vital de Agua (50 l/persona/día)</w:t>
            </w:r>
          </w:p>
        </w:tc>
        <w:tc>
          <w:tcPr>
            <w:tcW w:w="1541" w:type="dxa"/>
            <w:tcBorders>
              <w:bottom w:val="single" w:sz="8" w:space="0" w:color="999999"/>
              <w:right w:val="single" w:sz="8" w:space="0" w:color="999999"/>
            </w:tcBorders>
            <w:shd w:val="clear" w:color="auto" w:fill="D9EAD3"/>
            <w:tcMar>
              <w:top w:w="80" w:type="dxa"/>
              <w:left w:w="100" w:type="dxa"/>
              <w:bottom w:w="80" w:type="dxa"/>
              <w:right w:w="100" w:type="dxa"/>
            </w:tcMar>
          </w:tcPr>
          <w:p w14:paraId="02992F18"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Oportunidad</w:t>
            </w:r>
          </w:p>
        </w:tc>
        <w:tc>
          <w:tcPr>
            <w:tcW w:w="4765" w:type="dxa"/>
            <w:tcBorders>
              <w:bottom w:val="single" w:sz="8" w:space="0" w:color="999999"/>
              <w:right w:val="single" w:sz="8" w:space="0" w:color="999999"/>
            </w:tcBorders>
            <w:tcMar>
              <w:top w:w="80" w:type="dxa"/>
              <w:left w:w="100" w:type="dxa"/>
              <w:bottom w:w="80" w:type="dxa"/>
              <w:right w:w="100" w:type="dxa"/>
            </w:tcMar>
          </w:tcPr>
          <w:p w14:paraId="49B0651D" w14:textId="77777777" w:rsidR="00555E50" w:rsidRDefault="00555E50" w:rsidP="00765AB2">
            <w:pPr>
              <w:spacing w:before="40" w:after="40"/>
              <w:jc w:val="both"/>
              <w:rPr>
                <w:rFonts w:ascii="Verdana" w:eastAsia="Verdana" w:hAnsi="Verdana" w:cs="Verdana"/>
                <w:sz w:val="18"/>
                <w:szCs w:val="18"/>
              </w:rPr>
            </w:pPr>
            <w:r>
              <w:rPr>
                <w:rFonts w:ascii="Verdana" w:eastAsia="Verdana" w:hAnsi="Verdana" w:cs="Verdana"/>
                <w:sz w:val="18"/>
                <w:szCs w:val="18"/>
              </w:rPr>
              <w:t xml:space="preserve">Materializa el derecho humano al agua mediante mínimo vital tanto urbano como rural, </w:t>
            </w:r>
            <w:proofErr w:type="spellStart"/>
            <w:r>
              <w:rPr>
                <w:rFonts w:ascii="Verdana" w:eastAsia="Verdana" w:hAnsi="Verdana" w:cs="Verdana"/>
                <w:sz w:val="18"/>
                <w:szCs w:val="18"/>
              </w:rPr>
              <w:t>complementable</w:t>
            </w:r>
            <w:proofErr w:type="spellEnd"/>
            <w:r>
              <w:rPr>
                <w:rFonts w:ascii="Verdana" w:eastAsia="Verdana" w:hAnsi="Verdana" w:cs="Verdana"/>
                <w:sz w:val="18"/>
                <w:szCs w:val="18"/>
              </w:rPr>
              <w:t xml:space="preserve"> con medios alternos en zonas de difícil acceso. Reglamenta el artículo 192 de la Ley 2294 de 2023. Reto: implementación efectiva en zonas dispersas y articulación financiera con las tarifas que cobran los prestadores.</w:t>
            </w:r>
          </w:p>
        </w:tc>
      </w:tr>
      <w:tr w:rsidR="00555E50" w14:paraId="4D9BA227" w14:textId="77777777" w:rsidTr="00765AB2">
        <w:trPr>
          <w:trHeight w:val="1620"/>
        </w:trPr>
        <w:tc>
          <w:tcPr>
            <w:tcW w:w="2718" w:type="dxa"/>
            <w:tcBorders>
              <w:left w:val="single" w:sz="8" w:space="0" w:color="999999"/>
              <w:bottom w:val="single" w:sz="8" w:space="0" w:color="999999"/>
              <w:right w:val="single" w:sz="8" w:space="0" w:color="999999"/>
            </w:tcBorders>
            <w:tcMar>
              <w:top w:w="80" w:type="dxa"/>
              <w:left w:w="100" w:type="dxa"/>
              <w:bottom w:w="80" w:type="dxa"/>
              <w:right w:w="100" w:type="dxa"/>
            </w:tcMar>
          </w:tcPr>
          <w:p w14:paraId="6F9FF97F"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Decreto 1381 de 2024 — Recicladores de oficio y servicio público de aprovechamiento</w:t>
            </w:r>
          </w:p>
        </w:tc>
        <w:tc>
          <w:tcPr>
            <w:tcW w:w="1541" w:type="dxa"/>
            <w:tcBorders>
              <w:bottom w:val="single" w:sz="8" w:space="0" w:color="999999"/>
              <w:right w:val="single" w:sz="8" w:space="0" w:color="999999"/>
            </w:tcBorders>
            <w:shd w:val="clear" w:color="auto" w:fill="D9EAD3"/>
            <w:tcMar>
              <w:top w:w="80" w:type="dxa"/>
              <w:left w:w="100" w:type="dxa"/>
              <w:bottom w:w="80" w:type="dxa"/>
              <w:right w:w="100" w:type="dxa"/>
            </w:tcMar>
          </w:tcPr>
          <w:p w14:paraId="67335FE4"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Oportunidad</w:t>
            </w:r>
          </w:p>
        </w:tc>
        <w:tc>
          <w:tcPr>
            <w:tcW w:w="4765" w:type="dxa"/>
            <w:tcBorders>
              <w:bottom w:val="single" w:sz="8" w:space="0" w:color="999999"/>
              <w:right w:val="single" w:sz="8" w:space="0" w:color="999999"/>
            </w:tcBorders>
            <w:tcMar>
              <w:top w:w="80" w:type="dxa"/>
              <w:left w:w="100" w:type="dxa"/>
              <w:bottom w:w="80" w:type="dxa"/>
              <w:right w:w="100" w:type="dxa"/>
            </w:tcMar>
          </w:tcPr>
          <w:p w14:paraId="38F2971A" w14:textId="77777777" w:rsidR="00555E50" w:rsidRDefault="00555E50" w:rsidP="00765AB2">
            <w:pPr>
              <w:spacing w:before="40" w:after="40"/>
              <w:jc w:val="both"/>
              <w:rPr>
                <w:rFonts w:ascii="Verdana" w:eastAsia="Verdana" w:hAnsi="Verdana" w:cs="Verdana"/>
                <w:sz w:val="18"/>
                <w:szCs w:val="18"/>
              </w:rPr>
            </w:pPr>
            <w:r>
              <w:rPr>
                <w:rFonts w:ascii="Verdana" w:eastAsia="Verdana" w:hAnsi="Verdana" w:cs="Verdana"/>
                <w:sz w:val="18"/>
                <w:szCs w:val="18"/>
              </w:rPr>
              <w:t>Establece exclusividad de 15 años a organizaciones de recicladores de oficio en la prestación del servicio de aprovechamiento. Reconoce más de 68.000 recicladores como sujetos de especial protección constitucional. Dignifica su labor, reconoce sus costos reales en la tarifa y obliga a municipios a apoyar su regularización. Reto: reglamentación operativa pendiente y voluntad municipal.</w:t>
            </w:r>
          </w:p>
        </w:tc>
      </w:tr>
      <w:tr w:rsidR="00555E50" w14:paraId="1508F90B" w14:textId="77777777" w:rsidTr="00765AB2">
        <w:trPr>
          <w:trHeight w:val="1815"/>
        </w:trPr>
        <w:tc>
          <w:tcPr>
            <w:tcW w:w="2718" w:type="dxa"/>
            <w:tcBorders>
              <w:left w:val="single" w:sz="8" w:space="0" w:color="999999"/>
              <w:bottom w:val="single" w:sz="8" w:space="0" w:color="999999"/>
              <w:right w:val="single" w:sz="8" w:space="0" w:color="999999"/>
            </w:tcBorders>
            <w:tcMar>
              <w:top w:w="80" w:type="dxa"/>
              <w:left w:w="100" w:type="dxa"/>
              <w:bottom w:w="80" w:type="dxa"/>
              <w:right w:w="100" w:type="dxa"/>
            </w:tcMar>
          </w:tcPr>
          <w:p w14:paraId="66A8869C"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lastRenderedPageBreak/>
              <w:t>Decreto 670 de 2025 — Programa Basura Cero / Economía Circular</w:t>
            </w:r>
          </w:p>
        </w:tc>
        <w:tc>
          <w:tcPr>
            <w:tcW w:w="1541" w:type="dxa"/>
            <w:tcBorders>
              <w:bottom w:val="single" w:sz="8" w:space="0" w:color="999999"/>
              <w:right w:val="single" w:sz="8" w:space="0" w:color="999999"/>
            </w:tcBorders>
            <w:shd w:val="clear" w:color="auto" w:fill="D9EAD3"/>
            <w:tcMar>
              <w:top w:w="80" w:type="dxa"/>
              <w:left w:w="100" w:type="dxa"/>
              <w:bottom w:w="80" w:type="dxa"/>
              <w:right w:w="100" w:type="dxa"/>
            </w:tcMar>
          </w:tcPr>
          <w:p w14:paraId="6A4103B5"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Oportunidad</w:t>
            </w:r>
          </w:p>
        </w:tc>
        <w:tc>
          <w:tcPr>
            <w:tcW w:w="4765" w:type="dxa"/>
            <w:tcBorders>
              <w:bottom w:val="single" w:sz="8" w:space="0" w:color="999999"/>
              <w:right w:val="single" w:sz="8" w:space="0" w:color="999999"/>
            </w:tcBorders>
            <w:tcMar>
              <w:top w:w="80" w:type="dxa"/>
              <w:left w:w="100" w:type="dxa"/>
              <w:bottom w:w="80" w:type="dxa"/>
              <w:right w:w="100" w:type="dxa"/>
            </w:tcMar>
          </w:tcPr>
          <w:p w14:paraId="5B382C51" w14:textId="77777777" w:rsidR="00555E50" w:rsidRDefault="00555E50" w:rsidP="00765AB2">
            <w:pPr>
              <w:spacing w:before="40" w:after="40"/>
              <w:jc w:val="both"/>
              <w:rPr>
                <w:rFonts w:ascii="Verdana" w:eastAsia="Verdana" w:hAnsi="Verdana" w:cs="Verdana"/>
                <w:sz w:val="18"/>
                <w:szCs w:val="18"/>
              </w:rPr>
            </w:pPr>
            <w:r>
              <w:rPr>
                <w:rFonts w:ascii="Verdana" w:eastAsia="Verdana" w:hAnsi="Verdana" w:cs="Verdana"/>
                <w:sz w:val="18"/>
                <w:szCs w:val="18"/>
              </w:rPr>
              <w:t>Reglamenta el artículo 227 de la Ley 2294 de 2023. Pasa del modelo de disposición final a la economía circular. Crea Parques Tecnológicos y Ambientales. Combina recursos tarifarios, regalías y cooperación internacional. Articula a recicladores, organizaciones comunitarias, sectores productivos y gobiernos locales. Reto: evitar que las grandes empresas de aseo capturen los Parques Tecnológicos en detrimento de las organizaciones de recicladores.</w:t>
            </w:r>
          </w:p>
        </w:tc>
      </w:tr>
      <w:tr w:rsidR="00555E50" w14:paraId="7F8FA52E" w14:textId="77777777" w:rsidTr="00765AB2">
        <w:trPr>
          <w:trHeight w:val="1620"/>
        </w:trPr>
        <w:tc>
          <w:tcPr>
            <w:tcW w:w="2718" w:type="dxa"/>
            <w:tcBorders>
              <w:left w:val="single" w:sz="8" w:space="0" w:color="999999"/>
              <w:bottom w:val="single" w:sz="8" w:space="0" w:color="999999"/>
              <w:right w:val="single" w:sz="8" w:space="0" w:color="999999"/>
            </w:tcBorders>
            <w:tcMar>
              <w:top w:w="80" w:type="dxa"/>
              <w:left w:w="100" w:type="dxa"/>
              <w:bottom w:w="80" w:type="dxa"/>
              <w:right w:w="100" w:type="dxa"/>
            </w:tcMar>
          </w:tcPr>
          <w:p w14:paraId="1446D7C4"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Decreto 073 de 2025 — Giro directo de recursos SGP a prestadores</w:t>
            </w:r>
          </w:p>
        </w:tc>
        <w:tc>
          <w:tcPr>
            <w:tcW w:w="1541" w:type="dxa"/>
            <w:tcBorders>
              <w:bottom w:val="single" w:sz="8" w:space="0" w:color="999999"/>
              <w:right w:val="single" w:sz="8" w:space="0" w:color="999999"/>
            </w:tcBorders>
            <w:shd w:val="clear" w:color="auto" w:fill="D9EAD3"/>
            <w:tcMar>
              <w:top w:w="80" w:type="dxa"/>
              <w:left w:w="100" w:type="dxa"/>
              <w:bottom w:w="80" w:type="dxa"/>
              <w:right w:w="100" w:type="dxa"/>
            </w:tcMar>
          </w:tcPr>
          <w:p w14:paraId="7CD03997"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Oportunidad</w:t>
            </w:r>
          </w:p>
        </w:tc>
        <w:tc>
          <w:tcPr>
            <w:tcW w:w="4765" w:type="dxa"/>
            <w:tcBorders>
              <w:bottom w:val="single" w:sz="8" w:space="0" w:color="999999"/>
              <w:right w:val="single" w:sz="8" w:space="0" w:color="999999"/>
            </w:tcBorders>
            <w:tcMar>
              <w:top w:w="80" w:type="dxa"/>
              <w:left w:w="100" w:type="dxa"/>
              <w:bottom w:w="80" w:type="dxa"/>
              <w:right w:w="100" w:type="dxa"/>
            </w:tcMar>
          </w:tcPr>
          <w:p w14:paraId="5B3E4952" w14:textId="77777777" w:rsidR="00555E50" w:rsidRDefault="00555E50" w:rsidP="00765AB2">
            <w:pPr>
              <w:spacing w:before="40" w:after="40"/>
              <w:jc w:val="both"/>
              <w:rPr>
                <w:rFonts w:ascii="Verdana" w:eastAsia="Verdana" w:hAnsi="Verdana" w:cs="Verdana"/>
                <w:sz w:val="18"/>
                <w:szCs w:val="18"/>
              </w:rPr>
            </w:pPr>
            <w:r>
              <w:rPr>
                <w:rFonts w:ascii="Verdana" w:eastAsia="Verdana" w:hAnsi="Verdana" w:cs="Verdana"/>
                <w:sz w:val="18"/>
                <w:szCs w:val="18"/>
              </w:rPr>
              <w:t>Permite el giro directo del SGP a prestadores cuando los municipios incumplan el pago de subsidios por 6 períodos (mensuales) o 3 (bimestrales). Protege la operación de pequeños prestadores comunitarios frente a la mora municipal. Reto: ampliar su alcance explícito a gestores comunitarios pequeños y simplificar requisitos del RUPS para organizaciones rurales.</w:t>
            </w:r>
          </w:p>
        </w:tc>
      </w:tr>
      <w:tr w:rsidR="00555E50" w14:paraId="5D2F0E2A" w14:textId="77777777" w:rsidTr="00765AB2">
        <w:trPr>
          <w:trHeight w:val="1425"/>
        </w:trPr>
        <w:tc>
          <w:tcPr>
            <w:tcW w:w="2718" w:type="dxa"/>
            <w:tcBorders>
              <w:left w:val="single" w:sz="8" w:space="0" w:color="999999"/>
              <w:bottom w:val="single" w:sz="8" w:space="0" w:color="999999"/>
              <w:right w:val="single" w:sz="8" w:space="0" w:color="999999"/>
            </w:tcBorders>
            <w:tcMar>
              <w:top w:w="80" w:type="dxa"/>
              <w:left w:w="100" w:type="dxa"/>
              <w:bottom w:w="80" w:type="dxa"/>
              <w:right w:w="100" w:type="dxa"/>
            </w:tcMar>
          </w:tcPr>
          <w:p w14:paraId="44C0C01C"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Decreto 406 de 2025 — Recursos de Fonvivienda para agua y saneamiento</w:t>
            </w:r>
          </w:p>
        </w:tc>
        <w:tc>
          <w:tcPr>
            <w:tcW w:w="1541" w:type="dxa"/>
            <w:tcBorders>
              <w:bottom w:val="single" w:sz="8" w:space="0" w:color="999999"/>
              <w:right w:val="single" w:sz="8" w:space="0" w:color="999999"/>
            </w:tcBorders>
            <w:shd w:val="clear" w:color="auto" w:fill="D9EAD3"/>
            <w:tcMar>
              <w:top w:w="80" w:type="dxa"/>
              <w:left w:w="100" w:type="dxa"/>
              <w:bottom w:w="80" w:type="dxa"/>
              <w:right w:w="100" w:type="dxa"/>
            </w:tcMar>
          </w:tcPr>
          <w:p w14:paraId="3196C951"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Oportunidad</w:t>
            </w:r>
          </w:p>
        </w:tc>
        <w:tc>
          <w:tcPr>
            <w:tcW w:w="4765" w:type="dxa"/>
            <w:tcBorders>
              <w:bottom w:val="single" w:sz="8" w:space="0" w:color="999999"/>
              <w:right w:val="single" w:sz="8" w:space="0" w:color="999999"/>
            </w:tcBorders>
            <w:tcMar>
              <w:top w:w="80" w:type="dxa"/>
              <w:left w:w="100" w:type="dxa"/>
              <w:bottom w:w="80" w:type="dxa"/>
              <w:right w:w="100" w:type="dxa"/>
            </w:tcMar>
          </w:tcPr>
          <w:p w14:paraId="00B5E56C" w14:textId="77777777" w:rsidR="00555E50" w:rsidRDefault="00555E50" w:rsidP="00765AB2">
            <w:pPr>
              <w:spacing w:before="40" w:after="40"/>
              <w:jc w:val="both"/>
              <w:rPr>
                <w:rFonts w:ascii="Verdana" w:eastAsia="Verdana" w:hAnsi="Verdana" w:cs="Verdana"/>
                <w:sz w:val="18"/>
                <w:szCs w:val="18"/>
              </w:rPr>
            </w:pPr>
            <w:r>
              <w:rPr>
                <w:rFonts w:ascii="Verdana" w:eastAsia="Verdana" w:hAnsi="Verdana" w:cs="Verdana"/>
                <w:sz w:val="18"/>
                <w:szCs w:val="18"/>
              </w:rPr>
              <w:t>Adiciona Título al Decreto 1077 de 2015. Canaliza recursos de Fonvivienda hacia proyectos de agua y saneamiento. Es la materialización del concepto de “vasos comunicantes” entre vivienda y agua. Reto: asegurar que los recursos lleguen prioritariamente a la ruralidad dispersa y a la gestión comunitaria, no a los grandes operadores empresariales.</w:t>
            </w:r>
          </w:p>
        </w:tc>
      </w:tr>
      <w:tr w:rsidR="00555E50" w14:paraId="0408A841" w14:textId="77777777" w:rsidTr="00765AB2">
        <w:trPr>
          <w:trHeight w:val="1425"/>
        </w:trPr>
        <w:tc>
          <w:tcPr>
            <w:tcW w:w="2718" w:type="dxa"/>
            <w:tcBorders>
              <w:left w:val="single" w:sz="8" w:space="0" w:color="999999"/>
              <w:bottom w:val="single" w:sz="8" w:space="0" w:color="999999"/>
              <w:right w:val="single" w:sz="8" w:space="0" w:color="999999"/>
            </w:tcBorders>
            <w:tcMar>
              <w:top w:w="80" w:type="dxa"/>
              <w:left w:w="100" w:type="dxa"/>
              <w:bottom w:w="80" w:type="dxa"/>
              <w:right w:w="100" w:type="dxa"/>
            </w:tcMar>
          </w:tcPr>
          <w:p w14:paraId="713F485C"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Decreto 774 de 2025 — Uso agrícola y forestal de biosólidos PTAR</w:t>
            </w:r>
          </w:p>
        </w:tc>
        <w:tc>
          <w:tcPr>
            <w:tcW w:w="1541" w:type="dxa"/>
            <w:tcBorders>
              <w:bottom w:val="single" w:sz="8" w:space="0" w:color="999999"/>
              <w:right w:val="single" w:sz="8" w:space="0" w:color="999999"/>
            </w:tcBorders>
            <w:shd w:val="clear" w:color="auto" w:fill="D9EAD3"/>
            <w:tcMar>
              <w:top w:w="80" w:type="dxa"/>
              <w:left w:w="100" w:type="dxa"/>
              <w:bottom w:w="80" w:type="dxa"/>
              <w:right w:w="100" w:type="dxa"/>
            </w:tcMar>
          </w:tcPr>
          <w:p w14:paraId="23C7D454"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Oportunidad</w:t>
            </w:r>
          </w:p>
        </w:tc>
        <w:tc>
          <w:tcPr>
            <w:tcW w:w="4765" w:type="dxa"/>
            <w:tcBorders>
              <w:bottom w:val="single" w:sz="8" w:space="0" w:color="999999"/>
              <w:right w:val="single" w:sz="8" w:space="0" w:color="999999"/>
            </w:tcBorders>
            <w:tcMar>
              <w:top w:w="80" w:type="dxa"/>
              <w:left w:w="100" w:type="dxa"/>
              <w:bottom w:w="80" w:type="dxa"/>
              <w:right w:w="100" w:type="dxa"/>
            </w:tcMar>
          </w:tcPr>
          <w:p w14:paraId="44296B5D" w14:textId="77777777" w:rsidR="00555E50" w:rsidRDefault="00555E50" w:rsidP="00765AB2">
            <w:pPr>
              <w:spacing w:before="40" w:after="40"/>
              <w:jc w:val="both"/>
              <w:rPr>
                <w:rFonts w:ascii="Verdana" w:eastAsia="Verdana" w:hAnsi="Verdana" w:cs="Verdana"/>
                <w:sz w:val="18"/>
                <w:szCs w:val="18"/>
              </w:rPr>
            </w:pPr>
            <w:r>
              <w:rPr>
                <w:rFonts w:ascii="Verdana" w:eastAsia="Verdana" w:hAnsi="Verdana" w:cs="Verdana"/>
                <w:sz w:val="18"/>
                <w:szCs w:val="18"/>
              </w:rPr>
              <w:t>Regula el aprovechamiento de biosólidos generados en PTAR para uso agrícola, forestal y de remediación. Cierra el ciclo de agua-saneamiento-suelo. Coherente con la lógica del OTAA y la economía circular. Reto: capacidad técnica municipal para certificar la calidad de los biosólidos y prevenir riesgos sanitarios.</w:t>
            </w:r>
          </w:p>
        </w:tc>
      </w:tr>
      <w:tr w:rsidR="00555E50" w14:paraId="2A1A247B" w14:textId="77777777" w:rsidTr="00765AB2">
        <w:trPr>
          <w:trHeight w:val="1620"/>
        </w:trPr>
        <w:tc>
          <w:tcPr>
            <w:tcW w:w="2718" w:type="dxa"/>
            <w:tcBorders>
              <w:left w:val="single" w:sz="8" w:space="0" w:color="999999"/>
              <w:bottom w:val="single" w:sz="8" w:space="0" w:color="999999"/>
              <w:right w:val="single" w:sz="8" w:space="0" w:color="999999"/>
            </w:tcBorders>
            <w:tcMar>
              <w:top w:w="80" w:type="dxa"/>
              <w:left w:w="100" w:type="dxa"/>
              <w:bottom w:w="80" w:type="dxa"/>
              <w:right w:w="100" w:type="dxa"/>
            </w:tcMar>
          </w:tcPr>
          <w:p w14:paraId="5B2B7471"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 xml:space="preserve">Programa Ruta </w:t>
            </w:r>
            <w:proofErr w:type="spellStart"/>
            <w:r>
              <w:rPr>
                <w:rFonts w:ascii="Verdana" w:eastAsia="Verdana" w:hAnsi="Verdana" w:cs="Verdana"/>
                <w:b/>
                <w:bCs/>
                <w:sz w:val="18"/>
                <w:szCs w:val="18"/>
              </w:rPr>
              <w:t>ComuniAgua</w:t>
            </w:r>
            <w:proofErr w:type="spellEnd"/>
          </w:p>
        </w:tc>
        <w:tc>
          <w:tcPr>
            <w:tcW w:w="1541" w:type="dxa"/>
            <w:tcBorders>
              <w:bottom w:val="single" w:sz="8" w:space="0" w:color="999999"/>
              <w:right w:val="single" w:sz="8" w:space="0" w:color="999999"/>
            </w:tcBorders>
            <w:shd w:val="clear" w:color="auto" w:fill="D9EAD3"/>
            <w:tcMar>
              <w:top w:w="80" w:type="dxa"/>
              <w:left w:w="100" w:type="dxa"/>
              <w:bottom w:w="80" w:type="dxa"/>
              <w:right w:w="100" w:type="dxa"/>
            </w:tcMar>
          </w:tcPr>
          <w:p w14:paraId="2D1F010C"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Oportunidad</w:t>
            </w:r>
          </w:p>
        </w:tc>
        <w:tc>
          <w:tcPr>
            <w:tcW w:w="4765" w:type="dxa"/>
            <w:tcBorders>
              <w:bottom w:val="single" w:sz="8" w:space="0" w:color="999999"/>
              <w:right w:val="single" w:sz="8" w:space="0" w:color="999999"/>
            </w:tcBorders>
            <w:tcMar>
              <w:top w:w="80" w:type="dxa"/>
              <w:left w:w="100" w:type="dxa"/>
              <w:bottom w:w="80" w:type="dxa"/>
              <w:right w:w="100" w:type="dxa"/>
            </w:tcMar>
          </w:tcPr>
          <w:p w14:paraId="1977F5B7" w14:textId="77777777" w:rsidR="00555E50" w:rsidRDefault="00555E50" w:rsidP="00765AB2">
            <w:pPr>
              <w:spacing w:before="40" w:after="40"/>
              <w:jc w:val="both"/>
              <w:rPr>
                <w:rFonts w:ascii="Verdana" w:eastAsia="Verdana" w:hAnsi="Verdana" w:cs="Verdana"/>
                <w:sz w:val="18"/>
                <w:szCs w:val="18"/>
              </w:rPr>
            </w:pPr>
            <w:r>
              <w:rPr>
                <w:rFonts w:ascii="Verdana" w:eastAsia="Verdana" w:hAnsi="Verdana" w:cs="Verdana"/>
                <w:sz w:val="18"/>
                <w:szCs w:val="18"/>
              </w:rPr>
              <w:t xml:space="preserve">Estrategia operativa del Viceministerio de Agua articulada en cuatro fases: caracterización, formación virtual, subsidio comunitario (hasta $15.853/suscriptor/mes) y estructuración de proyectos. Ha fortalecido a 975 gestores comunitarios. Reto: ampliar la cobertura, asegurar la fase de estructuración como puerta de entrada a recursos del Viceministerio, y conectarla con el Plan </w:t>
            </w:r>
            <w:proofErr w:type="spellStart"/>
            <w:r>
              <w:rPr>
                <w:rFonts w:ascii="Verdana" w:eastAsia="Verdana" w:hAnsi="Verdana" w:cs="Verdana"/>
                <w:sz w:val="18"/>
                <w:szCs w:val="18"/>
              </w:rPr>
              <w:t>Wüin</w:t>
            </w:r>
            <w:proofErr w:type="spellEnd"/>
            <w:r>
              <w:rPr>
                <w:rFonts w:ascii="Verdana" w:eastAsia="Verdana" w:hAnsi="Verdana" w:cs="Verdana"/>
                <w:sz w:val="18"/>
                <w:szCs w:val="18"/>
              </w:rPr>
              <w:t xml:space="preserve"> </w:t>
            </w:r>
            <w:proofErr w:type="spellStart"/>
            <w:r>
              <w:rPr>
                <w:rFonts w:ascii="Verdana" w:eastAsia="Verdana" w:hAnsi="Verdana" w:cs="Verdana"/>
                <w:sz w:val="18"/>
                <w:szCs w:val="18"/>
              </w:rPr>
              <w:t>Ülees</w:t>
            </w:r>
            <w:proofErr w:type="spellEnd"/>
            <w:r>
              <w:rPr>
                <w:rFonts w:ascii="Verdana" w:eastAsia="Verdana" w:hAnsi="Verdana" w:cs="Verdana"/>
                <w:sz w:val="18"/>
                <w:szCs w:val="18"/>
              </w:rPr>
              <w:t xml:space="preserve"> y experiencias étnicas similares.</w:t>
            </w:r>
          </w:p>
        </w:tc>
      </w:tr>
      <w:tr w:rsidR="00555E50" w14:paraId="4B93540F" w14:textId="77777777" w:rsidTr="00765AB2">
        <w:trPr>
          <w:trHeight w:val="2010"/>
        </w:trPr>
        <w:tc>
          <w:tcPr>
            <w:tcW w:w="2718" w:type="dxa"/>
            <w:tcBorders>
              <w:left w:val="single" w:sz="8" w:space="0" w:color="999999"/>
              <w:bottom w:val="single" w:sz="8" w:space="0" w:color="999999"/>
              <w:right w:val="single" w:sz="8" w:space="0" w:color="999999"/>
            </w:tcBorders>
            <w:tcMar>
              <w:top w:w="80" w:type="dxa"/>
              <w:left w:w="100" w:type="dxa"/>
              <w:bottom w:w="80" w:type="dxa"/>
              <w:right w:w="100" w:type="dxa"/>
            </w:tcMar>
          </w:tcPr>
          <w:p w14:paraId="47F64299"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lastRenderedPageBreak/>
              <w:t xml:space="preserve">Plan </w:t>
            </w:r>
            <w:proofErr w:type="spellStart"/>
            <w:r>
              <w:rPr>
                <w:rFonts w:ascii="Verdana" w:eastAsia="Verdana" w:hAnsi="Verdana" w:cs="Verdana"/>
                <w:b/>
                <w:bCs/>
                <w:sz w:val="18"/>
                <w:szCs w:val="18"/>
              </w:rPr>
              <w:t>Wüin</w:t>
            </w:r>
            <w:proofErr w:type="spellEnd"/>
            <w:r>
              <w:rPr>
                <w:rFonts w:ascii="Verdana" w:eastAsia="Verdana" w:hAnsi="Verdana" w:cs="Verdana"/>
                <w:b/>
                <w:bCs/>
                <w:sz w:val="18"/>
                <w:szCs w:val="18"/>
              </w:rPr>
              <w:t xml:space="preserve"> </w:t>
            </w:r>
            <w:proofErr w:type="spellStart"/>
            <w:r>
              <w:rPr>
                <w:rFonts w:ascii="Verdana" w:eastAsia="Verdana" w:hAnsi="Verdana" w:cs="Verdana"/>
                <w:b/>
                <w:bCs/>
                <w:sz w:val="18"/>
                <w:szCs w:val="18"/>
              </w:rPr>
              <w:t>Ülees</w:t>
            </w:r>
            <w:proofErr w:type="spellEnd"/>
            <w:r>
              <w:rPr>
                <w:rFonts w:ascii="Verdana" w:eastAsia="Verdana" w:hAnsi="Verdana" w:cs="Verdana"/>
                <w:b/>
                <w:bCs/>
                <w:sz w:val="18"/>
                <w:szCs w:val="18"/>
              </w:rPr>
              <w:t xml:space="preserve"> — Abastecimiento de agua para el pueblo </w:t>
            </w:r>
            <w:proofErr w:type="spellStart"/>
            <w:r>
              <w:rPr>
                <w:rFonts w:ascii="Verdana" w:eastAsia="Verdana" w:hAnsi="Verdana" w:cs="Verdana"/>
                <w:b/>
                <w:bCs/>
                <w:sz w:val="18"/>
                <w:szCs w:val="18"/>
              </w:rPr>
              <w:t>Wayúu</w:t>
            </w:r>
            <w:proofErr w:type="spellEnd"/>
            <w:r>
              <w:rPr>
                <w:rFonts w:ascii="Verdana" w:eastAsia="Verdana" w:hAnsi="Verdana" w:cs="Verdana"/>
                <w:b/>
                <w:bCs/>
                <w:sz w:val="18"/>
                <w:szCs w:val="18"/>
              </w:rPr>
              <w:t xml:space="preserve"> en La Guajira</w:t>
            </w:r>
          </w:p>
        </w:tc>
        <w:tc>
          <w:tcPr>
            <w:tcW w:w="1541" w:type="dxa"/>
            <w:tcBorders>
              <w:bottom w:val="single" w:sz="8" w:space="0" w:color="999999"/>
              <w:right w:val="single" w:sz="8" w:space="0" w:color="999999"/>
            </w:tcBorders>
            <w:shd w:val="clear" w:color="auto" w:fill="D9EAD3"/>
            <w:tcMar>
              <w:top w:w="80" w:type="dxa"/>
              <w:left w:w="100" w:type="dxa"/>
              <w:bottom w:w="80" w:type="dxa"/>
              <w:right w:w="100" w:type="dxa"/>
            </w:tcMar>
          </w:tcPr>
          <w:p w14:paraId="4D65BF19"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Oportunidad</w:t>
            </w:r>
          </w:p>
        </w:tc>
        <w:tc>
          <w:tcPr>
            <w:tcW w:w="4765" w:type="dxa"/>
            <w:tcBorders>
              <w:bottom w:val="single" w:sz="8" w:space="0" w:color="999999"/>
              <w:right w:val="single" w:sz="8" w:space="0" w:color="999999"/>
            </w:tcBorders>
            <w:tcMar>
              <w:top w:w="80" w:type="dxa"/>
              <w:left w:w="100" w:type="dxa"/>
              <w:bottom w:w="80" w:type="dxa"/>
              <w:right w:w="100" w:type="dxa"/>
            </w:tcMar>
          </w:tcPr>
          <w:p w14:paraId="536101EA" w14:textId="77777777" w:rsidR="00555E50" w:rsidRDefault="00555E50" w:rsidP="00765AB2">
            <w:pPr>
              <w:spacing w:before="40" w:after="40"/>
              <w:jc w:val="both"/>
              <w:rPr>
                <w:rFonts w:ascii="Verdana" w:eastAsia="Verdana" w:hAnsi="Verdana" w:cs="Verdana"/>
                <w:sz w:val="18"/>
                <w:szCs w:val="18"/>
              </w:rPr>
            </w:pPr>
            <w:r>
              <w:rPr>
                <w:rFonts w:ascii="Verdana" w:eastAsia="Verdana" w:hAnsi="Verdana" w:cs="Verdana"/>
                <w:sz w:val="18"/>
                <w:szCs w:val="18"/>
              </w:rPr>
              <w:t xml:space="preserve">Modelo de atención diferencial étnica que sustituyó las grandes infraestructuras de “pilas públicas” del gobierno anterior (que generaron conflictos </w:t>
            </w:r>
            <w:proofErr w:type="spellStart"/>
            <w:r>
              <w:rPr>
                <w:rFonts w:ascii="Verdana" w:eastAsia="Verdana" w:hAnsi="Verdana" w:cs="Verdana"/>
                <w:sz w:val="18"/>
                <w:szCs w:val="18"/>
              </w:rPr>
              <w:t>interclaniles</w:t>
            </w:r>
            <w:proofErr w:type="spellEnd"/>
            <w:r>
              <w:rPr>
                <w:rFonts w:ascii="Verdana" w:eastAsia="Verdana" w:hAnsi="Verdana" w:cs="Verdana"/>
                <w:sz w:val="18"/>
                <w:szCs w:val="18"/>
              </w:rPr>
              <w:t xml:space="preserve"> por desconocer el modelo territorial </w:t>
            </w:r>
            <w:proofErr w:type="spellStart"/>
            <w:r>
              <w:rPr>
                <w:rFonts w:ascii="Verdana" w:eastAsia="Verdana" w:hAnsi="Verdana" w:cs="Verdana"/>
                <w:sz w:val="18"/>
                <w:szCs w:val="18"/>
              </w:rPr>
              <w:t>Wayúu</w:t>
            </w:r>
            <w:proofErr w:type="spellEnd"/>
            <w:r>
              <w:rPr>
                <w:rFonts w:ascii="Verdana" w:eastAsia="Verdana" w:hAnsi="Verdana" w:cs="Verdana"/>
                <w:sz w:val="18"/>
                <w:szCs w:val="18"/>
              </w:rPr>
              <w:t xml:space="preserve">) por sistemas pequeños, rehabilitación de infraestructura existente y aseguramiento comunitario. Resultados: 157.045 personas beneficiadas; 86 comunidades; 5 asociaciones </w:t>
            </w:r>
            <w:proofErr w:type="spellStart"/>
            <w:r>
              <w:rPr>
                <w:rFonts w:ascii="Verdana" w:eastAsia="Verdana" w:hAnsi="Verdana" w:cs="Verdana"/>
                <w:sz w:val="18"/>
                <w:szCs w:val="18"/>
              </w:rPr>
              <w:t>wayúu</w:t>
            </w:r>
            <w:proofErr w:type="spellEnd"/>
            <w:r>
              <w:rPr>
                <w:rFonts w:ascii="Verdana" w:eastAsia="Verdana" w:hAnsi="Verdana" w:cs="Verdana"/>
                <w:sz w:val="18"/>
                <w:szCs w:val="18"/>
              </w:rPr>
              <w:t xml:space="preserve"> como ejecutoras locales. Reto: continuidad del esquema de aseguramiento y replicabilidad en Pacífico, Catatumbo y Amazonía.</w:t>
            </w:r>
          </w:p>
        </w:tc>
      </w:tr>
      <w:tr w:rsidR="00555E50" w14:paraId="0D836715" w14:textId="77777777" w:rsidTr="00765AB2">
        <w:trPr>
          <w:trHeight w:val="1425"/>
        </w:trPr>
        <w:tc>
          <w:tcPr>
            <w:tcW w:w="2718" w:type="dxa"/>
            <w:tcBorders>
              <w:left w:val="single" w:sz="8" w:space="0" w:color="999999"/>
              <w:bottom w:val="single" w:sz="8" w:space="0" w:color="999999"/>
              <w:right w:val="single" w:sz="8" w:space="0" w:color="999999"/>
            </w:tcBorders>
            <w:tcMar>
              <w:top w:w="80" w:type="dxa"/>
              <w:left w:w="100" w:type="dxa"/>
              <w:bottom w:w="80" w:type="dxa"/>
              <w:right w:w="100" w:type="dxa"/>
            </w:tcMar>
          </w:tcPr>
          <w:p w14:paraId="6E0CAC6C"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Programa Agua es Vida (Ley 2294 de 2023, art. 275; Resolución 597 de 2024)</w:t>
            </w:r>
          </w:p>
        </w:tc>
        <w:tc>
          <w:tcPr>
            <w:tcW w:w="1541" w:type="dxa"/>
            <w:tcBorders>
              <w:bottom w:val="single" w:sz="8" w:space="0" w:color="999999"/>
              <w:right w:val="single" w:sz="8" w:space="0" w:color="999999"/>
            </w:tcBorders>
            <w:shd w:val="clear" w:color="auto" w:fill="D9EAD3"/>
            <w:tcMar>
              <w:top w:w="80" w:type="dxa"/>
              <w:left w:w="100" w:type="dxa"/>
              <w:bottom w:w="80" w:type="dxa"/>
              <w:right w:w="100" w:type="dxa"/>
            </w:tcMar>
          </w:tcPr>
          <w:p w14:paraId="773F976E"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Oportunidad</w:t>
            </w:r>
          </w:p>
        </w:tc>
        <w:tc>
          <w:tcPr>
            <w:tcW w:w="4765" w:type="dxa"/>
            <w:tcBorders>
              <w:bottom w:val="single" w:sz="8" w:space="0" w:color="999999"/>
              <w:right w:val="single" w:sz="8" w:space="0" w:color="999999"/>
            </w:tcBorders>
            <w:tcMar>
              <w:top w:w="80" w:type="dxa"/>
              <w:left w:w="100" w:type="dxa"/>
              <w:bottom w:w="80" w:type="dxa"/>
              <w:right w:w="100" w:type="dxa"/>
            </w:tcMar>
          </w:tcPr>
          <w:p w14:paraId="5DA13BE3" w14:textId="77777777" w:rsidR="00555E50" w:rsidRDefault="00555E50" w:rsidP="00765AB2">
            <w:pPr>
              <w:spacing w:before="40" w:after="40"/>
              <w:jc w:val="both"/>
              <w:rPr>
                <w:rFonts w:ascii="Verdana" w:eastAsia="Verdana" w:hAnsi="Verdana" w:cs="Verdana"/>
                <w:sz w:val="18"/>
                <w:szCs w:val="18"/>
              </w:rPr>
            </w:pPr>
            <w:r>
              <w:rPr>
                <w:rFonts w:ascii="Verdana" w:eastAsia="Verdana" w:hAnsi="Verdana" w:cs="Verdana"/>
                <w:sz w:val="18"/>
                <w:szCs w:val="18"/>
              </w:rPr>
              <w:t xml:space="preserve">Mecanismo Especial de Evaluación y </w:t>
            </w:r>
            <w:proofErr w:type="spellStart"/>
            <w:r>
              <w:rPr>
                <w:rFonts w:ascii="Verdana" w:eastAsia="Verdana" w:hAnsi="Verdana" w:cs="Verdana"/>
                <w:sz w:val="18"/>
                <w:szCs w:val="18"/>
              </w:rPr>
              <w:t>Viabilización</w:t>
            </w:r>
            <w:proofErr w:type="spellEnd"/>
            <w:r>
              <w:rPr>
                <w:rFonts w:ascii="Verdana" w:eastAsia="Verdana" w:hAnsi="Verdana" w:cs="Verdana"/>
                <w:sz w:val="18"/>
                <w:szCs w:val="18"/>
              </w:rPr>
              <w:t xml:space="preserve"> Técnica para proyectos convencionales en territorios priorizados (Chocó, Amazonía, Arauca, Catatumbo). Flexibiliza requisitos técnicos para garantizar agua en zonas de difícil acceso y como medida humanitaria. Reto: articulación con Decreto 960 (gestión comunitaria) y con alertas tempranas de la Defensoría.</w:t>
            </w:r>
          </w:p>
        </w:tc>
      </w:tr>
      <w:tr w:rsidR="00555E50" w14:paraId="05823451" w14:textId="77777777" w:rsidTr="00765AB2">
        <w:trPr>
          <w:trHeight w:val="1620"/>
        </w:trPr>
        <w:tc>
          <w:tcPr>
            <w:tcW w:w="2718" w:type="dxa"/>
            <w:tcBorders>
              <w:left w:val="single" w:sz="8" w:space="0" w:color="999999"/>
              <w:bottom w:val="single" w:sz="8" w:space="0" w:color="999999"/>
              <w:right w:val="single" w:sz="8" w:space="0" w:color="999999"/>
            </w:tcBorders>
            <w:tcMar>
              <w:top w:w="80" w:type="dxa"/>
              <w:left w:w="100" w:type="dxa"/>
              <w:bottom w:w="80" w:type="dxa"/>
              <w:right w:w="100" w:type="dxa"/>
            </w:tcMar>
          </w:tcPr>
          <w:p w14:paraId="05164E86"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Grupo de Proyectos Diferenciales y Comunitarios (Viceministerio de Agua)</w:t>
            </w:r>
          </w:p>
        </w:tc>
        <w:tc>
          <w:tcPr>
            <w:tcW w:w="1541" w:type="dxa"/>
            <w:tcBorders>
              <w:bottom w:val="single" w:sz="8" w:space="0" w:color="999999"/>
              <w:right w:val="single" w:sz="8" w:space="0" w:color="999999"/>
            </w:tcBorders>
            <w:shd w:val="clear" w:color="auto" w:fill="D9EAD3"/>
            <w:tcMar>
              <w:top w:w="80" w:type="dxa"/>
              <w:left w:w="100" w:type="dxa"/>
              <w:bottom w:w="80" w:type="dxa"/>
              <w:right w:w="100" w:type="dxa"/>
            </w:tcMar>
          </w:tcPr>
          <w:p w14:paraId="43CF1F81"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Oportunidad</w:t>
            </w:r>
          </w:p>
        </w:tc>
        <w:tc>
          <w:tcPr>
            <w:tcW w:w="4765" w:type="dxa"/>
            <w:tcBorders>
              <w:bottom w:val="single" w:sz="8" w:space="0" w:color="999999"/>
              <w:right w:val="single" w:sz="8" w:space="0" w:color="999999"/>
            </w:tcBorders>
            <w:tcMar>
              <w:top w:w="80" w:type="dxa"/>
              <w:left w:w="100" w:type="dxa"/>
              <w:bottom w:w="80" w:type="dxa"/>
              <w:right w:w="100" w:type="dxa"/>
            </w:tcMar>
          </w:tcPr>
          <w:p w14:paraId="7BF873DF" w14:textId="77777777" w:rsidR="00555E50" w:rsidRDefault="00555E50" w:rsidP="00765AB2">
            <w:pPr>
              <w:spacing w:before="40" w:after="40"/>
              <w:jc w:val="both"/>
              <w:rPr>
                <w:rFonts w:ascii="Verdana" w:eastAsia="Verdana" w:hAnsi="Verdana" w:cs="Verdana"/>
                <w:sz w:val="18"/>
                <w:szCs w:val="18"/>
              </w:rPr>
            </w:pPr>
            <w:r>
              <w:rPr>
                <w:rFonts w:ascii="Verdana" w:eastAsia="Verdana" w:hAnsi="Verdana" w:cs="Verdana"/>
                <w:sz w:val="18"/>
                <w:szCs w:val="18"/>
              </w:rPr>
              <w:t>Equipo creado en 2023 que actúa como consultor permanente para municipios categorías 4, 5 y 6 y para comunidades organizadas. Profesionales de ingeniería, ciencias sociales, conflicto y estructuración. Ha llegado a Guaviare, Vaupés, Putumayo, Casanare, Nariño. Reto: institucionalizar su existencia, asegurar continuidad presupuestal y replicar la figura en el Viceministerio de Vivienda.</w:t>
            </w:r>
          </w:p>
        </w:tc>
      </w:tr>
      <w:tr w:rsidR="00555E50" w14:paraId="49174D22" w14:textId="77777777" w:rsidTr="00765AB2">
        <w:trPr>
          <w:trHeight w:val="1620"/>
        </w:trPr>
        <w:tc>
          <w:tcPr>
            <w:tcW w:w="2718" w:type="dxa"/>
            <w:tcBorders>
              <w:left w:val="single" w:sz="8" w:space="0" w:color="999999"/>
              <w:bottom w:val="single" w:sz="8" w:space="0" w:color="999999"/>
              <w:right w:val="single" w:sz="8" w:space="0" w:color="999999"/>
            </w:tcBorders>
            <w:tcMar>
              <w:top w:w="80" w:type="dxa"/>
              <w:left w:w="100" w:type="dxa"/>
              <w:bottom w:w="80" w:type="dxa"/>
              <w:right w:w="100" w:type="dxa"/>
            </w:tcMar>
          </w:tcPr>
          <w:p w14:paraId="6F1DB61B"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Resolución 661 de 2019 — Requisitos para proyectos APSB</w:t>
            </w:r>
          </w:p>
        </w:tc>
        <w:tc>
          <w:tcPr>
            <w:tcW w:w="1541" w:type="dxa"/>
            <w:tcBorders>
              <w:bottom w:val="single" w:sz="8" w:space="0" w:color="999999"/>
              <w:right w:val="single" w:sz="8" w:space="0" w:color="999999"/>
            </w:tcBorders>
            <w:shd w:val="clear" w:color="auto" w:fill="FFF2CC"/>
            <w:tcMar>
              <w:top w:w="80" w:type="dxa"/>
              <w:left w:w="100" w:type="dxa"/>
              <w:bottom w:w="80" w:type="dxa"/>
              <w:right w:w="100" w:type="dxa"/>
            </w:tcMar>
          </w:tcPr>
          <w:p w14:paraId="61E009DD"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Requiere modificación</w:t>
            </w:r>
          </w:p>
        </w:tc>
        <w:tc>
          <w:tcPr>
            <w:tcW w:w="4765" w:type="dxa"/>
            <w:tcBorders>
              <w:bottom w:val="single" w:sz="8" w:space="0" w:color="999999"/>
              <w:right w:val="single" w:sz="8" w:space="0" w:color="999999"/>
            </w:tcBorders>
            <w:tcMar>
              <w:top w:w="80" w:type="dxa"/>
              <w:left w:w="100" w:type="dxa"/>
              <w:bottom w:w="80" w:type="dxa"/>
              <w:right w:w="100" w:type="dxa"/>
            </w:tcMar>
          </w:tcPr>
          <w:p w14:paraId="6AE75E3D" w14:textId="77777777" w:rsidR="00555E50" w:rsidRDefault="00555E50" w:rsidP="00765AB2">
            <w:pPr>
              <w:spacing w:before="40" w:after="40"/>
              <w:jc w:val="both"/>
              <w:rPr>
                <w:rFonts w:ascii="Verdana" w:eastAsia="Verdana" w:hAnsi="Verdana" w:cs="Verdana"/>
                <w:sz w:val="18"/>
                <w:szCs w:val="18"/>
              </w:rPr>
            </w:pPr>
            <w:r>
              <w:rPr>
                <w:rFonts w:ascii="Verdana" w:eastAsia="Verdana" w:hAnsi="Verdana" w:cs="Verdana"/>
                <w:sz w:val="18"/>
                <w:szCs w:val="18"/>
              </w:rPr>
              <w:t xml:space="preserve">Establece requisitos de presentación, </w:t>
            </w:r>
            <w:proofErr w:type="spellStart"/>
            <w:r>
              <w:rPr>
                <w:rFonts w:ascii="Verdana" w:eastAsia="Verdana" w:hAnsi="Verdana" w:cs="Verdana"/>
                <w:sz w:val="18"/>
                <w:szCs w:val="18"/>
              </w:rPr>
              <w:t>viabilización</w:t>
            </w:r>
            <w:proofErr w:type="spellEnd"/>
            <w:r>
              <w:rPr>
                <w:rFonts w:ascii="Verdana" w:eastAsia="Verdana" w:hAnsi="Verdana" w:cs="Verdana"/>
                <w:sz w:val="18"/>
                <w:szCs w:val="18"/>
              </w:rPr>
              <w:t xml:space="preserve"> y financiación. Diseñada para una lógica de demanda donde los municipios deben llegar con proyectos listos. Genera altos volúmenes de proyectos devueltos en municipios categorías 5 y 6 por falta de músculo técnico. Requiere ajustes para incorporar fichas de inversión diferenciales, esquemas comunitarios y reconocimiento de soluciones no convencionales.</w:t>
            </w:r>
          </w:p>
        </w:tc>
      </w:tr>
      <w:tr w:rsidR="00555E50" w14:paraId="52A29047" w14:textId="77777777" w:rsidTr="00765AB2">
        <w:trPr>
          <w:trHeight w:val="1815"/>
        </w:trPr>
        <w:tc>
          <w:tcPr>
            <w:tcW w:w="2718" w:type="dxa"/>
            <w:tcBorders>
              <w:left w:val="single" w:sz="8" w:space="0" w:color="999999"/>
              <w:bottom w:val="single" w:sz="8" w:space="0" w:color="999999"/>
              <w:right w:val="single" w:sz="8" w:space="0" w:color="999999"/>
            </w:tcBorders>
            <w:tcMar>
              <w:top w:w="80" w:type="dxa"/>
              <w:left w:w="100" w:type="dxa"/>
              <w:bottom w:w="80" w:type="dxa"/>
              <w:right w:w="100" w:type="dxa"/>
            </w:tcMar>
          </w:tcPr>
          <w:p w14:paraId="1DF6FEAD"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Planes Departamentales para el Manejo Empresarial de Agua y Saneamiento (PDA)</w:t>
            </w:r>
          </w:p>
        </w:tc>
        <w:tc>
          <w:tcPr>
            <w:tcW w:w="1541" w:type="dxa"/>
            <w:tcBorders>
              <w:bottom w:val="single" w:sz="8" w:space="0" w:color="999999"/>
              <w:right w:val="single" w:sz="8" w:space="0" w:color="999999"/>
            </w:tcBorders>
            <w:shd w:val="clear" w:color="auto" w:fill="FFF2CC"/>
            <w:tcMar>
              <w:top w:w="80" w:type="dxa"/>
              <w:left w:w="100" w:type="dxa"/>
              <w:bottom w:w="80" w:type="dxa"/>
              <w:right w:w="100" w:type="dxa"/>
            </w:tcMar>
          </w:tcPr>
          <w:p w14:paraId="2794E6DA"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Requiere modificación</w:t>
            </w:r>
          </w:p>
        </w:tc>
        <w:tc>
          <w:tcPr>
            <w:tcW w:w="4765" w:type="dxa"/>
            <w:tcBorders>
              <w:bottom w:val="single" w:sz="8" w:space="0" w:color="999999"/>
              <w:right w:val="single" w:sz="8" w:space="0" w:color="999999"/>
            </w:tcBorders>
            <w:tcMar>
              <w:top w:w="80" w:type="dxa"/>
              <w:left w:w="100" w:type="dxa"/>
              <w:bottom w:w="80" w:type="dxa"/>
              <w:right w:w="100" w:type="dxa"/>
            </w:tcMar>
          </w:tcPr>
          <w:p w14:paraId="1668EEEC" w14:textId="77777777" w:rsidR="00555E50" w:rsidRDefault="00555E50" w:rsidP="00765AB2">
            <w:pPr>
              <w:spacing w:before="40" w:after="40"/>
              <w:jc w:val="both"/>
              <w:rPr>
                <w:rFonts w:ascii="Verdana" w:eastAsia="Verdana" w:hAnsi="Verdana" w:cs="Verdana"/>
                <w:sz w:val="18"/>
                <w:szCs w:val="18"/>
              </w:rPr>
            </w:pPr>
            <w:r>
              <w:rPr>
                <w:rFonts w:ascii="Verdana" w:eastAsia="Verdana" w:hAnsi="Verdana" w:cs="Verdana"/>
                <w:sz w:val="18"/>
                <w:szCs w:val="18"/>
              </w:rPr>
              <w:t xml:space="preserve">Mecanismo de planificación regional creado bajo la lógica empresarial. Históricamente excluyó a la gestión comunitaria y privilegió grandes operadores regionales y empresas privadas. El IPDA (índice de desempeño) mide eficiencia empresarial pero no participación comunitaria ni cobertura rural dispersa. Requiere modificación profunda para integrar a gestores comunitarios, esquemas diferenciales y Ruta </w:t>
            </w:r>
            <w:proofErr w:type="spellStart"/>
            <w:r>
              <w:rPr>
                <w:rFonts w:ascii="Verdana" w:eastAsia="Verdana" w:hAnsi="Verdana" w:cs="Verdana"/>
                <w:sz w:val="18"/>
                <w:szCs w:val="18"/>
              </w:rPr>
              <w:t>ComuniAgua</w:t>
            </w:r>
            <w:proofErr w:type="spellEnd"/>
            <w:r>
              <w:rPr>
                <w:rFonts w:ascii="Verdana" w:eastAsia="Verdana" w:hAnsi="Verdana" w:cs="Verdana"/>
                <w:sz w:val="18"/>
                <w:szCs w:val="18"/>
              </w:rPr>
              <w:t xml:space="preserve"> como componentes obligatorios del PDA.</w:t>
            </w:r>
          </w:p>
        </w:tc>
      </w:tr>
      <w:tr w:rsidR="00555E50" w14:paraId="2F31376F" w14:textId="77777777" w:rsidTr="00765AB2">
        <w:trPr>
          <w:trHeight w:val="2010"/>
        </w:trPr>
        <w:tc>
          <w:tcPr>
            <w:tcW w:w="2718" w:type="dxa"/>
            <w:tcBorders>
              <w:left w:val="single" w:sz="8" w:space="0" w:color="999999"/>
              <w:bottom w:val="single" w:sz="8" w:space="0" w:color="999999"/>
              <w:right w:val="single" w:sz="8" w:space="0" w:color="999999"/>
            </w:tcBorders>
            <w:tcMar>
              <w:top w:w="80" w:type="dxa"/>
              <w:left w:w="100" w:type="dxa"/>
              <w:bottom w:w="80" w:type="dxa"/>
              <w:right w:w="100" w:type="dxa"/>
            </w:tcMar>
          </w:tcPr>
          <w:p w14:paraId="4185C4A4"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lastRenderedPageBreak/>
              <w:t>Ley 142 de 1994 — Régimen de Servicios Públicos Domiciliarios</w:t>
            </w:r>
          </w:p>
        </w:tc>
        <w:tc>
          <w:tcPr>
            <w:tcW w:w="1541" w:type="dxa"/>
            <w:tcBorders>
              <w:bottom w:val="single" w:sz="8" w:space="0" w:color="999999"/>
              <w:right w:val="single" w:sz="8" w:space="0" w:color="999999"/>
            </w:tcBorders>
            <w:shd w:val="clear" w:color="auto" w:fill="FFF2CC"/>
            <w:tcMar>
              <w:top w:w="80" w:type="dxa"/>
              <w:left w:w="100" w:type="dxa"/>
              <w:bottom w:w="80" w:type="dxa"/>
              <w:right w:w="100" w:type="dxa"/>
            </w:tcMar>
          </w:tcPr>
          <w:p w14:paraId="43D5A10B"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Requiere modificación</w:t>
            </w:r>
          </w:p>
        </w:tc>
        <w:tc>
          <w:tcPr>
            <w:tcW w:w="4765" w:type="dxa"/>
            <w:tcBorders>
              <w:bottom w:val="single" w:sz="8" w:space="0" w:color="999999"/>
              <w:right w:val="single" w:sz="8" w:space="0" w:color="999999"/>
            </w:tcBorders>
            <w:tcMar>
              <w:top w:w="80" w:type="dxa"/>
              <w:left w:w="100" w:type="dxa"/>
              <w:bottom w:w="80" w:type="dxa"/>
              <w:right w:w="100" w:type="dxa"/>
            </w:tcMar>
          </w:tcPr>
          <w:p w14:paraId="758FF830" w14:textId="77777777" w:rsidR="00555E50" w:rsidRDefault="00555E50" w:rsidP="00765AB2">
            <w:pPr>
              <w:spacing w:before="40" w:after="40"/>
              <w:jc w:val="both"/>
              <w:rPr>
                <w:rFonts w:ascii="Verdana" w:eastAsia="Verdana" w:hAnsi="Verdana" w:cs="Verdana"/>
                <w:sz w:val="18"/>
                <w:szCs w:val="18"/>
              </w:rPr>
            </w:pPr>
            <w:r>
              <w:rPr>
                <w:rFonts w:ascii="Verdana" w:eastAsia="Verdana" w:hAnsi="Verdana" w:cs="Verdana"/>
                <w:sz w:val="18"/>
                <w:szCs w:val="18"/>
              </w:rPr>
              <w:t>Marco neoliberal que reduce el agua a servicio público mercantilizado prestado por empresas privadas o mixtas. Dejó en el limbo a las comunidades organizadas. Aunque el Decreto 960 reconoce los esquemas diferenciales como vía legítima, persiste la asimetría jerárquica. Requiere reforma estructural (proyecto de “ley propia” de la Red Nacional de Acueductos Comunitarios) para reconocer al agua como bien común y a la gestión comunitaria como prestación en igualdad de condiciones.</w:t>
            </w:r>
          </w:p>
        </w:tc>
      </w:tr>
      <w:tr w:rsidR="00555E50" w14:paraId="3F6AEF35" w14:textId="77777777" w:rsidTr="00765AB2">
        <w:trPr>
          <w:trHeight w:val="330"/>
        </w:trPr>
        <w:tc>
          <w:tcPr>
            <w:tcW w:w="9024" w:type="dxa"/>
            <w:gridSpan w:val="3"/>
            <w:tcBorders>
              <w:left w:val="single" w:sz="8" w:space="0" w:color="999999"/>
              <w:bottom w:val="single" w:sz="8" w:space="0" w:color="999999"/>
              <w:right w:val="single" w:sz="8" w:space="0" w:color="999999"/>
            </w:tcBorders>
            <w:shd w:val="clear" w:color="auto" w:fill="DEEBF7"/>
            <w:tcMar>
              <w:top w:w="60" w:type="dxa"/>
              <w:left w:w="100" w:type="dxa"/>
              <w:bottom w:w="60" w:type="dxa"/>
              <w:right w:w="100" w:type="dxa"/>
            </w:tcMar>
          </w:tcPr>
          <w:p w14:paraId="0E2869AE" w14:textId="77777777" w:rsidR="00555E50" w:rsidRDefault="00555E50" w:rsidP="00765AB2">
            <w:pPr>
              <w:jc w:val="both"/>
              <w:rPr>
                <w:rFonts w:ascii="Verdana" w:eastAsia="Verdana" w:hAnsi="Verdana" w:cs="Verdana"/>
                <w:b/>
                <w:bCs/>
                <w:color w:val="1F4E79"/>
                <w:sz w:val="18"/>
                <w:szCs w:val="18"/>
              </w:rPr>
            </w:pPr>
            <w:r>
              <w:rPr>
                <w:rFonts w:ascii="Verdana" w:eastAsia="Verdana" w:hAnsi="Verdana" w:cs="Verdana"/>
                <w:b/>
                <w:bCs/>
                <w:color w:val="1F4E79"/>
                <w:sz w:val="18"/>
                <w:szCs w:val="18"/>
              </w:rPr>
              <w:t>ESTRUCTURACIÓN DE PROYECTOS, ORDENAMIENTO Y MARCO MACRO</w:t>
            </w:r>
          </w:p>
        </w:tc>
      </w:tr>
      <w:tr w:rsidR="00555E50" w14:paraId="70FA13BA" w14:textId="77777777" w:rsidTr="00765AB2">
        <w:trPr>
          <w:trHeight w:val="1425"/>
        </w:trPr>
        <w:tc>
          <w:tcPr>
            <w:tcW w:w="2718" w:type="dxa"/>
            <w:tcBorders>
              <w:left w:val="single" w:sz="8" w:space="0" w:color="999999"/>
              <w:bottom w:val="single" w:sz="8" w:space="0" w:color="999999"/>
              <w:right w:val="single" w:sz="8" w:space="0" w:color="999999"/>
            </w:tcBorders>
            <w:tcMar>
              <w:top w:w="80" w:type="dxa"/>
              <w:left w:w="100" w:type="dxa"/>
              <w:bottom w:w="80" w:type="dxa"/>
              <w:right w:w="100" w:type="dxa"/>
            </w:tcMar>
          </w:tcPr>
          <w:p w14:paraId="0467AA89"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Resolución 0137 de 2025 — Comité de Gestión Estratégica de proyectos OTAA</w:t>
            </w:r>
          </w:p>
        </w:tc>
        <w:tc>
          <w:tcPr>
            <w:tcW w:w="1541" w:type="dxa"/>
            <w:tcBorders>
              <w:bottom w:val="single" w:sz="8" w:space="0" w:color="999999"/>
              <w:right w:val="single" w:sz="8" w:space="0" w:color="999999"/>
            </w:tcBorders>
            <w:shd w:val="clear" w:color="auto" w:fill="D9EAD3"/>
            <w:tcMar>
              <w:top w:w="80" w:type="dxa"/>
              <w:left w:w="100" w:type="dxa"/>
              <w:bottom w:w="80" w:type="dxa"/>
              <w:right w:w="100" w:type="dxa"/>
            </w:tcMar>
          </w:tcPr>
          <w:p w14:paraId="1805FAED"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Oportunidad</w:t>
            </w:r>
          </w:p>
        </w:tc>
        <w:tc>
          <w:tcPr>
            <w:tcW w:w="4765" w:type="dxa"/>
            <w:tcBorders>
              <w:bottom w:val="single" w:sz="8" w:space="0" w:color="999999"/>
              <w:right w:val="single" w:sz="8" w:space="0" w:color="999999"/>
            </w:tcBorders>
            <w:tcMar>
              <w:top w:w="80" w:type="dxa"/>
              <w:left w:w="100" w:type="dxa"/>
              <w:bottom w:w="80" w:type="dxa"/>
              <w:right w:w="100" w:type="dxa"/>
            </w:tcMar>
          </w:tcPr>
          <w:p w14:paraId="38780F92" w14:textId="77777777" w:rsidR="00555E50" w:rsidRDefault="00555E50" w:rsidP="00765AB2">
            <w:pPr>
              <w:spacing w:before="40" w:after="40"/>
              <w:jc w:val="both"/>
              <w:rPr>
                <w:rFonts w:ascii="Verdana" w:eastAsia="Verdana" w:hAnsi="Verdana" w:cs="Verdana"/>
                <w:sz w:val="18"/>
                <w:szCs w:val="18"/>
              </w:rPr>
            </w:pPr>
            <w:r>
              <w:rPr>
                <w:rFonts w:ascii="Verdana" w:eastAsia="Verdana" w:hAnsi="Verdana" w:cs="Verdana"/>
                <w:sz w:val="18"/>
                <w:szCs w:val="18"/>
              </w:rPr>
              <w:t xml:space="preserve">Institucionaliza el Ordenamiento Territorial Alrededor del Agua como criterio rector del MVCT. Articula vivienda, agua, saneamiento, residuos sólidos y ordenamiento bajo la unidad de las cinco </w:t>
            </w:r>
            <w:proofErr w:type="spellStart"/>
            <w:r>
              <w:rPr>
                <w:rFonts w:ascii="Verdana" w:eastAsia="Verdana" w:hAnsi="Verdana" w:cs="Verdana"/>
                <w:sz w:val="18"/>
                <w:szCs w:val="18"/>
              </w:rPr>
              <w:t>macrocuencas</w:t>
            </w:r>
            <w:proofErr w:type="spellEnd"/>
            <w:r>
              <w:rPr>
                <w:rFonts w:ascii="Verdana" w:eastAsia="Verdana" w:hAnsi="Verdana" w:cs="Verdana"/>
                <w:sz w:val="18"/>
                <w:szCs w:val="18"/>
              </w:rPr>
              <w:t>. Reto: traducir el comité estratégico en instrumentos operativos vinculantes con autoridades ambientales, IDEAM, IGAC y entidades territoriales.</w:t>
            </w:r>
          </w:p>
        </w:tc>
      </w:tr>
      <w:tr w:rsidR="00555E50" w14:paraId="2EAA1880" w14:textId="77777777" w:rsidTr="00765AB2">
        <w:trPr>
          <w:trHeight w:val="1815"/>
        </w:trPr>
        <w:tc>
          <w:tcPr>
            <w:tcW w:w="2718" w:type="dxa"/>
            <w:tcBorders>
              <w:left w:val="single" w:sz="8" w:space="0" w:color="999999"/>
              <w:bottom w:val="single" w:sz="8" w:space="0" w:color="999999"/>
              <w:right w:val="single" w:sz="8" w:space="0" w:color="999999"/>
            </w:tcBorders>
            <w:tcMar>
              <w:top w:w="80" w:type="dxa"/>
              <w:left w:w="100" w:type="dxa"/>
              <w:bottom w:w="80" w:type="dxa"/>
              <w:right w:w="100" w:type="dxa"/>
            </w:tcMar>
          </w:tcPr>
          <w:p w14:paraId="44D3AF8B"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Reforma SGP y proyecto de Ley de Competencias (2025–2026)</w:t>
            </w:r>
          </w:p>
        </w:tc>
        <w:tc>
          <w:tcPr>
            <w:tcW w:w="1541" w:type="dxa"/>
            <w:tcBorders>
              <w:bottom w:val="single" w:sz="8" w:space="0" w:color="999999"/>
              <w:right w:val="single" w:sz="8" w:space="0" w:color="999999"/>
            </w:tcBorders>
            <w:shd w:val="clear" w:color="auto" w:fill="FFF2CC"/>
            <w:tcMar>
              <w:top w:w="80" w:type="dxa"/>
              <w:left w:w="100" w:type="dxa"/>
              <w:bottom w:w="80" w:type="dxa"/>
              <w:right w:w="100" w:type="dxa"/>
            </w:tcMar>
          </w:tcPr>
          <w:p w14:paraId="080253C5"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Requiere modificación</w:t>
            </w:r>
          </w:p>
        </w:tc>
        <w:tc>
          <w:tcPr>
            <w:tcW w:w="4765" w:type="dxa"/>
            <w:tcBorders>
              <w:bottom w:val="single" w:sz="8" w:space="0" w:color="999999"/>
              <w:right w:val="single" w:sz="8" w:space="0" w:color="999999"/>
            </w:tcBorders>
            <w:tcMar>
              <w:top w:w="80" w:type="dxa"/>
              <w:left w:w="100" w:type="dxa"/>
              <w:bottom w:w="80" w:type="dxa"/>
              <w:right w:w="100" w:type="dxa"/>
            </w:tcMar>
          </w:tcPr>
          <w:p w14:paraId="5C547219" w14:textId="77777777" w:rsidR="00555E50" w:rsidRDefault="00555E50" w:rsidP="00765AB2">
            <w:pPr>
              <w:spacing w:before="40" w:after="40"/>
              <w:jc w:val="both"/>
              <w:rPr>
                <w:rFonts w:ascii="Verdana" w:eastAsia="Verdana" w:hAnsi="Verdana" w:cs="Verdana"/>
                <w:sz w:val="18"/>
                <w:szCs w:val="18"/>
              </w:rPr>
            </w:pPr>
            <w:r>
              <w:rPr>
                <w:rFonts w:ascii="Verdana" w:eastAsia="Verdana" w:hAnsi="Verdana" w:cs="Verdana"/>
                <w:sz w:val="18"/>
                <w:szCs w:val="18"/>
              </w:rPr>
              <w:t>Transferencia del 23,8% al 39,5% de los ICN a los territorios en doce años; los recursos de agua y saneamiento pasan del 5,4% al 10% del SGP. Transforma al MVCT de financiador a regulador. Riesgo: si los recursos se transfieren sin condiciones que prioricen la gestión comunitaria, terminarán capturados por contratistas tradicionales y grandes prestadores. Requiere reglas explícitas de focalización en pequeños prestadores, ruralidad dispersa, OPV y gestión comunitaria.</w:t>
            </w:r>
          </w:p>
        </w:tc>
      </w:tr>
      <w:tr w:rsidR="00555E50" w14:paraId="08BFEFA5" w14:textId="77777777" w:rsidTr="00765AB2">
        <w:trPr>
          <w:trHeight w:val="1620"/>
        </w:trPr>
        <w:tc>
          <w:tcPr>
            <w:tcW w:w="2718" w:type="dxa"/>
            <w:tcBorders>
              <w:left w:val="single" w:sz="8" w:space="0" w:color="999999"/>
              <w:bottom w:val="single" w:sz="8" w:space="0" w:color="999999"/>
              <w:right w:val="single" w:sz="8" w:space="0" w:color="999999"/>
            </w:tcBorders>
            <w:tcMar>
              <w:top w:w="80" w:type="dxa"/>
              <w:left w:w="100" w:type="dxa"/>
              <w:bottom w:w="80" w:type="dxa"/>
              <w:right w:w="100" w:type="dxa"/>
            </w:tcMar>
          </w:tcPr>
          <w:p w14:paraId="4E7AC429"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Ley 388 de 1997 — Ordenamiento Territorial Municipal</w:t>
            </w:r>
          </w:p>
        </w:tc>
        <w:tc>
          <w:tcPr>
            <w:tcW w:w="1541" w:type="dxa"/>
            <w:tcBorders>
              <w:bottom w:val="single" w:sz="8" w:space="0" w:color="999999"/>
              <w:right w:val="single" w:sz="8" w:space="0" w:color="999999"/>
            </w:tcBorders>
            <w:shd w:val="clear" w:color="auto" w:fill="FFF2CC"/>
            <w:tcMar>
              <w:top w:w="80" w:type="dxa"/>
              <w:left w:w="100" w:type="dxa"/>
              <w:bottom w:w="80" w:type="dxa"/>
              <w:right w:w="100" w:type="dxa"/>
            </w:tcMar>
          </w:tcPr>
          <w:p w14:paraId="56C434AE"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Requiere modificación</w:t>
            </w:r>
          </w:p>
        </w:tc>
        <w:tc>
          <w:tcPr>
            <w:tcW w:w="4765" w:type="dxa"/>
            <w:tcBorders>
              <w:bottom w:val="single" w:sz="8" w:space="0" w:color="999999"/>
              <w:right w:val="single" w:sz="8" w:space="0" w:color="999999"/>
            </w:tcBorders>
            <w:tcMar>
              <w:top w:w="80" w:type="dxa"/>
              <w:left w:w="100" w:type="dxa"/>
              <w:bottom w:w="80" w:type="dxa"/>
              <w:right w:w="100" w:type="dxa"/>
            </w:tcMar>
          </w:tcPr>
          <w:p w14:paraId="4025E49B" w14:textId="77777777" w:rsidR="00555E50" w:rsidRDefault="00555E50" w:rsidP="00765AB2">
            <w:pPr>
              <w:spacing w:before="40" w:after="40"/>
              <w:jc w:val="both"/>
              <w:rPr>
                <w:rFonts w:ascii="Verdana" w:eastAsia="Verdana" w:hAnsi="Verdana" w:cs="Verdana"/>
                <w:sz w:val="18"/>
                <w:szCs w:val="18"/>
              </w:rPr>
            </w:pPr>
            <w:r>
              <w:rPr>
                <w:rFonts w:ascii="Verdana" w:eastAsia="Verdana" w:hAnsi="Verdana" w:cs="Verdana"/>
                <w:sz w:val="18"/>
                <w:szCs w:val="18"/>
              </w:rPr>
              <w:t>Norma con sesgo urbano, sin integración rural sustantiva, sin papel real de las gobernaciones ni de los esquemas asociativos territoriales. POT pensado a 12 años cuando los procesos territoriales exigen 24. Requiere reforma de fondo para integrar lo rural, los corredores suburbanos, el OTAA y los Planes de Gestión del Hábitat, y para garantizar que los POMCAS antecedan a los POT como determinante ambiental vinculante.</w:t>
            </w:r>
          </w:p>
        </w:tc>
      </w:tr>
      <w:tr w:rsidR="00555E50" w14:paraId="39FC409F" w14:textId="77777777" w:rsidTr="00765AB2">
        <w:trPr>
          <w:trHeight w:val="1620"/>
        </w:trPr>
        <w:tc>
          <w:tcPr>
            <w:tcW w:w="2718" w:type="dxa"/>
            <w:tcBorders>
              <w:left w:val="single" w:sz="8" w:space="0" w:color="999999"/>
              <w:bottom w:val="single" w:sz="8" w:space="0" w:color="999999"/>
              <w:right w:val="single" w:sz="8" w:space="0" w:color="999999"/>
            </w:tcBorders>
            <w:tcMar>
              <w:top w:w="80" w:type="dxa"/>
              <w:left w:w="100" w:type="dxa"/>
              <w:bottom w:w="80" w:type="dxa"/>
              <w:right w:w="100" w:type="dxa"/>
            </w:tcMar>
          </w:tcPr>
          <w:p w14:paraId="46593E8B"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POMCAS — Planes de Ordenación y Manejo de Cuencas</w:t>
            </w:r>
          </w:p>
        </w:tc>
        <w:tc>
          <w:tcPr>
            <w:tcW w:w="1541" w:type="dxa"/>
            <w:tcBorders>
              <w:bottom w:val="single" w:sz="8" w:space="0" w:color="999999"/>
              <w:right w:val="single" w:sz="8" w:space="0" w:color="999999"/>
            </w:tcBorders>
            <w:shd w:val="clear" w:color="auto" w:fill="FFF2CC"/>
            <w:tcMar>
              <w:top w:w="80" w:type="dxa"/>
              <w:left w:w="100" w:type="dxa"/>
              <w:bottom w:w="80" w:type="dxa"/>
              <w:right w:w="100" w:type="dxa"/>
            </w:tcMar>
          </w:tcPr>
          <w:p w14:paraId="68C13DC6"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Requiere modificación</w:t>
            </w:r>
          </w:p>
        </w:tc>
        <w:tc>
          <w:tcPr>
            <w:tcW w:w="4765" w:type="dxa"/>
            <w:tcBorders>
              <w:bottom w:val="single" w:sz="8" w:space="0" w:color="999999"/>
              <w:right w:val="single" w:sz="8" w:space="0" w:color="999999"/>
            </w:tcBorders>
            <w:tcMar>
              <w:top w:w="80" w:type="dxa"/>
              <w:left w:w="100" w:type="dxa"/>
              <w:bottom w:w="80" w:type="dxa"/>
              <w:right w:w="100" w:type="dxa"/>
            </w:tcMar>
          </w:tcPr>
          <w:p w14:paraId="586BC89E" w14:textId="77777777" w:rsidR="00555E50" w:rsidRDefault="00555E50" w:rsidP="00765AB2">
            <w:pPr>
              <w:spacing w:before="40" w:after="40"/>
              <w:jc w:val="both"/>
              <w:rPr>
                <w:rFonts w:ascii="Verdana" w:eastAsia="Verdana" w:hAnsi="Verdana" w:cs="Verdana"/>
                <w:sz w:val="18"/>
                <w:szCs w:val="18"/>
              </w:rPr>
            </w:pPr>
            <w:r>
              <w:rPr>
                <w:rFonts w:ascii="Verdana" w:eastAsia="Verdana" w:hAnsi="Verdana" w:cs="Verdana"/>
                <w:sz w:val="18"/>
                <w:szCs w:val="18"/>
              </w:rPr>
              <w:t>El país tiene cerca de 400 subzonas hidrográficas y la aprobación de POMCAS no llega al 25%. Sin POMCA no hay determinante ambiental para el POT. Requiere estrategia nacional de financiación (Sistema General de Regalías, SGP ambiental, Fondo Nacional Ambiental, cooperación internacional) y cronograma MVCT–</w:t>
            </w:r>
            <w:proofErr w:type="spellStart"/>
            <w:r>
              <w:rPr>
                <w:rFonts w:ascii="Verdana" w:eastAsia="Verdana" w:hAnsi="Verdana" w:cs="Verdana"/>
                <w:sz w:val="18"/>
                <w:szCs w:val="18"/>
              </w:rPr>
              <w:t>Minambiente</w:t>
            </w:r>
            <w:proofErr w:type="spellEnd"/>
            <w:r>
              <w:rPr>
                <w:rFonts w:ascii="Verdana" w:eastAsia="Verdana" w:hAnsi="Verdana" w:cs="Verdana"/>
                <w:sz w:val="18"/>
                <w:szCs w:val="18"/>
              </w:rPr>
              <w:t xml:space="preserve"> </w:t>
            </w:r>
            <w:r>
              <w:rPr>
                <w:rFonts w:ascii="Verdana" w:eastAsia="Verdana" w:hAnsi="Verdana" w:cs="Verdana"/>
                <w:sz w:val="18"/>
                <w:szCs w:val="18"/>
              </w:rPr>
              <w:lastRenderedPageBreak/>
              <w:t>que sincronice POMCAS, POT y EOT. Es la base material del OTAA.</w:t>
            </w:r>
          </w:p>
        </w:tc>
      </w:tr>
      <w:tr w:rsidR="00555E50" w14:paraId="2E1B981B" w14:textId="77777777" w:rsidTr="00765AB2">
        <w:trPr>
          <w:trHeight w:val="1620"/>
        </w:trPr>
        <w:tc>
          <w:tcPr>
            <w:tcW w:w="2718" w:type="dxa"/>
            <w:tcBorders>
              <w:left w:val="single" w:sz="8" w:space="0" w:color="999999"/>
              <w:bottom w:val="single" w:sz="8" w:space="0" w:color="999999"/>
              <w:right w:val="single" w:sz="8" w:space="0" w:color="999999"/>
            </w:tcBorders>
            <w:tcMar>
              <w:top w:w="80" w:type="dxa"/>
              <w:left w:w="100" w:type="dxa"/>
              <w:bottom w:w="80" w:type="dxa"/>
              <w:right w:w="100" w:type="dxa"/>
            </w:tcMar>
          </w:tcPr>
          <w:p w14:paraId="1D47EAD5"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lastRenderedPageBreak/>
              <w:t>Asistencia Técnica Integral (ATI) — Guía MVCT 2025</w:t>
            </w:r>
          </w:p>
        </w:tc>
        <w:tc>
          <w:tcPr>
            <w:tcW w:w="1541" w:type="dxa"/>
            <w:tcBorders>
              <w:bottom w:val="single" w:sz="8" w:space="0" w:color="999999"/>
              <w:right w:val="single" w:sz="8" w:space="0" w:color="999999"/>
            </w:tcBorders>
            <w:shd w:val="clear" w:color="auto" w:fill="D9EAD3"/>
            <w:tcMar>
              <w:top w:w="80" w:type="dxa"/>
              <w:left w:w="100" w:type="dxa"/>
              <w:bottom w:w="80" w:type="dxa"/>
              <w:right w:w="100" w:type="dxa"/>
            </w:tcMar>
          </w:tcPr>
          <w:p w14:paraId="6B08A366"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Oportunidad</w:t>
            </w:r>
          </w:p>
        </w:tc>
        <w:tc>
          <w:tcPr>
            <w:tcW w:w="4765" w:type="dxa"/>
            <w:tcBorders>
              <w:bottom w:val="single" w:sz="8" w:space="0" w:color="999999"/>
              <w:right w:val="single" w:sz="8" w:space="0" w:color="999999"/>
            </w:tcBorders>
            <w:tcMar>
              <w:top w:w="80" w:type="dxa"/>
              <w:left w:w="100" w:type="dxa"/>
              <w:bottom w:w="80" w:type="dxa"/>
              <w:right w:w="100" w:type="dxa"/>
            </w:tcMar>
          </w:tcPr>
          <w:p w14:paraId="45717ED5" w14:textId="77777777" w:rsidR="00555E50" w:rsidRDefault="00555E50" w:rsidP="00765AB2">
            <w:pPr>
              <w:spacing w:before="40" w:after="40"/>
              <w:jc w:val="both"/>
              <w:rPr>
                <w:rFonts w:ascii="Verdana" w:eastAsia="Verdana" w:hAnsi="Verdana" w:cs="Verdana"/>
                <w:sz w:val="18"/>
                <w:szCs w:val="18"/>
              </w:rPr>
            </w:pPr>
            <w:r>
              <w:rPr>
                <w:rFonts w:ascii="Verdana" w:eastAsia="Verdana" w:hAnsi="Verdana" w:cs="Verdana"/>
                <w:sz w:val="18"/>
                <w:szCs w:val="18"/>
              </w:rPr>
              <w:t>Estrategia metodológica, operativa e institucional que sustituye el modelo de “trámite” por acompañamiento permanente. Punto de partida: corresponsabilidad, saberes locales, pertinencia cultural y territorial. No vinculante: las decisiones quedan en la organización de base y su ejecutor. Reto: institucionalizarla en el Viceministerio de Vivienda mediante un Grupo Estructurador de Proyectos, con presupuesto y personal estable.</w:t>
            </w:r>
          </w:p>
        </w:tc>
      </w:tr>
      <w:tr w:rsidR="00555E50" w14:paraId="10E812D5" w14:textId="77777777" w:rsidTr="00765AB2">
        <w:trPr>
          <w:trHeight w:val="1815"/>
        </w:trPr>
        <w:tc>
          <w:tcPr>
            <w:tcW w:w="2718" w:type="dxa"/>
            <w:tcBorders>
              <w:left w:val="single" w:sz="8" w:space="0" w:color="999999"/>
              <w:bottom w:val="single" w:sz="8" w:space="0" w:color="999999"/>
              <w:right w:val="single" w:sz="8" w:space="0" w:color="999999"/>
            </w:tcBorders>
            <w:tcMar>
              <w:top w:w="80" w:type="dxa"/>
              <w:left w:w="100" w:type="dxa"/>
              <w:bottom w:w="80" w:type="dxa"/>
              <w:right w:w="100" w:type="dxa"/>
            </w:tcMar>
          </w:tcPr>
          <w:p w14:paraId="73A71EC5"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Acuerdo Final 2016 / PMI / PATR-PDET</w:t>
            </w:r>
          </w:p>
        </w:tc>
        <w:tc>
          <w:tcPr>
            <w:tcW w:w="1541" w:type="dxa"/>
            <w:tcBorders>
              <w:bottom w:val="single" w:sz="8" w:space="0" w:color="999999"/>
              <w:right w:val="single" w:sz="8" w:space="0" w:color="999999"/>
            </w:tcBorders>
            <w:shd w:val="clear" w:color="auto" w:fill="D9EAD3"/>
            <w:tcMar>
              <w:top w:w="80" w:type="dxa"/>
              <w:left w:w="100" w:type="dxa"/>
              <w:bottom w:w="80" w:type="dxa"/>
              <w:right w:w="100" w:type="dxa"/>
            </w:tcMar>
          </w:tcPr>
          <w:p w14:paraId="6D545909" w14:textId="77777777" w:rsidR="00555E50" w:rsidRDefault="00555E50" w:rsidP="00765AB2">
            <w:pPr>
              <w:spacing w:before="40" w:after="40"/>
              <w:jc w:val="both"/>
              <w:rPr>
                <w:rFonts w:ascii="Verdana" w:eastAsia="Verdana" w:hAnsi="Verdana" w:cs="Verdana"/>
                <w:b/>
                <w:bCs/>
                <w:sz w:val="18"/>
                <w:szCs w:val="18"/>
              </w:rPr>
            </w:pPr>
            <w:r>
              <w:rPr>
                <w:rFonts w:ascii="Verdana" w:eastAsia="Verdana" w:hAnsi="Verdana" w:cs="Verdana"/>
                <w:b/>
                <w:bCs/>
                <w:sz w:val="18"/>
                <w:szCs w:val="18"/>
              </w:rPr>
              <w:t>Oportunidad</w:t>
            </w:r>
          </w:p>
        </w:tc>
        <w:tc>
          <w:tcPr>
            <w:tcW w:w="4765" w:type="dxa"/>
            <w:tcBorders>
              <w:bottom w:val="single" w:sz="8" w:space="0" w:color="999999"/>
              <w:right w:val="single" w:sz="8" w:space="0" w:color="999999"/>
            </w:tcBorders>
            <w:tcMar>
              <w:top w:w="80" w:type="dxa"/>
              <w:left w:w="100" w:type="dxa"/>
              <w:bottom w:w="80" w:type="dxa"/>
              <w:right w:w="100" w:type="dxa"/>
            </w:tcMar>
          </w:tcPr>
          <w:p w14:paraId="57E896A5" w14:textId="77777777" w:rsidR="00555E50" w:rsidRDefault="00555E50" w:rsidP="00765AB2">
            <w:pPr>
              <w:spacing w:before="40" w:after="40"/>
              <w:jc w:val="both"/>
              <w:rPr>
                <w:rFonts w:ascii="Verdana" w:eastAsia="Verdana" w:hAnsi="Verdana" w:cs="Verdana"/>
                <w:sz w:val="18"/>
                <w:szCs w:val="18"/>
              </w:rPr>
            </w:pPr>
            <w:r>
              <w:rPr>
                <w:rFonts w:ascii="Verdana" w:eastAsia="Verdana" w:hAnsi="Verdana" w:cs="Verdana"/>
                <w:sz w:val="18"/>
                <w:szCs w:val="18"/>
              </w:rPr>
              <w:t>El Séptimo Informe de la Procuraduría (2025) registra 0% de avance en indicadores PMI de agua y saneamiento rural en 2024 y reducción del 78,34% en valor de contratos de vivienda e infraestructura en zonas PDET. 74% de iniciativas PATR sin ruta de implementación. Requiere blindar financiera y operativamente el componente de paz del MVCT con focalización territorial diferenciada en PDET, ETCR y Maquetas de Paz.</w:t>
            </w:r>
          </w:p>
        </w:tc>
      </w:tr>
    </w:tbl>
    <w:p w14:paraId="32273585" w14:textId="77777777" w:rsidR="00555E50" w:rsidRPr="00C809E2" w:rsidRDefault="00555E50" w:rsidP="00555E50">
      <w:pPr>
        <w:spacing w:after="360" w:line="360" w:lineRule="auto"/>
        <w:jc w:val="both"/>
        <w:rPr>
          <w:sz w:val="24"/>
          <w:szCs w:val="24"/>
        </w:rPr>
      </w:pPr>
    </w:p>
    <w:p w14:paraId="1E0AE0D9" w14:textId="77777777" w:rsidR="00B4157C" w:rsidRDefault="00B4157C" w:rsidP="004404A1">
      <w:pPr>
        <w:pStyle w:val="Ttulo1"/>
      </w:pPr>
    </w:p>
    <w:p w14:paraId="719CDF64" w14:textId="77777777" w:rsidR="00B4157C" w:rsidRDefault="00B4157C" w:rsidP="004404A1">
      <w:pPr>
        <w:pStyle w:val="Ttulo1"/>
      </w:pPr>
    </w:p>
    <w:p w14:paraId="7F2ED0D8" w14:textId="77777777" w:rsidR="00B4157C" w:rsidRDefault="00B4157C" w:rsidP="004404A1">
      <w:pPr>
        <w:pStyle w:val="Ttulo1"/>
      </w:pPr>
    </w:p>
    <w:p w14:paraId="53319F48" w14:textId="77777777" w:rsidR="00B4157C" w:rsidRDefault="00B4157C" w:rsidP="004404A1">
      <w:pPr>
        <w:pStyle w:val="Ttulo1"/>
      </w:pPr>
    </w:p>
    <w:p w14:paraId="0DFA4C48" w14:textId="77777777" w:rsidR="00B4157C" w:rsidRDefault="00B4157C" w:rsidP="004404A1">
      <w:pPr>
        <w:pStyle w:val="Ttulo1"/>
      </w:pPr>
    </w:p>
    <w:p w14:paraId="674D487A" w14:textId="77777777" w:rsidR="00B4157C" w:rsidRDefault="00B4157C" w:rsidP="004404A1">
      <w:pPr>
        <w:pStyle w:val="Ttulo1"/>
      </w:pPr>
    </w:p>
    <w:p w14:paraId="74EE2F51" w14:textId="77777777" w:rsidR="00B4157C" w:rsidRDefault="00B4157C" w:rsidP="004404A1">
      <w:pPr>
        <w:pStyle w:val="Ttulo1"/>
      </w:pPr>
    </w:p>
    <w:p w14:paraId="3F22CB01" w14:textId="77777777" w:rsidR="00B4157C" w:rsidRDefault="00B4157C" w:rsidP="00B4157C"/>
    <w:p w14:paraId="13238965" w14:textId="77777777" w:rsidR="00B4157C" w:rsidRPr="00B4157C" w:rsidRDefault="00B4157C" w:rsidP="00B4157C"/>
    <w:p w14:paraId="3270A908" w14:textId="709A2398" w:rsidR="003F26BE" w:rsidRPr="004404A1" w:rsidRDefault="003F26BE" w:rsidP="004404A1">
      <w:pPr>
        <w:pStyle w:val="Ttulo1"/>
      </w:pPr>
      <w:bookmarkStart w:id="183" w:name="_Toc234242904"/>
      <w:r w:rsidRPr="004404A1">
        <w:lastRenderedPageBreak/>
        <w:t>Bibliografía</w:t>
      </w:r>
      <w:bookmarkEnd w:id="183"/>
    </w:p>
    <w:p w14:paraId="2C55DD7A" w14:textId="77777777" w:rsidR="009C6BEB" w:rsidRPr="00E00F13" w:rsidRDefault="009C6BEB" w:rsidP="006D0C59">
      <w:pPr>
        <w:spacing w:after="0" w:line="360" w:lineRule="auto"/>
        <w:ind w:left="709" w:hanging="709"/>
        <w:jc w:val="both"/>
        <w:rPr>
          <w:rFonts w:ascii="Arial" w:hAnsi="Arial" w:cs="Arial"/>
          <w:sz w:val="24"/>
          <w:szCs w:val="24"/>
        </w:rPr>
      </w:pPr>
    </w:p>
    <w:p w14:paraId="4EFE30E6" w14:textId="757A82CC" w:rsidR="00247D3A" w:rsidRPr="00E00F13" w:rsidRDefault="00F60F0F" w:rsidP="006D0C59">
      <w:pPr>
        <w:spacing w:after="0" w:line="360" w:lineRule="auto"/>
        <w:ind w:left="709" w:hanging="709"/>
        <w:jc w:val="both"/>
        <w:rPr>
          <w:rFonts w:ascii="Arial" w:hAnsi="Arial" w:cs="Arial"/>
          <w:b/>
          <w:bCs/>
          <w:sz w:val="24"/>
          <w:szCs w:val="24"/>
        </w:rPr>
      </w:pPr>
      <w:r w:rsidRPr="00E00F13">
        <w:rPr>
          <w:rFonts w:ascii="Arial" w:hAnsi="Arial" w:cs="Arial"/>
          <w:b/>
          <w:bCs/>
          <w:sz w:val="24"/>
          <w:szCs w:val="24"/>
        </w:rPr>
        <w:t>Documentación</w:t>
      </w:r>
    </w:p>
    <w:p w14:paraId="77F8C256" w14:textId="77777777" w:rsidR="00F60F0F" w:rsidRPr="00E00F13" w:rsidRDefault="00F60F0F" w:rsidP="006D0C59">
      <w:pPr>
        <w:spacing w:after="0" w:line="360" w:lineRule="auto"/>
        <w:ind w:left="709" w:hanging="709"/>
        <w:jc w:val="both"/>
        <w:rPr>
          <w:rFonts w:ascii="Arial" w:hAnsi="Arial" w:cs="Arial"/>
          <w:sz w:val="24"/>
          <w:szCs w:val="24"/>
        </w:rPr>
      </w:pPr>
    </w:p>
    <w:p w14:paraId="0297D75F" w14:textId="3C9B08C8" w:rsidR="00247D3A" w:rsidRPr="00E00F13" w:rsidRDefault="00247D3A" w:rsidP="006D0C59">
      <w:pPr>
        <w:spacing w:after="0" w:line="360" w:lineRule="auto"/>
        <w:ind w:left="709" w:hanging="709"/>
        <w:jc w:val="both"/>
        <w:rPr>
          <w:rFonts w:ascii="Arial" w:hAnsi="Arial" w:cs="Arial"/>
          <w:sz w:val="24"/>
          <w:szCs w:val="24"/>
        </w:rPr>
      </w:pPr>
      <w:r w:rsidRPr="00E00F13">
        <w:rPr>
          <w:rFonts w:ascii="Arial" w:hAnsi="Arial" w:cs="Arial"/>
          <w:sz w:val="24"/>
          <w:szCs w:val="24"/>
        </w:rPr>
        <w:t xml:space="preserve">Comisión para el Esclarecimiento de la Verdad, CEV. (2023). </w:t>
      </w:r>
      <w:r w:rsidRPr="00E00F13">
        <w:rPr>
          <w:rFonts w:ascii="Arial" w:hAnsi="Arial" w:cs="Arial"/>
          <w:i/>
          <w:iCs/>
          <w:sz w:val="24"/>
          <w:szCs w:val="24"/>
        </w:rPr>
        <w:t>Informe Final</w:t>
      </w:r>
      <w:r w:rsidRPr="00E00F13">
        <w:rPr>
          <w:rFonts w:ascii="Arial" w:hAnsi="Arial" w:cs="Arial"/>
          <w:sz w:val="24"/>
          <w:szCs w:val="24"/>
        </w:rPr>
        <w:t>. «Colombia adentro». Caso 57 / Violencia urbana en Buenaventurahttps://www.comisiondelaverdad.co/caso-57-violencia-urbana-en-buenaventura</w:t>
      </w:r>
    </w:p>
    <w:p w14:paraId="22ACB5C7" w14:textId="56C653F4" w:rsidR="009234F8" w:rsidRPr="00E00F13" w:rsidRDefault="009234F8" w:rsidP="006D0C59">
      <w:pPr>
        <w:spacing w:after="0" w:line="360" w:lineRule="auto"/>
        <w:ind w:left="709" w:hanging="709"/>
        <w:jc w:val="both"/>
        <w:rPr>
          <w:rFonts w:ascii="Arial" w:hAnsi="Arial" w:cs="Arial"/>
          <w:sz w:val="24"/>
          <w:szCs w:val="24"/>
        </w:rPr>
      </w:pPr>
    </w:p>
    <w:p w14:paraId="00D9993B" w14:textId="7751DBF6" w:rsidR="00207E9D" w:rsidRPr="00E00F13" w:rsidRDefault="00515E3B" w:rsidP="006D0C59">
      <w:pPr>
        <w:spacing w:after="0" w:line="360" w:lineRule="auto"/>
        <w:ind w:left="709" w:hanging="709"/>
        <w:jc w:val="both"/>
        <w:rPr>
          <w:rFonts w:ascii="Arial" w:hAnsi="Arial" w:cs="Arial"/>
          <w:sz w:val="24"/>
          <w:szCs w:val="24"/>
          <w:lang w:val="es-ES"/>
        </w:rPr>
      </w:pPr>
      <w:r w:rsidRPr="00E00F13">
        <w:rPr>
          <w:rFonts w:ascii="Arial" w:hAnsi="Arial" w:cs="Arial"/>
          <w:sz w:val="24"/>
          <w:szCs w:val="24"/>
          <w:lang w:val="es-ES"/>
        </w:rPr>
        <w:t xml:space="preserve">Corte Constitucional de Justicia </w:t>
      </w:r>
      <w:r w:rsidR="009234F8" w:rsidRPr="00E00F13">
        <w:rPr>
          <w:rFonts w:ascii="Arial" w:hAnsi="Arial" w:cs="Arial"/>
          <w:sz w:val="24"/>
          <w:szCs w:val="24"/>
          <w:lang w:val="es-ES"/>
        </w:rPr>
        <w:t>y otros</w:t>
      </w:r>
      <w:r w:rsidRPr="00E00F13">
        <w:rPr>
          <w:rFonts w:ascii="Arial" w:hAnsi="Arial" w:cs="Arial"/>
          <w:sz w:val="24"/>
          <w:szCs w:val="24"/>
          <w:lang w:val="es-ES"/>
        </w:rPr>
        <w:t>. (</w:t>
      </w:r>
      <w:r w:rsidR="009234F8" w:rsidRPr="00E00F13">
        <w:rPr>
          <w:rFonts w:ascii="Arial" w:hAnsi="Arial" w:cs="Arial"/>
          <w:sz w:val="24"/>
          <w:szCs w:val="24"/>
          <w:lang w:val="es-ES"/>
        </w:rPr>
        <w:t>2019</w:t>
      </w:r>
      <w:r w:rsidRPr="00E00F13">
        <w:rPr>
          <w:rFonts w:ascii="Arial" w:hAnsi="Arial" w:cs="Arial"/>
          <w:sz w:val="24"/>
          <w:szCs w:val="24"/>
          <w:lang w:val="es-ES"/>
        </w:rPr>
        <w:t>)</w:t>
      </w:r>
      <w:r w:rsidR="009234F8" w:rsidRPr="00E00F13">
        <w:rPr>
          <w:rFonts w:ascii="Arial" w:hAnsi="Arial" w:cs="Arial"/>
          <w:sz w:val="24"/>
          <w:szCs w:val="24"/>
          <w:lang w:val="es-ES"/>
        </w:rPr>
        <w:t xml:space="preserve">. </w:t>
      </w:r>
      <w:r w:rsidR="009234F8" w:rsidRPr="00E00F13">
        <w:rPr>
          <w:rFonts w:ascii="Arial" w:hAnsi="Arial" w:cs="Arial"/>
          <w:i/>
          <w:iCs/>
          <w:sz w:val="24"/>
          <w:szCs w:val="24"/>
          <w:lang w:val="es-ES"/>
        </w:rPr>
        <w:t>Radiografía a la restitución de tierras</w:t>
      </w:r>
      <w:r w:rsidRPr="00E00F13">
        <w:rPr>
          <w:rFonts w:ascii="Arial" w:hAnsi="Arial" w:cs="Arial"/>
          <w:sz w:val="24"/>
          <w:szCs w:val="24"/>
          <w:lang w:val="es-ES"/>
        </w:rPr>
        <w:t xml:space="preserve">. </w:t>
      </w:r>
    </w:p>
    <w:p w14:paraId="1A7055F2" w14:textId="629DD5D7" w:rsidR="00E21A81" w:rsidRPr="00E00F13" w:rsidRDefault="00E21A81" w:rsidP="006D0C59">
      <w:pPr>
        <w:spacing w:after="0" w:line="360" w:lineRule="auto"/>
        <w:ind w:left="709" w:hanging="709"/>
        <w:jc w:val="both"/>
        <w:rPr>
          <w:rFonts w:ascii="Arial" w:hAnsi="Arial" w:cs="Arial"/>
          <w:sz w:val="24"/>
          <w:szCs w:val="24"/>
          <w:lang w:val="es-ES"/>
        </w:rPr>
      </w:pPr>
    </w:p>
    <w:p w14:paraId="5C218A65" w14:textId="2CE2FB66" w:rsidR="00E21A81" w:rsidRPr="00E00F13" w:rsidRDefault="00E21A81" w:rsidP="00E21A81">
      <w:pPr>
        <w:spacing w:after="0" w:line="360" w:lineRule="auto"/>
        <w:ind w:left="709" w:hanging="709"/>
        <w:jc w:val="both"/>
        <w:rPr>
          <w:rFonts w:ascii="Arial" w:hAnsi="Arial" w:cs="Arial"/>
          <w:sz w:val="24"/>
          <w:szCs w:val="24"/>
          <w:lang w:val="es-ES"/>
        </w:rPr>
      </w:pPr>
      <w:r w:rsidRPr="00E00F13">
        <w:rPr>
          <w:rFonts w:ascii="Arial" w:hAnsi="Arial" w:cs="Arial"/>
          <w:sz w:val="24"/>
          <w:szCs w:val="24"/>
          <w:lang w:val="es-ES"/>
        </w:rPr>
        <w:t xml:space="preserve">Departamento Administrativo Nacional de Estadística, DANE. (2023). </w:t>
      </w:r>
      <w:r w:rsidRPr="00E00F13">
        <w:rPr>
          <w:rFonts w:ascii="Arial" w:hAnsi="Arial" w:cs="Arial"/>
          <w:i/>
          <w:iCs/>
          <w:sz w:val="24"/>
          <w:szCs w:val="24"/>
          <w:lang w:val="es-ES"/>
        </w:rPr>
        <w:t>Informes de Estadística Sociodemográfica Aplicada. Comportamiento de los componentes demográficos en Colombia en 2021 a partir de la Gran Encuesta Integrada de Hogares - GEIH y la Encuesta Nacional de Calidad de Vida – ENCV</w:t>
      </w:r>
      <w:r w:rsidRPr="00E00F13">
        <w:rPr>
          <w:rFonts w:ascii="Arial" w:hAnsi="Arial" w:cs="Arial"/>
          <w:sz w:val="24"/>
          <w:szCs w:val="24"/>
          <w:lang w:val="es-ES"/>
        </w:rPr>
        <w:t>. Número 21.</w:t>
      </w:r>
    </w:p>
    <w:p w14:paraId="57D3FDA3" w14:textId="77777777" w:rsidR="006D0C59" w:rsidRPr="00E00F13" w:rsidRDefault="006D0C59" w:rsidP="006D0C59">
      <w:pPr>
        <w:spacing w:after="0" w:line="360" w:lineRule="auto"/>
        <w:ind w:left="709" w:hanging="709"/>
        <w:jc w:val="both"/>
        <w:rPr>
          <w:rFonts w:ascii="Arial" w:hAnsi="Arial" w:cs="Arial"/>
          <w:sz w:val="24"/>
          <w:szCs w:val="24"/>
        </w:rPr>
      </w:pPr>
    </w:p>
    <w:p w14:paraId="644DEB3D" w14:textId="0E3D1179" w:rsidR="00207E9D" w:rsidRPr="00E00F13" w:rsidRDefault="00207E9D" w:rsidP="006D0C59">
      <w:pPr>
        <w:spacing w:after="0" w:line="360" w:lineRule="auto"/>
        <w:ind w:left="709" w:hanging="709"/>
        <w:jc w:val="both"/>
        <w:rPr>
          <w:rFonts w:ascii="Arial" w:hAnsi="Arial" w:cs="Arial"/>
          <w:sz w:val="24"/>
          <w:szCs w:val="24"/>
        </w:rPr>
      </w:pPr>
      <w:r w:rsidRPr="00E00F13">
        <w:rPr>
          <w:rFonts w:ascii="Arial" w:hAnsi="Arial" w:cs="Arial"/>
          <w:sz w:val="24"/>
          <w:szCs w:val="24"/>
        </w:rPr>
        <w:t>DNP. (2014). «Bases para una Política General de Ordenamiento Territorial».</w:t>
      </w:r>
    </w:p>
    <w:p w14:paraId="3B4CF006" w14:textId="77777777" w:rsidR="006D0C59" w:rsidRPr="00E00F13" w:rsidRDefault="006D0C59" w:rsidP="006D0C59">
      <w:pPr>
        <w:spacing w:after="0" w:line="360" w:lineRule="auto"/>
        <w:ind w:left="709" w:hanging="709"/>
        <w:jc w:val="both"/>
        <w:rPr>
          <w:rFonts w:ascii="Arial" w:hAnsi="Arial" w:cs="Arial"/>
          <w:sz w:val="24"/>
          <w:szCs w:val="24"/>
        </w:rPr>
      </w:pPr>
    </w:p>
    <w:p w14:paraId="021569AC" w14:textId="7AB63645" w:rsidR="00207E9D" w:rsidRPr="00E00F13" w:rsidRDefault="00207E9D" w:rsidP="006D0C59">
      <w:pPr>
        <w:spacing w:after="0" w:line="360" w:lineRule="auto"/>
        <w:ind w:left="709" w:hanging="709"/>
        <w:jc w:val="both"/>
        <w:rPr>
          <w:rFonts w:ascii="Arial" w:hAnsi="Arial" w:cs="Arial"/>
          <w:i/>
          <w:iCs/>
          <w:sz w:val="24"/>
          <w:szCs w:val="24"/>
        </w:rPr>
      </w:pPr>
      <w:r w:rsidRPr="00E00F13">
        <w:rPr>
          <w:rFonts w:ascii="Arial" w:hAnsi="Arial" w:cs="Arial"/>
          <w:sz w:val="24"/>
          <w:szCs w:val="24"/>
        </w:rPr>
        <w:t xml:space="preserve">González, F. (2018). </w:t>
      </w:r>
      <w:r w:rsidRPr="00E00F13">
        <w:rPr>
          <w:rFonts w:ascii="Arial" w:hAnsi="Arial" w:cs="Arial"/>
          <w:i/>
          <w:iCs/>
          <w:sz w:val="24"/>
          <w:szCs w:val="24"/>
        </w:rPr>
        <w:t>¿Llevar el Estado a las regiones o las regiones al Estado?</w:t>
      </w:r>
    </w:p>
    <w:p w14:paraId="007CCF40" w14:textId="77777777" w:rsidR="0054068F" w:rsidRPr="00E00F13" w:rsidRDefault="0054068F" w:rsidP="0054068F">
      <w:pPr>
        <w:spacing w:after="0" w:line="360" w:lineRule="auto"/>
        <w:jc w:val="both"/>
        <w:rPr>
          <w:rFonts w:ascii="Arial" w:hAnsi="Arial" w:cs="Arial"/>
          <w:sz w:val="24"/>
          <w:szCs w:val="24"/>
        </w:rPr>
      </w:pPr>
    </w:p>
    <w:p w14:paraId="361DFC21" w14:textId="77777777" w:rsidR="0054068F" w:rsidRPr="00E00F13" w:rsidRDefault="0054068F" w:rsidP="0054068F">
      <w:pPr>
        <w:spacing w:after="0" w:line="360" w:lineRule="auto"/>
        <w:ind w:left="709" w:hanging="709"/>
        <w:jc w:val="both"/>
        <w:rPr>
          <w:rFonts w:ascii="Arial" w:hAnsi="Arial" w:cs="Arial"/>
          <w:sz w:val="24"/>
          <w:szCs w:val="24"/>
        </w:rPr>
      </w:pPr>
      <w:r w:rsidRPr="00E00F13">
        <w:rPr>
          <w:rFonts w:ascii="Arial" w:hAnsi="Arial" w:cs="Arial"/>
          <w:sz w:val="24"/>
          <w:szCs w:val="24"/>
        </w:rPr>
        <w:t>Infobae. (7 de junio de 2025). «La ministra de Vivienda pidió nuevo enfoque para ‘Mi Casa Ya’: “Se tiene que complementar con más soluciones habitacionales”».</w:t>
      </w:r>
    </w:p>
    <w:p w14:paraId="585EEEEC" w14:textId="77777777" w:rsidR="0054068F" w:rsidRPr="00E00F13" w:rsidRDefault="0054068F" w:rsidP="0054068F">
      <w:pPr>
        <w:spacing w:after="0" w:line="360" w:lineRule="auto"/>
        <w:ind w:left="709" w:hanging="709"/>
        <w:jc w:val="both"/>
        <w:rPr>
          <w:rFonts w:ascii="Arial" w:hAnsi="Arial" w:cs="Arial"/>
          <w:sz w:val="24"/>
          <w:szCs w:val="24"/>
        </w:rPr>
      </w:pPr>
    </w:p>
    <w:p w14:paraId="79EA602D" w14:textId="7C2DB4C4" w:rsidR="009D3C6F" w:rsidRPr="00E00F13" w:rsidRDefault="009D3C6F" w:rsidP="006D0C59">
      <w:pPr>
        <w:spacing w:after="0" w:line="360" w:lineRule="auto"/>
        <w:ind w:left="709" w:hanging="709"/>
        <w:jc w:val="both"/>
        <w:rPr>
          <w:rFonts w:ascii="Arial" w:hAnsi="Arial" w:cs="Arial"/>
          <w:sz w:val="24"/>
          <w:szCs w:val="24"/>
        </w:rPr>
      </w:pPr>
      <w:r w:rsidRPr="00E00F13">
        <w:rPr>
          <w:rFonts w:ascii="Arial" w:hAnsi="Arial" w:cs="Arial"/>
          <w:sz w:val="24"/>
          <w:szCs w:val="24"/>
        </w:rPr>
        <w:t>Ley 1448 de 2011</w:t>
      </w:r>
      <w:r w:rsidR="005A7129" w:rsidRPr="00E00F13">
        <w:rPr>
          <w:rFonts w:ascii="Arial" w:hAnsi="Arial" w:cs="Arial"/>
          <w:sz w:val="24"/>
          <w:szCs w:val="24"/>
        </w:rPr>
        <w:t>.</w:t>
      </w:r>
      <w:r w:rsidRPr="00E00F13">
        <w:rPr>
          <w:rFonts w:ascii="Arial" w:hAnsi="Arial" w:cs="Arial"/>
          <w:sz w:val="24"/>
          <w:szCs w:val="24"/>
        </w:rPr>
        <w:t xml:space="preserve"> Ley de Víctimas y Restitución de Tierras. </w:t>
      </w:r>
      <w:r w:rsidR="005A7129" w:rsidRPr="00E00F13">
        <w:rPr>
          <w:rFonts w:ascii="Arial" w:hAnsi="Arial" w:cs="Arial"/>
          <w:sz w:val="24"/>
          <w:szCs w:val="24"/>
        </w:rPr>
        <w:t>«</w:t>
      </w:r>
      <w:r w:rsidRPr="00E00F13">
        <w:rPr>
          <w:rFonts w:ascii="Arial" w:hAnsi="Arial" w:cs="Arial"/>
          <w:sz w:val="24"/>
          <w:szCs w:val="24"/>
        </w:rPr>
        <w:t>Por la cual se dictan medidas de atención, asistencia y reparación integral a las víctimas del conflicto armado interno y se dictan otras disposiciones</w:t>
      </w:r>
      <w:r w:rsidR="005A7129" w:rsidRPr="00E00F13">
        <w:rPr>
          <w:rFonts w:ascii="Arial" w:hAnsi="Arial" w:cs="Arial"/>
          <w:sz w:val="24"/>
          <w:szCs w:val="24"/>
        </w:rPr>
        <w:t>».</w:t>
      </w:r>
    </w:p>
    <w:p w14:paraId="3DAD03E8" w14:textId="77777777" w:rsidR="009D3C6F" w:rsidRPr="00E00F13" w:rsidRDefault="009D3C6F" w:rsidP="006D0C59">
      <w:pPr>
        <w:spacing w:after="0" w:line="360" w:lineRule="auto"/>
        <w:ind w:left="709" w:hanging="709"/>
        <w:jc w:val="both"/>
        <w:rPr>
          <w:rFonts w:ascii="Arial" w:hAnsi="Arial" w:cs="Arial"/>
          <w:sz w:val="24"/>
          <w:szCs w:val="24"/>
        </w:rPr>
      </w:pPr>
    </w:p>
    <w:p w14:paraId="44550650" w14:textId="4196EA2A" w:rsidR="009D3C6F" w:rsidRPr="00E00F13" w:rsidRDefault="009D3C6F" w:rsidP="006D0C59">
      <w:pPr>
        <w:spacing w:after="0" w:line="360" w:lineRule="auto"/>
        <w:ind w:left="709" w:hanging="709"/>
        <w:jc w:val="both"/>
        <w:rPr>
          <w:rFonts w:ascii="Arial" w:hAnsi="Arial" w:cs="Arial"/>
          <w:sz w:val="24"/>
          <w:szCs w:val="24"/>
        </w:rPr>
      </w:pPr>
      <w:r w:rsidRPr="00E00F13">
        <w:rPr>
          <w:rFonts w:ascii="Arial" w:hAnsi="Arial" w:cs="Arial"/>
          <w:sz w:val="24"/>
          <w:szCs w:val="24"/>
        </w:rPr>
        <w:lastRenderedPageBreak/>
        <w:t xml:space="preserve">Ley 2421 de 2024. «Por la cual se modifica la ley 1448 de 2011 y se dictan otras disposiciones sobre reparación a las víctimas del conflicto armado interno». </w:t>
      </w:r>
    </w:p>
    <w:p w14:paraId="31024540" w14:textId="77777777" w:rsidR="00F11E0D" w:rsidRPr="00E00F13" w:rsidRDefault="00F11E0D" w:rsidP="006D0C59">
      <w:pPr>
        <w:spacing w:after="0" w:line="360" w:lineRule="auto"/>
        <w:ind w:left="709" w:hanging="709"/>
        <w:jc w:val="both"/>
        <w:rPr>
          <w:rFonts w:ascii="Arial" w:hAnsi="Arial" w:cs="Arial"/>
          <w:sz w:val="24"/>
          <w:szCs w:val="24"/>
        </w:rPr>
      </w:pPr>
    </w:p>
    <w:p w14:paraId="18E684FE" w14:textId="77777777" w:rsidR="002B7862" w:rsidRPr="00E00F13" w:rsidRDefault="002B7862" w:rsidP="002B7862">
      <w:pPr>
        <w:spacing w:after="0" w:line="360" w:lineRule="auto"/>
        <w:ind w:left="709" w:hanging="709"/>
        <w:jc w:val="both"/>
        <w:rPr>
          <w:rFonts w:ascii="Arial" w:hAnsi="Arial" w:cs="Arial"/>
          <w:sz w:val="24"/>
          <w:szCs w:val="24"/>
        </w:rPr>
      </w:pPr>
      <w:r w:rsidRPr="00E00F13">
        <w:rPr>
          <w:rFonts w:ascii="Arial" w:hAnsi="Arial" w:cs="Arial"/>
          <w:sz w:val="24"/>
          <w:szCs w:val="24"/>
        </w:rPr>
        <w:t>Ministerio de Vivienda, Ciudad y Territorio, MVCT. (10 de abril de 2025). «Gobierno del Cambio apoya a hogares en condición de pobreza y vulnerabilidad para adquirir vivienda». https://minvivienda.gov.co/sala-de-prensa/gobierno-del-cambio-apoya-hogares-en-condicion-de-pobreza-y-vulnerabilidad-para-adquirir-vivienda</w:t>
      </w:r>
    </w:p>
    <w:p w14:paraId="2A14B015" w14:textId="77777777" w:rsidR="002B7862" w:rsidRPr="00E00F13" w:rsidRDefault="002B7862" w:rsidP="006D0C59">
      <w:pPr>
        <w:spacing w:after="0" w:line="360" w:lineRule="auto"/>
        <w:ind w:left="709" w:hanging="709"/>
        <w:jc w:val="both"/>
        <w:rPr>
          <w:rFonts w:ascii="Arial" w:hAnsi="Arial" w:cs="Arial"/>
          <w:sz w:val="24"/>
          <w:szCs w:val="24"/>
        </w:rPr>
      </w:pPr>
    </w:p>
    <w:p w14:paraId="22527518" w14:textId="51D5AD50" w:rsidR="00F11E0D" w:rsidRPr="00E00F13" w:rsidRDefault="00F11E0D" w:rsidP="002B7862">
      <w:pPr>
        <w:spacing w:after="0" w:line="360" w:lineRule="auto"/>
        <w:ind w:left="709" w:hanging="1"/>
        <w:jc w:val="both"/>
        <w:rPr>
          <w:rFonts w:ascii="Arial" w:hAnsi="Arial" w:cs="Arial"/>
          <w:sz w:val="24"/>
          <w:szCs w:val="24"/>
        </w:rPr>
      </w:pPr>
      <w:r w:rsidRPr="00E00F13">
        <w:rPr>
          <w:rFonts w:ascii="Arial" w:hAnsi="Arial" w:cs="Arial"/>
          <w:sz w:val="24"/>
          <w:szCs w:val="24"/>
        </w:rPr>
        <w:t xml:space="preserve">(22 de agosto de 2025). </w:t>
      </w:r>
      <w:r w:rsidR="005A7129" w:rsidRPr="00E00F13">
        <w:rPr>
          <w:rFonts w:ascii="Arial" w:hAnsi="Arial" w:cs="Arial"/>
          <w:sz w:val="24"/>
          <w:szCs w:val="24"/>
        </w:rPr>
        <w:t>«</w:t>
      </w:r>
      <w:r w:rsidRPr="00E00F13">
        <w:rPr>
          <w:rFonts w:ascii="Arial" w:hAnsi="Arial" w:cs="Arial"/>
          <w:sz w:val="24"/>
          <w:szCs w:val="24"/>
        </w:rPr>
        <w:t>Con dignidad, Gobierno del presidente Petro está cumpliendo con soluciones habitacionales</w:t>
      </w:r>
      <w:r w:rsidR="005A7129" w:rsidRPr="00E00F13">
        <w:rPr>
          <w:rFonts w:ascii="Arial" w:hAnsi="Arial" w:cs="Arial"/>
          <w:sz w:val="24"/>
          <w:szCs w:val="24"/>
        </w:rPr>
        <w:t>».</w:t>
      </w:r>
    </w:p>
    <w:p w14:paraId="69B3044B" w14:textId="77777777" w:rsidR="00A75432" w:rsidRPr="00E00F13" w:rsidRDefault="00A75432" w:rsidP="002B7862">
      <w:pPr>
        <w:spacing w:after="0" w:line="360" w:lineRule="auto"/>
        <w:ind w:left="709" w:hanging="1"/>
        <w:jc w:val="both"/>
        <w:rPr>
          <w:rFonts w:ascii="Arial" w:hAnsi="Arial" w:cs="Arial"/>
          <w:sz w:val="24"/>
          <w:szCs w:val="24"/>
        </w:rPr>
      </w:pPr>
    </w:p>
    <w:p w14:paraId="6A87F053" w14:textId="47CFF481" w:rsidR="00A75432" w:rsidRPr="00E00F13" w:rsidRDefault="00A75432" w:rsidP="002B7862">
      <w:pPr>
        <w:spacing w:after="0" w:line="360" w:lineRule="auto"/>
        <w:ind w:left="709" w:hanging="1"/>
        <w:jc w:val="both"/>
        <w:rPr>
          <w:rFonts w:ascii="Arial" w:hAnsi="Arial" w:cs="Arial"/>
          <w:sz w:val="24"/>
          <w:szCs w:val="24"/>
        </w:rPr>
      </w:pPr>
      <w:r w:rsidRPr="00E00F13">
        <w:rPr>
          <w:rFonts w:ascii="Arial" w:hAnsi="Arial" w:cs="Arial"/>
          <w:sz w:val="24"/>
          <w:szCs w:val="24"/>
        </w:rPr>
        <w:t xml:space="preserve">(23 de diciembre de 2025). «Gobierno nacional reitera que los precios de la vivienda deben informarse y definirse en las promesas de compraventa en pesos colombianos». </w:t>
      </w:r>
      <w:hyperlink r:id="rId35" w:history="1">
        <w:r w:rsidR="00152D19" w:rsidRPr="00E00F13">
          <w:rPr>
            <w:rStyle w:val="Hipervnculo"/>
            <w:rFonts w:ascii="Arial" w:hAnsi="Arial" w:cs="Arial"/>
            <w:color w:val="auto"/>
            <w:sz w:val="24"/>
            <w:szCs w:val="24"/>
          </w:rPr>
          <w:t>https://minvivienda.gov.co/sala-de-prensa/gobierno-nacional-reitera-que-los-precios-de-la-vivienda-deben-informarse-y-definirse-en-las-promesas-de-compraventa-en-pesos-colombianos</w:t>
        </w:r>
      </w:hyperlink>
    </w:p>
    <w:p w14:paraId="0A00821C" w14:textId="77777777" w:rsidR="00152D19" w:rsidRPr="00E00F13" w:rsidRDefault="00152D19" w:rsidP="002B7862">
      <w:pPr>
        <w:spacing w:after="0" w:line="360" w:lineRule="auto"/>
        <w:ind w:left="709" w:hanging="1"/>
        <w:jc w:val="both"/>
        <w:rPr>
          <w:rFonts w:ascii="Arial" w:hAnsi="Arial" w:cs="Arial"/>
          <w:sz w:val="24"/>
          <w:szCs w:val="24"/>
          <w:lang w:val="es-ES"/>
        </w:rPr>
      </w:pPr>
    </w:p>
    <w:p w14:paraId="79C0CC28" w14:textId="64CA4409" w:rsidR="00C5272B" w:rsidRPr="00E00F13" w:rsidRDefault="00152D19" w:rsidP="008100C8">
      <w:pPr>
        <w:spacing w:after="0" w:line="360" w:lineRule="auto"/>
        <w:ind w:left="709" w:hanging="1"/>
        <w:jc w:val="both"/>
        <w:rPr>
          <w:rFonts w:ascii="Arial" w:hAnsi="Arial" w:cs="Arial"/>
          <w:sz w:val="24"/>
          <w:szCs w:val="24"/>
        </w:rPr>
      </w:pPr>
      <w:r w:rsidRPr="00E00F13">
        <w:rPr>
          <w:rFonts w:ascii="Arial" w:hAnsi="Arial" w:cs="Arial"/>
          <w:sz w:val="24"/>
          <w:szCs w:val="24"/>
          <w:lang w:val="es-ES"/>
        </w:rPr>
        <w:t xml:space="preserve">(MVCT, 15 de enero de 2026). </w:t>
      </w:r>
      <w:r w:rsidRPr="00E00F13">
        <w:rPr>
          <w:rFonts w:ascii="Arial" w:hAnsi="Arial" w:cs="Arial"/>
          <w:sz w:val="24"/>
          <w:szCs w:val="24"/>
        </w:rPr>
        <w:t>«</w:t>
      </w:r>
      <w:r w:rsidRPr="00E00F13">
        <w:rPr>
          <w:rFonts w:ascii="Arial" w:hAnsi="Arial" w:cs="Arial"/>
          <w:sz w:val="24"/>
          <w:szCs w:val="24"/>
          <w:lang w:val="es-ES"/>
        </w:rPr>
        <w:t>El Gobierno nacional protege la estabilidad de precios de la VIS ante práctica de aumentos desproporcionados por alza del salario mínimo</w:t>
      </w:r>
      <w:r w:rsidRPr="00E00F13">
        <w:rPr>
          <w:rFonts w:ascii="Arial" w:hAnsi="Arial" w:cs="Arial"/>
          <w:sz w:val="24"/>
          <w:szCs w:val="24"/>
        </w:rPr>
        <w:t xml:space="preserve">». </w:t>
      </w:r>
      <w:hyperlink r:id="rId36" w:history="1">
        <w:r w:rsidR="00C5272B" w:rsidRPr="00E00F13">
          <w:rPr>
            <w:rStyle w:val="Hipervnculo"/>
            <w:rFonts w:ascii="Arial" w:hAnsi="Arial" w:cs="Arial"/>
            <w:color w:val="auto"/>
            <w:sz w:val="24"/>
            <w:szCs w:val="24"/>
          </w:rPr>
          <w:t>https://minvivienda.gov.co/sala-de-prensa/el-gobierno-nacional-protege-la-estabilidad-de-precios-de-la-vis-ante-practica-de-aumentos-desproporcionados-por-alza-del-salario-minimo</w:t>
        </w:r>
      </w:hyperlink>
    </w:p>
    <w:p w14:paraId="75F9E802" w14:textId="77777777" w:rsidR="008100C8" w:rsidRPr="00E00F13" w:rsidRDefault="008100C8" w:rsidP="006F2F49">
      <w:pPr>
        <w:spacing w:after="0" w:line="360" w:lineRule="auto"/>
        <w:jc w:val="both"/>
        <w:rPr>
          <w:rFonts w:ascii="Arial" w:hAnsi="Arial" w:cs="Arial"/>
          <w:sz w:val="24"/>
          <w:szCs w:val="24"/>
        </w:rPr>
      </w:pPr>
    </w:p>
    <w:p w14:paraId="66B55C72" w14:textId="2E221EDE" w:rsidR="002853A1" w:rsidRPr="00E00F13" w:rsidRDefault="002853A1" w:rsidP="006F2F49">
      <w:pPr>
        <w:spacing w:line="360" w:lineRule="auto"/>
        <w:ind w:left="708"/>
        <w:jc w:val="both"/>
        <w:rPr>
          <w:rFonts w:ascii="Arial" w:hAnsi="Arial" w:cs="Arial"/>
          <w:sz w:val="24"/>
          <w:szCs w:val="24"/>
          <w:lang w:val="es-ES"/>
        </w:rPr>
      </w:pPr>
      <w:r w:rsidRPr="00E00F13">
        <w:rPr>
          <w:rFonts w:ascii="Arial" w:hAnsi="Arial" w:cs="Arial"/>
          <w:sz w:val="24"/>
          <w:szCs w:val="24"/>
          <w:lang w:val="es-ES"/>
        </w:rPr>
        <w:t xml:space="preserve">(2025). </w:t>
      </w:r>
      <w:r w:rsidRPr="00E00F13">
        <w:rPr>
          <w:rFonts w:ascii="Arial" w:hAnsi="Arial" w:cs="Arial"/>
          <w:sz w:val="24"/>
          <w:szCs w:val="24"/>
        </w:rPr>
        <w:t>Presentación «</w:t>
      </w:r>
      <w:r w:rsidRPr="00E00F13">
        <w:rPr>
          <w:rFonts w:ascii="Arial" w:hAnsi="Arial" w:cs="Arial"/>
          <w:sz w:val="24"/>
          <w:szCs w:val="24"/>
          <w:lang w:val="es-ES"/>
        </w:rPr>
        <w:t>Programa de Mejoramientos de Vivienda. Intervención en Viviendas Palafíticas. Proyecto Chocó / Ola invernal</w:t>
      </w:r>
      <w:r w:rsidRPr="00E00F13">
        <w:rPr>
          <w:rFonts w:ascii="Arial" w:hAnsi="Arial" w:cs="Arial"/>
          <w:sz w:val="24"/>
          <w:szCs w:val="24"/>
        </w:rPr>
        <w:t>»</w:t>
      </w:r>
      <w:r w:rsidRPr="00E00F13">
        <w:rPr>
          <w:rFonts w:ascii="Arial" w:hAnsi="Arial" w:cs="Arial"/>
          <w:sz w:val="24"/>
          <w:szCs w:val="24"/>
          <w:lang w:val="es-MX"/>
        </w:rPr>
        <w:t>. Diapositivas.</w:t>
      </w:r>
    </w:p>
    <w:p w14:paraId="2B2DB045" w14:textId="4BF44C62" w:rsidR="003A55B3" w:rsidRPr="00E00F13" w:rsidRDefault="00C5272B" w:rsidP="00B05469">
      <w:pPr>
        <w:spacing w:line="360" w:lineRule="auto"/>
        <w:ind w:left="708"/>
        <w:rPr>
          <w:rFonts w:ascii="Arial" w:hAnsi="Arial" w:cs="Arial"/>
          <w:sz w:val="24"/>
          <w:szCs w:val="24"/>
        </w:rPr>
      </w:pPr>
      <w:r w:rsidRPr="00E00F13">
        <w:rPr>
          <w:rFonts w:ascii="Arial" w:hAnsi="Arial" w:cs="Arial"/>
          <w:sz w:val="24"/>
          <w:szCs w:val="24"/>
        </w:rPr>
        <w:t>(enero de 2026). Presentación «</w:t>
      </w:r>
      <w:r w:rsidRPr="00E00F13">
        <w:rPr>
          <w:rFonts w:ascii="Arial" w:hAnsi="Arial" w:cs="Arial"/>
          <w:sz w:val="24"/>
          <w:szCs w:val="24"/>
          <w:lang w:val="es-MX"/>
        </w:rPr>
        <w:t>Territorio hídrico del Chocó y la vivienda palafítica como solución habitacional adaptativa</w:t>
      </w:r>
      <w:r w:rsidRPr="00E00F13">
        <w:rPr>
          <w:rFonts w:ascii="Arial" w:hAnsi="Arial" w:cs="Arial"/>
          <w:sz w:val="24"/>
          <w:szCs w:val="24"/>
        </w:rPr>
        <w:t>»</w:t>
      </w:r>
      <w:r w:rsidRPr="00E00F13">
        <w:rPr>
          <w:rFonts w:ascii="Arial" w:hAnsi="Arial" w:cs="Arial"/>
          <w:sz w:val="24"/>
          <w:szCs w:val="24"/>
          <w:lang w:val="es-MX"/>
        </w:rPr>
        <w:t>. Diapositivas.</w:t>
      </w:r>
    </w:p>
    <w:p w14:paraId="0F9B0F18" w14:textId="265167C1" w:rsidR="003A55B3" w:rsidRPr="00E00F13" w:rsidRDefault="003A55B3" w:rsidP="002853A1">
      <w:pPr>
        <w:spacing w:line="360" w:lineRule="auto"/>
        <w:ind w:left="708"/>
        <w:jc w:val="both"/>
        <w:rPr>
          <w:rFonts w:ascii="Arial" w:hAnsi="Arial" w:cs="Arial"/>
          <w:sz w:val="24"/>
          <w:szCs w:val="24"/>
          <w:lang w:val="es-ES"/>
        </w:rPr>
      </w:pPr>
      <w:r w:rsidRPr="00E00F13">
        <w:rPr>
          <w:rFonts w:ascii="Arial" w:hAnsi="Arial" w:cs="Arial"/>
          <w:sz w:val="24"/>
          <w:szCs w:val="24"/>
          <w:lang w:val="es-ES"/>
        </w:rPr>
        <w:t xml:space="preserve">(2025). </w:t>
      </w:r>
      <w:r w:rsidRPr="00E00F13">
        <w:rPr>
          <w:rFonts w:ascii="Arial" w:hAnsi="Arial" w:cs="Arial"/>
          <w:i/>
          <w:iCs/>
          <w:sz w:val="24"/>
          <w:szCs w:val="24"/>
          <w:lang w:val="es-ES"/>
        </w:rPr>
        <w:t>De lo mío a lo nuestro: el cambio profundo del sector</w:t>
      </w:r>
      <w:r w:rsidRPr="00E00F13">
        <w:rPr>
          <w:rFonts w:ascii="Arial" w:hAnsi="Arial" w:cs="Arial"/>
          <w:sz w:val="24"/>
          <w:szCs w:val="24"/>
          <w:lang w:val="es-ES"/>
        </w:rPr>
        <w:t>. Documento elaborado por el Despacho de la ministra. Documento interno</w:t>
      </w:r>
      <w:r w:rsidR="006B27D4" w:rsidRPr="00E00F13">
        <w:rPr>
          <w:rFonts w:ascii="Arial" w:hAnsi="Arial" w:cs="Arial"/>
          <w:sz w:val="24"/>
          <w:szCs w:val="24"/>
          <w:lang w:val="es-ES"/>
        </w:rPr>
        <w:t>.</w:t>
      </w:r>
    </w:p>
    <w:p w14:paraId="5BF63826" w14:textId="36E523CC" w:rsidR="002853A1" w:rsidRPr="00E00F13" w:rsidRDefault="002853A1" w:rsidP="002853A1">
      <w:pPr>
        <w:spacing w:line="360" w:lineRule="auto"/>
        <w:ind w:left="708"/>
        <w:jc w:val="both"/>
        <w:rPr>
          <w:rFonts w:ascii="Arial" w:hAnsi="Arial" w:cs="Arial"/>
          <w:sz w:val="24"/>
          <w:szCs w:val="24"/>
          <w:lang w:val="es-ES"/>
        </w:rPr>
      </w:pPr>
      <w:r w:rsidRPr="00E00F13">
        <w:rPr>
          <w:rFonts w:ascii="Arial" w:hAnsi="Arial" w:cs="Arial"/>
          <w:sz w:val="24"/>
          <w:szCs w:val="24"/>
          <w:lang w:val="es-ES"/>
        </w:rPr>
        <w:lastRenderedPageBreak/>
        <w:t xml:space="preserve">(2026). </w:t>
      </w:r>
      <w:r w:rsidRPr="00E00F13">
        <w:rPr>
          <w:rFonts w:ascii="Arial" w:hAnsi="Arial" w:cs="Arial"/>
          <w:i/>
          <w:iCs/>
          <w:sz w:val="24"/>
          <w:szCs w:val="24"/>
          <w:lang w:val="es-ES"/>
        </w:rPr>
        <w:t>Decreto 413 de 2025 – Mejoramiento de vivienda en Colombia</w:t>
      </w:r>
      <w:r w:rsidRPr="00E00F13">
        <w:rPr>
          <w:rFonts w:ascii="Arial" w:hAnsi="Arial" w:cs="Arial"/>
          <w:sz w:val="24"/>
          <w:szCs w:val="24"/>
          <w:lang w:val="es-ES"/>
        </w:rPr>
        <w:t>. Documento elaborado por el Despacho de la ministra. Documento interno.</w:t>
      </w:r>
    </w:p>
    <w:p w14:paraId="45D6BBA1" w14:textId="3484792B" w:rsidR="001C4C53" w:rsidRPr="00E00F13" w:rsidRDefault="001C4C53" w:rsidP="002853A1">
      <w:pPr>
        <w:spacing w:line="360" w:lineRule="auto"/>
        <w:ind w:left="708"/>
        <w:jc w:val="both"/>
        <w:rPr>
          <w:rFonts w:ascii="Arial" w:hAnsi="Arial" w:cs="Arial"/>
          <w:sz w:val="24"/>
          <w:szCs w:val="24"/>
          <w:lang w:val="es-ES"/>
        </w:rPr>
      </w:pPr>
      <w:r w:rsidRPr="00E00F13">
        <w:rPr>
          <w:rFonts w:ascii="Arial" w:hAnsi="Arial" w:cs="Arial"/>
          <w:sz w:val="24"/>
          <w:szCs w:val="24"/>
        </w:rPr>
        <w:t>(</w:t>
      </w:r>
      <w:proofErr w:type="spellStart"/>
      <w:r w:rsidRPr="00E00F13">
        <w:rPr>
          <w:rFonts w:ascii="Arial" w:hAnsi="Arial" w:cs="Arial"/>
          <w:sz w:val="24"/>
          <w:szCs w:val="24"/>
        </w:rPr>
        <w:t>s.f</w:t>
      </w:r>
      <w:proofErr w:type="spellEnd"/>
      <w:r w:rsidRPr="00E00F13">
        <w:rPr>
          <w:rFonts w:ascii="Arial" w:hAnsi="Arial" w:cs="Arial"/>
          <w:sz w:val="24"/>
          <w:szCs w:val="24"/>
        </w:rPr>
        <w:t xml:space="preserve">). </w:t>
      </w:r>
      <w:r w:rsidRPr="00E00F13">
        <w:rPr>
          <w:rFonts w:ascii="Arial" w:hAnsi="Arial" w:cs="Arial"/>
          <w:i/>
          <w:iCs/>
          <w:sz w:val="24"/>
          <w:szCs w:val="24"/>
        </w:rPr>
        <w:t>El Decreto 0585 de 2025: la vivienda como medio para fortalecer organizaciones, apropiar territorio y construir sostenibilidad</w:t>
      </w:r>
      <w:r w:rsidRPr="00E00F13">
        <w:rPr>
          <w:rFonts w:ascii="Arial" w:hAnsi="Arial" w:cs="Arial"/>
          <w:sz w:val="24"/>
          <w:szCs w:val="24"/>
        </w:rPr>
        <w:t xml:space="preserve"> </w:t>
      </w:r>
      <w:r w:rsidRPr="00E00F13">
        <w:rPr>
          <w:rFonts w:ascii="Arial" w:hAnsi="Arial" w:cs="Arial"/>
          <w:i/>
          <w:iCs/>
          <w:sz w:val="24"/>
          <w:szCs w:val="24"/>
        </w:rPr>
        <w:t>popular</w:t>
      </w:r>
      <w:r w:rsidRPr="00E00F13">
        <w:rPr>
          <w:rFonts w:ascii="Arial" w:hAnsi="Arial" w:cs="Arial"/>
          <w:sz w:val="24"/>
          <w:szCs w:val="24"/>
        </w:rPr>
        <w:t>.</w:t>
      </w:r>
      <w:r w:rsidRPr="00E00F13">
        <w:rPr>
          <w:rFonts w:ascii="Arial" w:hAnsi="Arial" w:cs="Arial"/>
          <w:sz w:val="24"/>
          <w:szCs w:val="24"/>
          <w:lang w:val="es-ES"/>
        </w:rPr>
        <w:t xml:space="preserve"> Documento elaborado por el Despacho de la ministra. Documento interno.</w:t>
      </w:r>
    </w:p>
    <w:p w14:paraId="28D58ACD" w14:textId="30316AC7" w:rsidR="00041ECB" w:rsidRPr="00E00F13" w:rsidRDefault="00041ECB" w:rsidP="002853A1">
      <w:pPr>
        <w:spacing w:line="360" w:lineRule="auto"/>
        <w:ind w:left="708"/>
        <w:jc w:val="both"/>
        <w:rPr>
          <w:rFonts w:ascii="Arial" w:hAnsi="Arial" w:cs="Arial"/>
          <w:sz w:val="24"/>
          <w:szCs w:val="24"/>
          <w:lang w:val="es-ES"/>
        </w:rPr>
      </w:pPr>
      <w:r w:rsidRPr="00E00F13">
        <w:rPr>
          <w:rFonts w:ascii="Arial" w:hAnsi="Arial" w:cs="Arial"/>
          <w:sz w:val="24"/>
          <w:szCs w:val="24"/>
        </w:rPr>
        <w:t>(</w:t>
      </w:r>
      <w:proofErr w:type="spellStart"/>
      <w:r w:rsidRPr="00E00F13">
        <w:rPr>
          <w:rFonts w:ascii="Arial" w:hAnsi="Arial" w:cs="Arial"/>
          <w:sz w:val="24"/>
          <w:szCs w:val="24"/>
        </w:rPr>
        <w:t>s.f.b</w:t>
      </w:r>
      <w:proofErr w:type="spellEnd"/>
      <w:r w:rsidRPr="00E00F13">
        <w:rPr>
          <w:rFonts w:ascii="Arial" w:hAnsi="Arial" w:cs="Arial"/>
          <w:sz w:val="24"/>
          <w:szCs w:val="24"/>
        </w:rPr>
        <w:t xml:space="preserve">). </w:t>
      </w:r>
      <w:r w:rsidRPr="00E00F13">
        <w:rPr>
          <w:rFonts w:ascii="Arial" w:hAnsi="Arial" w:cs="Arial"/>
          <w:i/>
          <w:iCs/>
          <w:sz w:val="24"/>
          <w:szCs w:val="24"/>
        </w:rPr>
        <w:t xml:space="preserve">La autoconstrucción: Bases conceptuales para el diseño del manual operativo del Decreto 585 de 2025. </w:t>
      </w:r>
      <w:r w:rsidRPr="00E00F13">
        <w:rPr>
          <w:rFonts w:ascii="Arial" w:hAnsi="Arial" w:cs="Arial"/>
          <w:sz w:val="24"/>
          <w:szCs w:val="24"/>
          <w:lang w:val="es-ES"/>
        </w:rPr>
        <w:t>Documento elaborado por el Despacho de la ministra. Documento interno.</w:t>
      </w:r>
    </w:p>
    <w:p w14:paraId="558D95BF" w14:textId="2B30F758" w:rsidR="00C5272B" w:rsidRPr="00E00F13" w:rsidRDefault="00B05469" w:rsidP="00F50749">
      <w:pPr>
        <w:spacing w:line="360" w:lineRule="auto"/>
        <w:ind w:left="708"/>
        <w:jc w:val="both"/>
        <w:rPr>
          <w:rFonts w:ascii="Arial" w:hAnsi="Arial" w:cs="Arial"/>
          <w:sz w:val="24"/>
          <w:szCs w:val="24"/>
        </w:rPr>
      </w:pPr>
      <w:r w:rsidRPr="00E00F13">
        <w:rPr>
          <w:rFonts w:ascii="Arial" w:hAnsi="Arial" w:cs="Arial"/>
          <w:sz w:val="24"/>
          <w:szCs w:val="24"/>
          <w:lang w:val="en-US"/>
        </w:rPr>
        <w:t>(</w:t>
      </w:r>
      <w:proofErr w:type="spellStart"/>
      <w:r w:rsidRPr="00E00F13">
        <w:rPr>
          <w:rFonts w:ascii="Arial" w:hAnsi="Arial" w:cs="Arial"/>
          <w:sz w:val="24"/>
          <w:szCs w:val="24"/>
          <w:lang w:val="en-US"/>
        </w:rPr>
        <w:t>s.f.c</w:t>
      </w:r>
      <w:proofErr w:type="spellEnd"/>
      <w:r w:rsidRPr="00E00F13">
        <w:rPr>
          <w:rFonts w:ascii="Arial" w:hAnsi="Arial" w:cs="Arial"/>
          <w:sz w:val="24"/>
          <w:szCs w:val="24"/>
          <w:lang w:val="en-US"/>
        </w:rPr>
        <w:t xml:space="preserve">). Video. «Panel 11. </w:t>
      </w:r>
      <w:r w:rsidRPr="00E00F13">
        <w:rPr>
          <w:rFonts w:ascii="Arial" w:hAnsi="Arial" w:cs="Arial"/>
          <w:sz w:val="24"/>
          <w:szCs w:val="24"/>
          <w:lang w:val="es-ES"/>
        </w:rPr>
        <w:t>Desarrollo de la política de vivienda en los procesos de restitución de tierras</w:t>
      </w:r>
      <w:r w:rsidRPr="00E00F13">
        <w:rPr>
          <w:rFonts w:ascii="Arial" w:hAnsi="Arial" w:cs="Arial"/>
          <w:sz w:val="24"/>
          <w:szCs w:val="24"/>
        </w:rPr>
        <w:t>»</w:t>
      </w:r>
      <w:r w:rsidRPr="00E00F13">
        <w:rPr>
          <w:rFonts w:ascii="Arial" w:hAnsi="Arial" w:cs="Arial"/>
          <w:sz w:val="24"/>
          <w:szCs w:val="24"/>
          <w:lang w:val="es-ES"/>
        </w:rPr>
        <w:t xml:space="preserve">. </w:t>
      </w:r>
      <w:proofErr w:type="spellStart"/>
      <w:r w:rsidRPr="00E00F13">
        <w:rPr>
          <w:rFonts w:ascii="Arial" w:hAnsi="Arial" w:cs="Arial"/>
          <w:sz w:val="24"/>
          <w:szCs w:val="24"/>
          <w:lang w:val="es-ES"/>
        </w:rPr>
        <w:t>Aydé</w:t>
      </w:r>
      <w:proofErr w:type="spellEnd"/>
      <w:r w:rsidRPr="00E00F13">
        <w:rPr>
          <w:rFonts w:ascii="Arial" w:hAnsi="Arial" w:cs="Arial"/>
          <w:sz w:val="24"/>
          <w:szCs w:val="24"/>
          <w:lang w:val="es-ES"/>
        </w:rPr>
        <w:t xml:space="preserve"> Marsiglia, viceministra de Vivienda. Video sobre el panel.</w:t>
      </w:r>
    </w:p>
    <w:p w14:paraId="52FB3261" w14:textId="0E48B23B" w:rsidR="00C3152E" w:rsidRPr="00E00F13" w:rsidRDefault="002853A1" w:rsidP="00C3152E">
      <w:pPr>
        <w:spacing w:line="360" w:lineRule="auto"/>
        <w:jc w:val="both"/>
        <w:rPr>
          <w:rFonts w:ascii="Arial" w:hAnsi="Arial" w:cs="Arial"/>
          <w:sz w:val="24"/>
          <w:szCs w:val="24"/>
        </w:rPr>
      </w:pPr>
      <w:r w:rsidRPr="00E00F13">
        <w:rPr>
          <w:rFonts w:ascii="Arial" w:hAnsi="Arial" w:cs="Arial"/>
          <w:sz w:val="24"/>
          <w:szCs w:val="24"/>
        </w:rPr>
        <w:t>Ministerio de Vivienda, Ciudad y Territorio</w:t>
      </w:r>
      <w:r w:rsidR="00C3152E" w:rsidRPr="00E00F13">
        <w:rPr>
          <w:rFonts w:ascii="Arial" w:hAnsi="Arial" w:cs="Arial"/>
          <w:sz w:val="24"/>
          <w:szCs w:val="24"/>
        </w:rPr>
        <w:t xml:space="preserve"> (MVCT) </w:t>
      </w:r>
      <w:r w:rsidRPr="00E00F13">
        <w:rPr>
          <w:rFonts w:ascii="Arial" w:hAnsi="Arial" w:cs="Arial"/>
          <w:sz w:val="24"/>
          <w:szCs w:val="24"/>
        </w:rPr>
        <w:t xml:space="preserve">y </w:t>
      </w:r>
      <w:proofErr w:type="spellStart"/>
      <w:r w:rsidRPr="00E00F13">
        <w:rPr>
          <w:rFonts w:ascii="Arial" w:hAnsi="Arial" w:cs="Arial"/>
          <w:sz w:val="24"/>
          <w:szCs w:val="24"/>
        </w:rPr>
        <w:t>Build</w:t>
      </w:r>
      <w:proofErr w:type="spellEnd"/>
      <w:r w:rsidRPr="00E00F13">
        <w:rPr>
          <w:rFonts w:ascii="Arial" w:hAnsi="Arial" w:cs="Arial"/>
          <w:sz w:val="24"/>
          <w:szCs w:val="24"/>
        </w:rPr>
        <w:t xml:space="preserve"> Change. (2026). </w:t>
      </w:r>
    </w:p>
    <w:p w14:paraId="72B551AC" w14:textId="7599EA16" w:rsidR="002853A1" w:rsidRPr="00E00F13" w:rsidRDefault="002853A1" w:rsidP="00C3152E">
      <w:pPr>
        <w:spacing w:line="360" w:lineRule="auto"/>
        <w:ind w:firstLine="708"/>
        <w:jc w:val="both"/>
        <w:rPr>
          <w:rFonts w:ascii="Arial" w:hAnsi="Arial" w:cs="Arial"/>
          <w:sz w:val="24"/>
          <w:szCs w:val="24"/>
        </w:rPr>
      </w:pPr>
      <w:r w:rsidRPr="00E00F13">
        <w:rPr>
          <w:rFonts w:ascii="Arial" w:hAnsi="Arial" w:cs="Arial"/>
          <w:i/>
          <w:iCs/>
          <w:sz w:val="24"/>
          <w:szCs w:val="24"/>
        </w:rPr>
        <w:t>Resultados</w:t>
      </w:r>
      <w:r w:rsidRPr="00E00F13">
        <w:rPr>
          <w:rFonts w:ascii="Arial" w:hAnsi="Arial" w:cs="Arial"/>
          <w:i/>
          <w:iCs/>
          <w:sz w:val="24"/>
          <w:szCs w:val="24"/>
          <w:lang w:val="es-ES"/>
        </w:rPr>
        <w:t xml:space="preserve"> del ejercicio de diagnóstico y caracterización</w:t>
      </w:r>
      <w:r w:rsidR="00C3152E" w:rsidRPr="00E00F13">
        <w:rPr>
          <w:rFonts w:ascii="Arial" w:hAnsi="Arial" w:cs="Arial"/>
          <w:i/>
          <w:iCs/>
          <w:sz w:val="24"/>
          <w:szCs w:val="24"/>
          <w:lang w:val="es-ES"/>
        </w:rPr>
        <w:t>.</w:t>
      </w:r>
    </w:p>
    <w:p w14:paraId="2B0EF350" w14:textId="77990D90" w:rsidR="009D3C6F" w:rsidRPr="00E00F13" w:rsidRDefault="009D3C6F" w:rsidP="00C3152E">
      <w:pPr>
        <w:spacing w:after="0" w:line="360" w:lineRule="auto"/>
        <w:jc w:val="both"/>
        <w:rPr>
          <w:rFonts w:ascii="Arial" w:hAnsi="Arial" w:cs="Arial"/>
          <w:sz w:val="24"/>
          <w:szCs w:val="24"/>
        </w:rPr>
      </w:pPr>
    </w:p>
    <w:p w14:paraId="013CC9A4" w14:textId="77777777" w:rsidR="005A7129" w:rsidRPr="00E00F13" w:rsidRDefault="005A7129" w:rsidP="005A7129">
      <w:pPr>
        <w:spacing w:after="0" w:line="360" w:lineRule="auto"/>
        <w:ind w:left="709" w:hanging="709"/>
        <w:jc w:val="both"/>
        <w:rPr>
          <w:rFonts w:ascii="Arial" w:hAnsi="Arial" w:cs="Arial"/>
          <w:sz w:val="24"/>
          <w:szCs w:val="24"/>
        </w:rPr>
      </w:pPr>
      <w:r w:rsidRPr="00E00F13">
        <w:rPr>
          <w:rFonts w:ascii="Arial" w:hAnsi="Arial" w:cs="Arial"/>
          <w:sz w:val="24"/>
          <w:szCs w:val="24"/>
        </w:rPr>
        <w:t>Plan Nacional de Desarrollo 2022-2026. (2022). «Colombia Potencia Mundial de la Vida».</w:t>
      </w:r>
    </w:p>
    <w:p w14:paraId="1A79C561" w14:textId="77777777" w:rsidR="005A7129" w:rsidRPr="00E00F13" w:rsidRDefault="005A7129" w:rsidP="00C3152E">
      <w:pPr>
        <w:spacing w:after="0" w:line="360" w:lineRule="auto"/>
        <w:jc w:val="both"/>
        <w:rPr>
          <w:rFonts w:ascii="Arial" w:hAnsi="Arial" w:cs="Arial"/>
          <w:sz w:val="24"/>
          <w:szCs w:val="24"/>
        </w:rPr>
      </w:pPr>
    </w:p>
    <w:p w14:paraId="199A16EC" w14:textId="65ED2C30" w:rsidR="00F60F0F" w:rsidRPr="00E00F13" w:rsidRDefault="00F60F0F" w:rsidP="1D068790">
      <w:pPr>
        <w:spacing w:after="0" w:line="360" w:lineRule="auto"/>
        <w:ind w:left="709" w:hanging="709"/>
        <w:jc w:val="both"/>
      </w:pPr>
    </w:p>
    <w:p w14:paraId="6552D064" w14:textId="093BEA47" w:rsidR="00F60F0F" w:rsidRPr="00E00F13" w:rsidRDefault="13A4C9B6" w:rsidP="006D0C59">
      <w:pPr>
        <w:spacing w:after="0" w:line="360" w:lineRule="auto"/>
        <w:ind w:left="709" w:hanging="709"/>
        <w:jc w:val="both"/>
        <w:rPr>
          <w:rFonts w:ascii="Arial" w:hAnsi="Arial" w:cs="Arial"/>
          <w:b/>
          <w:bCs/>
          <w:sz w:val="24"/>
          <w:szCs w:val="24"/>
        </w:rPr>
      </w:pPr>
      <w:r w:rsidRPr="00E00F13">
        <w:rPr>
          <w:rFonts w:ascii="Arial" w:hAnsi="Arial" w:cs="Arial"/>
          <w:b/>
          <w:bCs/>
          <w:sz w:val="24"/>
          <w:szCs w:val="24"/>
        </w:rPr>
        <w:t xml:space="preserve">Entrevistas </w:t>
      </w:r>
      <w:r w:rsidR="283411E2" w:rsidRPr="00E00F13">
        <w:rPr>
          <w:rFonts w:ascii="Arial" w:hAnsi="Arial" w:cs="Arial"/>
          <w:b/>
          <w:bCs/>
          <w:sz w:val="24"/>
          <w:szCs w:val="24"/>
        </w:rPr>
        <w:t>realizadas al equipo del MVCT</w:t>
      </w:r>
    </w:p>
    <w:p w14:paraId="3250C222" w14:textId="79F180AF" w:rsidR="00DB11A5" w:rsidRPr="00E00F13" w:rsidRDefault="30F27066" w:rsidP="1D068790">
      <w:pPr>
        <w:spacing w:after="0" w:line="360" w:lineRule="auto"/>
        <w:jc w:val="both"/>
        <w:rPr>
          <w:rFonts w:ascii="Arial" w:hAnsi="Arial" w:cs="Arial"/>
          <w:sz w:val="24"/>
          <w:szCs w:val="24"/>
          <w:lang w:val="es-ES"/>
        </w:rPr>
      </w:pPr>
      <w:r w:rsidRPr="00E00F13">
        <w:rPr>
          <w:rFonts w:ascii="Arial" w:eastAsia="Arial" w:hAnsi="Arial" w:cs="Arial"/>
          <w:sz w:val="24"/>
          <w:szCs w:val="24"/>
          <w:lang w:val="pt-PT"/>
        </w:rPr>
        <w:t>Entrevista</w:t>
      </w:r>
      <w:r w:rsidR="0140FF8C" w:rsidRPr="00E00F13">
        <w:rPr>
          <w:rFonts w:ascii="Arial" w:eastAsia="Arial" w:hAnsi="Arial" w:cs="Arial"/>
          <w:sz w:val="24"/>
          <w:szCs w:val="24"/>
          <w:lang w:val="pt-PT"/>
        </w:rPr>
        <w:t xml:space="preserve"> realizada</w:t>
      </w:r>
      <w:r w:rsidRPr="00E00F13">
        <w:rPr>
          <w:rFonts w:ascii="Arial" w:eastAsia="Arial" w:hAnsi="Arial" w:cs="Arial"/>
          <w:sz w:val="24"/>
          <w:szCs w:val="24"/>
          <w:lang w:val="pt-PT"/>
        </w:rPr>
        <w:t xml:space="preserve"> a </w:t>
      </w:r>
      <w:r w:rsidRPr="00E00F13">
        <w:rPr>
          <w:rFonts w:ascii="Arial" w:hAnsi="Arial" w:cs="Arial"/>
          <w:sz w:val="24"/>
          <w:szCs w:val="24"/>
          <w:lang w:val="pt-PT"/>
        </w:rPr>
        <w:t xml:space="preserve">Aleida Cadavid.  </w:t>
      </w:r>
      <w:r w:rsidRPr="00E00F13">
        <w:rPr>
          <w:rFonts w:ascii="Arial" w:hAnsi="Arial" w:cs="Arial"/>
          <w:sz w:val="24"/>
          <w:szCs w:val="24"/>
          <w:lang w:val="es-ES"/>
        </w:rPr>
        <w:t xml:space="preserve">Equipo de Estrategia Social del Despacho. Equipo de Víctimas. Octubre, 2025. </w:t>
      </w:r>
    </w:p>
    <w:p w14:paraId="5F57B8B6" w14:textId="09C9934D" w:rsidR="00DB11A5" w:rsidRPr="00E00F13" w:rsidRDefault="00DB11A5" w:rsidP="1D068790">
      <w:pPr>
        <w:spacing w:after="0" w:line="360" w:lineRule="auto"/>
        <w:jc w:val="both"/>
        <w:rPr>
          <w:rFonts w:ascii="Arial" w:hAnsi="Arial" w:cs="Arial"/>
          <w:sz w:val="24"/>
          <w:szCs w:val="24"/>
          <w:lang w:val="es-ES"/>
        </w:rPr>
      </w:pPr>
    </w:p>
    <w:p w14:paraId="3C2BD6B0" w14:textId="4B3736DF" w:rsidR="00DB11A5" w:rsidRPr="00E00F13" w:rsidRDefault="00F60F0F" w:rsidP="00207E9D">
      <w:pPr>
        <w:spacing w:after="0" w:line="360" w:lineRule="auto"/>
        <w:jc w:val="both"/>
        <w:rPr>
          <w:rFonts w:ascii="Arial" w:hAnsi="Arial" w:cs="Arial"/>
          <w:sz w:val="24"/>
          <w:szCs w:val="24"/>
          <w:lang w:val="es-ES"/>
        </w:rPr>
      </w:pPr>
      <w:r w:rsidRPr="00E00F13">
        <w:rPr>
          <w:rFonts w:ascii="Arial" w:hAnsi="Arial" w:cs="Arial"/>
          <w:sz w:val="24"/>
          <w:szCs w:val="24"/>
          <w:lang w:val="es-ES"/>
        </w:rPr>
        <w:t>Entrevista realizada a Ana María Palencia, Equipo de Estrategia Social</w:t>
      </w:r>
      <w:r w:rsidR="00DB11A5" w:rsidRPr="00E00F13">
        <w:rPr>
          <w:rFonts w:ascii="Arial" w:hAnsi="Arial" w:cs="Arial"/>
          <w:sz w:val="24"/>
          <w:szCs w:val="24"/>
          <w:lang w:val="es-ES"/>
        </w:rPr>
        <w:t xml:space="preserve"> del Despacho. Septiembre, 2025.</w:t>
      </w:r>
    </w:p>
    <w:p w14:paraId="67A18963" w14:textId="6DF110AE" w:rsidR="1D068790" w:rsidRPr="00E00F13" w:rsidRDefault="1D068790" w:rsidP="1D068790">
      <w:pPr>
        <w:spacing w:after="0" w:line="360" w:lineRule="auto"/>
        <w:jc w:val="both"/>
        <w:rPr>
          <w:rFonts w:ascii="Arial" w:hAnsi="Arial" w:cs="Arial"/>
          <w:sz w:val="24"/>
          <w:szCs w:val="24"/>
          <w:lang w:val="es-ES"/>
        </w:rPr>
      </w:pPr>
    </w:p>
    <w:p w14:paraId="579A5806" w14:textId="28300A15" w:rsidR="00DB11A5" w:rsidRPr="00E00F13" w:rsidRDefault="00DB11A5" w:rsidP="00DB11A5">
      <w:pPr>
        <w:spacing w:after="0" w:line="360" w:lineRule="auto"/>
        <w:jc w:val="both"/>
        <w:rPr>
          <w:rFonts w:ascii="Arial" w:hAnsi="Arial" w:cs="Arial"/>
          <w:sz w:val="24"/>
          <w:szCs w:val="24"/>
          <w:lang w:val="es-ES"/>
        </w:rPr>
      </w:pPr>
      <w:r w:rsidRPr="00E00F13">
        <w:rPr>
          <w:rFonts w:ascii="Arial" w:hAnsi="Arial" w:cs="Arial"/>
          <w:sz w:val="24"/>
          <w:szCs w:val="24"/>
          <w:lang w:val="es-ES"/>
        </w:rPr>
        <w:t>Entrevista realizada a Ana María Palencia, Equipo de Estrategia Social del Despacho. Octubre, 2025.</w:t>
      </w:r>
    </w:p>
    <w:p w14:paraId="7D77081C" w14:textId="426CE09D" w:rsidR="1D068790" w:rsidRPr="00E00F13" w:rsidRDefault="1D068790" w:rsidP="1D068790">
      <w:pPr>
        <w:spacing w:after="0" w:line="360" w:lineRule="auto"/>
        <w:jc w:val="both"/>
        <w:rPr>
          <w:rFonts w:ascii="Arial" w:hAnsi="Arial" w:cs="Arial"/>
          <w:sz w:val="24"/>
          <w:szCs w:val="24"/>
          <w:lang w:val="es-ES"/>
        </w:rPr>
      </w:pPr>
    </w:p>
    <w:p w14:paraId="1E2749FB" w14:textId="690168B4" w:rsidR="00207E9D" w:rsidRPr="00E00F13" w:rsidRDefault="00DB11A5" w:rsidP="00207E9D">
      <w:pPr>
        <w:spacing w:after="0" w:line="360" w:lineRule="auto"/>
        <w:jc w:val="both"/>
        <w:rPr>
          <w:rFonts w:ascii="Arial" w:hAnsi="Arial" w:cs="Arial"/>
          <w:sz w:val="24"/>
          <w:szCs w:val="24"/>
          <w:lang w:val="es-ES"/>
        </w:rPr>
      </w:pPr>
      <w:r w:rsidRPr="00E00F13">
        <w:rPr>
          <w:rFonts w:ascii="Arial" w:hAnsi="Arial" w:cs="Arial"/>
          <w:sz w:val="24"/>
          <w:szCs w:val="24"/>
          <w:lang w:val="es-ES"/>
        </w:rPr>
        <w:lastRenderedPageBreak/>
        <w:t>Entrevista realizada a Ana María Palencia, Equipo de Estrategia Social del Despacho. Noviembre, 2025.</w:t>
      </w:r>
    </w:p>
    <w:p w14:paraId="4F79E25C" w14:textId="50493B79" w:rsidR="00DB11A5" w:rsidRPr="00E00F13" w:rsidRDefault="00DB11A5" w:rsidP="1D068790">
      <w:pPr>
        <w:spacing w:after="0" w:line="360" w:lineRule="auto"/>
        <w:jc w:val="both"/>
        <w:rPr>
          <w:rFonts w:ascii="Arial" w:hAnsi="Arial" w:cs="Arial"/>
          <w:sz w:val="24"/>
          <w:szCs w:val="24"/>
          <w:lang w:val="es-ES"/>
        </w:rPr>
      </w:pPr>
    </w:p>
    <w:p w14:paraId="0842E1EE" w14:textId="2A425A72" w:rsidR="00DB11A5" w:rsidRPr="00E00F13" w:rsidRDefault="51EA8F7C" w:rsidP="1D068790">
      <w:pPr>
        <w:spacing w:after="0" w:line="360" w:lineRule="auto"/>
        <w:jc w:val="both"/>
        <w:rPr>
          <w:rFonts w:ascii="Arial" w:hAnsi="Arial" w:cs="Arial"/>
          <w:sz w:val="24"/>
          <w:szCs w:val="24"/>
          <w:lang w:val="es-ES"/>
        </w:rPr>
      </w:pPr>
      <w:r w:rsidRPr="00E00F13">
        <w:rPr>
          <w:rFonts w:ascii="Arial" w:hAnsi="Arial" w:cs="Arial"/>
          <w:sz w:val="24"/>
          <w:szCs w:val="24"/>
          <w:lang w:val="es-ES"/>
        </w:rPr>
        <w:t>Entrevista realizada a Bruce D</w:t>
      </w:r>
      <w:r w:rsidR="06914CA8" w:rsidRPr="00E00F13">
        <w:rPr>
          <w:rFonts w:ascii="Arial" w:hAnsi="Arial" w:cs="Arial"/>
          <w:sz w:val="24"/>
          <w:szCs w:val="24"/>
          <w:lang w:val="es-ES"/>
        </w:rPr>
        <w:t xml:space="preserve">avid </w:t>
      </w:r>
      <w:r w:rsidRPr="00E00F13">
        <w:rPr>
          <w:rFonts w:ascii="Arial" w:hAnsi="Arial" w:cs="Arial"/>
          <w:sz w:val="24"/>
          <w:szCs w:val="24"/>
          <w:lang w:val="es-ES"/>
        </w:rPr>
        <w:t xml:space="preserve">Ochoa, </w:t>
      </w:r>
      <w:r w:rsidR="45F261EA" w:rsidRPr="00E00F13">
        <w:rPr>
          <w:rFonts w:ascii="Arial" w:hAnsi="Arial" w:cs="Arial"/>
          <w:sz w:val="24"/>
          <w:szCs w:val="24"/>
          <w:lang w:val="es-ES"/>
        </w:rPr>
        <w:t xml:space="preserve">Grupo </w:t>
      </w:r>
      <w:r w:rsidRPr="00E00F13">
        <w:rPr>
          <w:rFonts w:ascii="Arial" w:hAnsi="Arial" w:cs="Arial"/>
          <w:sz w:val="24"/>
          <w:szCs w:val="24"/>
          <w:lang w:val="es-ES"/>
        </w:rPr>
        <w:t>de Proyectos Diferenciales</w:t>
      </w:r>
      <w:r w:rsidR="6893E870" w:rsidRPr="00E00F13">
        <w:rPr>
          <w:rFonts w:ascii="Arial" w:hAnsi="Arial" w:cs="Arial"/>
          <w:sz w:val="24"/>
          <w:szCs w:val="24"/>
          <w:lang w:val="es-ES"/>
        </w:rPr>
        <w:t xml:space="preserve"> y Comunitarios</w:t>
      </w:r>
      <w:r w:rsidRPr="00E00F13">
        <w:rPr>
          <w:rFonts w:ascii="Arial" w:hAnsi="Arial" w:cs="Arial"/>
          <w:sz w:val="24"/>
          <w:szCs w:val="24"/>
          <w:lang w:val="es-ES"/>
        </w:rPr>
        <w:t>. Viceministerio de Agua. Noviembre, 2025.</w:t>
      </w:r>
    </w:p>
    <w:p w14:paraId="53F0FA0C" w14:textId="64A392A7" w:rsidR="00DB11A5" w:rsidRPr="00E00F13" w:rsidRDefault="00DB11A5" w:rsidP="1D068790">
      <w:pPr>
        <w:spacing w:after="0" w:line="360" w:lineRule="auto"/>
        <w:jc w:val="both"/>
        <w:rPr>
          <w:rFonts w:ascii="Arial" w:hAnsi="Arial" w:cs="Arial"/>
          <w:sz w:val="24"/>
          <w:szCs w:val="24"/>
          <w:lang w:val="es-ES"/>
        </w:rPr>
      </w:pPr>
    </w:p>
    <w:p w14:paraId="629AB293" w14:textId="27989BF0" w:rsidR="00DB11A5" w:rsidRPr="00E00F13" w:rsidRDefault="7D7ABF61" w:rsidP="1D068790">
      <w:pPr>
        <w:spacing w:after="0" w:line="360" w:lineRule="auto"/>
        <w:jc w:val="both"/>
        <w:rPr>
          <w:rFonts w:ascii="Arial" w:hAnsi="Arial" w:cs="Arial"/>
          <w:sz w:val="24"/>
          <w:szCs w:val="24"/>
          <w:lang w:val="es-ES"/>
        </w:rPr>
      </w:pPr>
      <w:r w:rsidRPr="00E00F13">
        <w:rPr>
          <w:rFonts w:ascii="Arial" w:hAnsi="Arial" w:cs="Arial"/>
          <w:sz w:val="24"/>
          <w:szCs w:val="24"/>
          <w:lang w:val="es-ES"/>
        </w:rPr>
        <w:t xml:space="preserve">Entrevista </w:t>
      </w:r>
      <w:r w:rsidR="6546AA32" w:rsidRPr="00E00F13">
        <w:rPr>
          <w:rFonts w:ascii="Arial" w:hAnsi="Arial" w:cs="Arial"/>
          <w:sz w:val="24"/>
          <w:szCs w:val="24"/>
          <w:lang w:val="es-ES"/>
        </w:rPr>
        <w:t xml:space="preserve">realizada </w:t>
      </w:r>
      <w:r w:rsidRPr="00E00F13">
        <w:rPr>
          <w:rFonts w:ascii="Arial" w:hAnsi="Arial" w:cs="Arial"/>
          <w:sz w:val="24"/>
          <w:szCs w:val="24"/>
          <w:lang w:val="es-ES"/>
        </w:rPr>
        <w:t>a Carlos Arias. Subdirección de Asistencia y Evaluación, DVR. Octubre, 2025.</w:t>
      </w:r>
    </w:p>
    <w:p w14:paraId="5DC42726" w14:textId="77777777" w:rsidR="00DB11A5" w:rsidRPr="00E00F13" w:rsidRDefault="00DB11A5" w:rsidP="1D068790">
      <w:pPr>
        <w:spacing w:after="0" w:line="360" w:lineRule="auto"/>
        <w:jc w:val="both"/>
        <w:rPr>
          <w:rFonts w:ascii="Arial" w:hAnsi="Arial" w:cs="Arial"/>
          <w:sz w:val="24"/>
          <w:szCs w:val="24"/>
          <w:lang w:val="es-ES"/>
        </w:rPr>
      </w:pPr>
    </w:p>
    <w:p w14:paraId="2EF34672" w14:textId="49E683B4" w:rsidR="00DB11A5" w:rsidRPr="00E00F13" w:rsidRDefault="7D7ABF61" w:rsidP="1D068790">
      <w:pPr>
        <w:spacing w:after="0" w:line="360" w:lineRule="auto"/>
        <w:jc w:val="both"/>
        <w:rPr>
          <w:rFonts w:ascii="Arial" w:hAnsi="Arial" w:cs="Arial"/>
          <w:sz w:val="24"/>
          <w:szCs w:val="24"/>
          <w:lang w:val="es-ES"/>
        </w:rPr>
      </w:pPr>
      <w:r w:rsidRPr="00E00F13">
        <w:rPr>
          <w:rFonts w:ascii="Arial" w:hAnsi="Arial" w:cs="Arial"/>
          <w:sz w:val="24"/>
          <w:szCs w:val="24"/>
          <w:lang w:val="es-ES"/>
        </w:rPr>
        <w:t xml:space="preserve">Entrevista </w:t>
      </w:r>
      <w:r w:rsidR="5C547179" w:rsidRPr="00E00F13">
        <w:rPr>
          <w:rFonts w:ascii="Arial" w:hAnsi="Arial" w:cs="Arial"/>
          <w:sz w:val="24"/>
          <w:szCs w:val="24"/>
          <w:lang w:val="es-ES"/>
        </w:rPr>
        <w:t xml:space="preserve">realizada </w:t>
      </w:r>
      <w:r w:rsidRPr="00E00F13">
        <w:rPr>
          <w:rFonts w:ascii="Arial" w:hAnsi="Arial" w:cs="Arial"/>
          <w:sz w:val="24"/>
          <w:szCs w:val="24"/>
          <w:lang w:val="es-ES"/>
        </w:rPr>
        <w:t>a Carolina Catumba, Equipo de Estrategia Social del Despacho. Noviembre, 2025.</w:t>
      </w:r>
    </w:p>
    <w:p w14:paraId="363A6378" w14:textId="2F039C19" w:rsidR="00DB11A5" w:rsidRPr="00E00F13" w:rsidRDefault="00DB11A5" w:rsidP="1D068790">
      <w:pPr>
        <w:spacing w:after="0" w:line="360" w:lineRule="auto"/>
        <w:jc w:val="both"/>
        <w:rPr>
          <w:rFonts w:ascii="Arial" w:hAnsi="Arial" w:cs="Arial"/>
          <w:sz w:val="24"/>
          <w:szCs w:val="24"/>
          <w:lang w:val="es-ES"/>
        </w:rPr>
      </w:pPr>
    </w:p>
    <w:p w14:paraId="18B00A04" w14:textId="467F6371" w:rsidR="00DB11A5" w:rsidRPr="00E00F13" w:rsidRDefault="7D7ABF61" w:rsidP="1D068790">
      <w:pPr>
        <w:spacing w:after="0" w:line="360" w:lineRule="auto"/>
        <w:jc w:val="both"/>
        <w:rPr>
          <w:rFonts w:ascii="Arial" w:hAnsi="Arial" w:cs="Arial"/>
          <w:sz w:val="24"/>
          <w:szCs w:val="24"/>
          <w:lang w:val="es-ES"/>
        </w:rPr>
      </w:pPr>
      <w:r w:rsidRPr="00E00F13">
        <w:rPr>
          <w:rFonts w:ascii="Arial" w:hAnsi="Arial" w:cs="Arial"/>
          <w:sz w:val="24"/>
          <w:szCs w:val="24"/>
          <w:lang w:val="es-ES"/>
        </w:rPr>
        <w:t>Entrevista</w:t>
      </w:r>
      <w:r w:rsidR="07A93DDB" w:rsidRPr="00E00F13">
        <w:rPr>
          <w:rFonts w:ascii="Arial" w:hAnsi="Arial" w:cs="Arial"/>
          <w:sz w:val="24"/>
          <w:szCs w:val="24"/>
          <w:lang w:val="es-ES"/>
        </w:rPr>
        <w:t xml:space="preserve"> realizada</w:t>
      </w:r>
      <w:r w:rsidRPr="00E00F13">
        <w:rPr>
          <w:rFonts w:ascii="Arial" w:hAnsi="Arial" w:cs="Arial"/>
          <w:sz w:val="24"/>
          <w:szCs w:val="24"/>
          <w:lang w:val="es-ES"/>
        </w:rPr>
        <w:t xml:space="preserve"> a Didier Rey, Equipo de Estrategia Social del Despacho, Barrios y Veredas de Paz. Octubre, 2025.</w:t>
      </w:r>
    </w:p>
    <w:p w14:paraId="59AF1106" w14:textId="12BBA8C0" w:rsidR="00DB11A5" w:rsidRPr="00E00F13" w:rsidRDefault="00DB11A5" w:rsidP="1D068790">
      <w:pPr>
        <w:spacing w:after="0" w:line="360" w:lineRule="auto"/>
        <w:jc w:val="both"/>
        <w:rPr>
          <w:rFonts w:ascii="Arial" w:hAnsi="Arial" w:cs="Arial"/>
          <w:sz w:val="24"/>
          <w:szCs w:val="24"/>
          <w:lang w:val="es-ES"/>
        </w:rPr>
      </w:pPr>
    </w:p>
    <w:p w14:paraId="0904F343" w14:textId="3F75117E" w:rsidR="00DB11A5" w:rsidRPr="00E00F13" w:rsidRDefault="7D7ABF61" w:rsidP="1D068790">
      <w:pPr>
        <w:spacing w:after="0" w:line="360" w:lineRule="auto"/>
        <w:jc w:val="both"/>
        <w:rPr>
          <w:rFonts w:ascii="Arial" w:hAnsi="Arial" w:cs="Arial"/>
          <w:sz w:val="24"/>
          <w:szCs w:val="24"/>
          <w:lang w:val="es-ES"/>
        </w:rPr>
      </w:pPr>
      <w:r w:rsidRPr="00E00F13">
        <w:rPr>
          <w:rFonts w:ascii="Arial" w:hAnsi="Arial" w:cs="Arial"/>
          <w:sz w:val="24"/>
          <w:szCs w:val="24"/>
          <w:lang w:val="es-ES"/>
        </w:rPr>
        <w:t xml:space="preserve">Entrevista </w:t>
      </w:r>
      <w:r w:rsidR="0789E9BB" w:rsidRPr="00E00F13">
        <w:rPr>
          <w:rFonts w:ascii="Arial" w:hAnsi="Arial" w:cs="Arial"/>
          <w:sz w:val="24"/>
          <w:szCs w:val="24"/>
          <w:lang w:val="es-ES"/>
        </w:rPr>
        <w:t xml:space="preserve">realizada </w:t>
      </w:r>
      <w:r w:rsidRPr="00E00F13">
        <w:rPr>
          <w:rFonts w:ascii="Arial" w:hAnsi="Arial" w:cs="Arial"/>
          <w:sz w:val="24"/>
          <w:szCs w:val="24"/>
          <w:lang w:val="es-ES"/>
        </w:rPr>
        <w:t>a Didier Rey, Equipo de Estrategia Social del Despacho, Barrios y Veredas de Paz. Noviembre, 2025.</w:t>
      </w:r>
    </w:p>
    <w:p w14:paraId="33B5C941" w14:textId="5FC18265" w:rsidR="00DB11A5" w:rsidRPr="00E00F13" w:rsidRDefault="00DB11A5" w:rsidP="1D068790">
      <w:pPr>
        <w:spacing w:after="0" w:line="360" w:lineRule="auto"/>
        <w:jc w:val="both"/>
        <w:rPr>
          <w:rFonts w:ascii="Arial" w:hAnsi="Arial" w:cs="Arial"/>
          <w:sz w:val="24"/>
          <w:szCs w:val="24"/>
          <w:lang w:val="es-ES"/>
        </w:rPr>
      </w:pPr>
    </w:p>
    <w:p w14:paraId="0007F65D" w14:textId="3C22B7BA" w:rsidR="00DB11A5" w:rsidRPr="00E00F13" w:rsidRDefault="58C8DD32" w:rsidP="1D068790">
      <w:pPr>
        <w:spacing w:after="0" w:line="360" w:lineRule="auto"/>
        <w:jc w:val="both"/>
        <w:rPr>
          <w:rFonts w:ascii="Arial" w:hAnsi="Arial" w:cs="Arial"/>
          <w:sz w:val="24"/>
          <w:szCs w:val="24"/>
          <w:lang w:val="es-ES"/>
        </w:rPr>
      </w:pPr>
      <w:r w:rsidRPr="00E00F13">
        <w:rPr>
          <w:rFonts w:ascii="Arial" w:hAnsi="Arial" w:cs="Arial"/>
          <w:sz w:val="24"/>
          <w:szCs w:val="24"/>
          <w:lang w:val="es-ES"/>
        </w:rPr>
        <w:t>Entrevista realizada a Edna Margarita Duarte Viceministerio de Agua. Noviembre, 2025.</w:t>
      </w:r>
    </w:p>
    <w:p w14:paraId="7B03A7CB" w14:textId="2B523F22" w:rsidR="00DB11A5" w:rsidRPr="00E00F13" w:rsidRDefault="00DB11A5" w:rsidP="1D068790">
      <w:pPr>
        <w:spacing w:after="0" w:line="360" w:lineRule="auto"/>
        <w:jc w:val="both"/>
        <w:rPr>
          <w:rFonts w:ascii="Arial" w:hAnsi="Arial" w:cs="Arial"/>
          <w:sz w:val="24"/>
          <w:szCs w:val="24"/>
          <w:lang w:val="es-ES"/>
        </w:rPr>
      </w:pPr>
    </w:p>
    <w:p w14:paraId="42CC7D29" w14:textId="32C9CE37" w:rsidR="00DB11A5" w:rsidRPr="00E00F13" w:rsidRDefault="67AC24CA" w:rsidP="1D068790">
      <w:pPr>
        <w:spacing w:after="0" w:line="360" w:lineRule="auto"/>
        <w:jc w:val="both"/>
        <w:rPr>
          <w:rFonts w:ascii="Arial" w:hAnsi="Arial" w:cs="Arial"/>
          <w:sz w:val="24"/>
          <w:szCs w:val="24"/>
          <w:lang w:val="es-ES"/>
        </w:rPr>
      </w:pPr>
      <w:r w:rsidRPr="00E00F13">
        <w:rPr>
          <w:rFonts w:ascii="Arial" w:hAnsi="Arial" w:cs="Arial"/>
          <w:sz w:val="24"/>
          <w:szCs w:val="24"/>
          <w:lang w:val="es-ES"/>
        </w:rPr>
        <w:t>Entrevista</w:t>
      </w:r>
      <w:r w:rsidR="1E1C49F4" w:rsidRPr="00E00F13">
        <w:rPr>
          <w:rFonts w:ascii="Arial" w:hAnsi="Arial" w:cs="Arial"/>
          <w:sz w:val="24"/>
          <w:szCs w:val="24"/>
          <w:lang w:val="es-ES"/>
        </w:rPr>
        <w:t xml:space="preserve"> realizada</w:t>
      </w:r>
      <w:r w:rsidRPr="00E00F13">
        <w:rPr>
          <w:rFonts w:ascii="Arial" w:hAnsi="Arial" w:cs="Arial"/>
          <w:sz w:val="24"/>
          <w:szCs w:val="24"/>
          <w:lang w:val="es-ES"/>
        </w:rPr>
        <w:t xml:space="preserve"> a Hernando Aguirre, Equipo de Estrategia Social del Despacho, enfoque diferencial. Octubre, 2025.</w:t>
      </w:r>
    </w:p>
    <w:p w14:paraId="2AD38D5E" w14:textId="06281B37" w:rsidR="00DB11A5" w:rsidRPr="00E00F13" w:rsidRDefault="00DB11A5" w:rsidP="1D068790">
      <w:pPr>
        <w:spacing w:after="0" w:line="360" w:lineRule="auto"/>
        <w:jc w:val="both"/>
        <w:rPr>
          <w:rFonts w:ascii="Arial" w:hAnsi="Arial" w:cs="Arial"/>
          <w:sz w:val="24"/>
          <w:szCs w:val="24"/>
          <w:lang w:val="es-ES"/>
        </w:rPr>
      </w:pPr>
    </w:p>
    <w:p w14:paraId="1F9BAA6B" w14:textId="02EA2B99" w:rsidR="00DB11A5" w:rsidRPr="00E00F13" w:rsidRDefault="7D7ABF61" w:rsidP="1D068790">
      <w:pPr>
        <w:spacing w:after="0" w:line="360" w:lineRule="auto"/>
        <w:jc w:val="both"/>
        <w:rPr>
          <w:rFonts w:ascii="Arial" w:hAnsi="Arial" w:cs="Arial"/>
          <w:sz w:val="24"/>
          <w:szCs w:val="24"/>
          <w:lang w:val="es-ES"/>
        </w:rPr>
      </w:pPr>
      <w:r w:rsidRPr="00E00F13">
        <w:rPr>
          <w:rFonts w:ascii="Arial" w:hAnsi="Arial" w:cs="Arial"/>
          <w:sz w:val="24"/>
          <w:szCs w:val="24"/>
          <w:lang w:val="es-ES"/>
        </w:rPr>
        <w:t xml:space="preserve">Entrevista realizada a Juan Camilo Jiménez, Subdirección de Asistencia y Evaluación, DVR. Noviembre, 2025. </w:t>
      </w:r>
    </w:p>
    <w:p w14:paraId="259A7BCD" w14:textId="1791C787" w:rsidR="00DB11A5" w:rsidRPr="00E00F13" w:rsidRDefault="00DB11A5" w:rsidP="1D068790">
      <w:pPr>
        <w:spacing w:after="0" w:line="360" w:lineRule="auto"/>
        <w:jc w:val="both"/>
        <w:rPr>
          <w:rFonts w:ascii="Arial" w:hAnsi="Arial" w:cs="Arial"/>
          <w:sz w:val="24"/>
          <w:szCs w:val="24"/>
          <w:lang w:val="es-ES"/>
        </w:rPr>
      </w:pPr>
    </w:p>
    <w:p w14:paraId="6B2AF703" w14:textId="2CE1B416" w:rsidR="00DB11A5" w:rsidRPr="00E00F13" w:rsidRDefault="5B0C0AA8" w:rsidP="1D068790">
      <w:pPr>
        <w:spacing w:after="0" w:line="360" w:lineRule="auto"/>
        <w:jc w:val="both"/>
        <w:rPr>
          <w:rFonts w:ascii="Arial" w:hAnsi="Arial" w:cs="Arial"/>
          <w:sz w:val="24"/>
          <w:szCs w:val="24"/>
          <w:lang w:val="es-ES"/>
        </w:rPr>
      </w:pPr>
      <w:r w:rsidRPr="00E00F13">
        <w:rPr>
          <w:rFonts w:ascii="Arial" w:hAnsi="Arial" w:cs="Arial"/>
          <w:sz w:val="24"/>
          <w:szCs w:val="24"/>
          <w:lang w:val="es-ES"/>
        </w:rPr>
        <w:t xml:space="preserve">Entrevista </w:t>
      </w:r>
      <w:r w:rsidR="1B288E23" w:rsidRPr="00E00F13">
        <w:rPr>
          <w:rFonts w:ascii="Arial" w:hAnsi="Arial" w:cs="Arial"/>
          <w:sz w:val="24"/>
          <w:szCs w:val="24"/>
          <w:lang w:val="es-ES"/>
        </w:rPr>
        <w:t xml:space="preserve">realizada </w:t>
      </w:r>
      <w:r w:rsidRPr="00E00F13">
        <w:rPr>
          <w:rFonts w:ascii="Arial" w:hAnsi="Arial" w:cs="Arial"/>
          <w:sz w:val="24"/>
          <w:szCs w:val="24"/>
          <w:lang w:val="es-ES"/>
        </w:rPr>
        <w:t>a Laura Estefanía Carrillo, Equipo de Estrategia Social del Despacho. Noviembre, 2025.</w:t>
      </w:r>
    </w:p>
    <w:p w14:paraId="7A500848" w14:textId="43097D8D" w:rsidR="00DB11A5" w:rsidRPr="00E00F13" w:rsidRDefault="00DB11A5" w:rsidP="1D068790">
      <w:pPr>
        <w:spacing w:after="0" w:line="360" w:lineRule="auto"/>
        <w:jc w:val="both"/>
        <w:rPr>
          <w:rFonts w:ascii="Arial" w:hAnsi="Arial" w:cs="Arial"/>
          <w:sz w:val="24"/>
          <w:szCs w:val="24"/>
          <w:lang w:val="es-ES"/>
        </w:rPr>
      </w:pPr>
    </w:p>
    <w:p w14:paraId="645F2B9A" w14:textId="3ED6595C" w:rsidR="00DB11A5" w:rsidRPr="00E00F13" w:rsidRDefault="00F60F0F" w:rsidP="00DB11A5">
      <w:pPr>
        <w:spacing w:after="0" w:line="360" w:lineRule="auto"/>
        <w:jc w:val="both"/>
        <w:rPr>
          <w:rFonts w:ascii="Arial" w:hAnsi="Arial" w:cs="Arial"/>
          <w:sz w:val="24"/>
          <w:szCs w:val="24"/>
          <w:lang w:val="es-ES"/>
        </w:rPr>
      </w:pPr>
      <w:r w:rsidRPr="00E00F13">
        <w:rPr>
          <w:rFonts w:ascii="Arial" w:hAnsi="Arial" w:cs="Arial"/>
          <w:sz w:val="24"/>
          <w:szCs w:val="24"/>
          <w:lang w:val="es-ES"/>
        </w:rPr>
        <w:lastRenderedPageBreak/>
        <w:t>Entrevista realizada a María Camila Carreño, Equipo de Estrategia Social</w:t>
      </w:r>
      <w:r w:rsidR="00DB11A5" w:rsidRPr="00E00F13">
        <w:rPr>
          <w:rFonts w:ascii="Arial" w:hAnsi="Arial" w:cs="Arial"/>
          <w:sz w:val="24"/>
          <w:szCs w:val="24"/>
          <w:lang w:val="es-ES"/>
        </w:rPr>
        <w:t xml:space="preserve"> del Despacho</w:t>
      </w:r>
      <w:r w:rsidR="2D41A6EE" w:rsidRPr="00E00F13">
        <w:rPr>
          <w:rFonts w:ascii="Arial" w:hAnsi="Arial" w:cs="Arial"/>
          <w:sz w:val="24"/>
          <w:szCs w:val="24"/>
          <w:lang w:val="es-ES"/>
        </w:rPr>
        <w:t>, Asesora</w:t>
      </w:r>
      <w:r w:rsidR="00DB11A5" w:rsidRPr="00E00F13">
        <w:rPr>
          <w:rFonts w:ascii="Arial" w:hAnsi="Arial" w:cs="Arial"/>
          <w:sz w:val="24"/>
          <w:szCs w:val="24"/>
          <w:lang w:val="es-ES"/>
        </w:rPr>
        <w:t>. Noviembre, 2025.</w:t>
      </w:r>
    </w:p>
    <w:p w14:paraId="7E5D2274" w14:textId="5A63F389" w:rsidR="1D068790" w:rsidRPr="00E00F13" w:rsidRDefault="1D068790" w:rsidP="1D068790">
      <w:pPr>
        <w:spacing w:after="0" w:line="360" w:lineRule="auto"/>
        <w:jc w:val="both"/>
        <w:rPr>
          <w:rFonts w:ascii="Arial" w:hAnsi="Arial" w:cs="Arial"/>
          <w:sz w:val="24"/>
          <w:szCs w:val="24"/>
          <w:lang w:val="es-ES"/>
        </w:rPr>
      </w:pPr>
    </w:p>
    <w:p w14:paraId="39EA7702" w14:textId="1623420F" w:rsidR="00DB11A5" w:rsidRPr="00E00F13" w:rsidRDefault="00DB11A5" w:rsidP="00DB11A5">
      <w:pPr>
        <w:spacing w:after="0" w:line="360" w:lineRule="auto"/>
        <w:jc w:val="both"/>
        <w:rPr>
          <w:rFonts w:ascii="Arial" w:hAnsi="Arial" w:cs="Arial"/>
          <w:sz w:val="24"/>
          <w:szCs w:val="24"/>
          <w:lang w:val="es-ES"/>
        </w:rPr>
      </w:pPr>
      <w:r w:rsidRPr="00E00F13">
        <w:rPr>
          <w:rFonts w:ascii="Arial" w:hAnsi="Arial" w:cs="Arial"/>
          <w:sz w:val="24"/>
          <w:szCs w:val="24"/>
          <w:lang w:val="es-ES"/>
        </w:rPr>
        <w:t>Entrevista realizada a María Camila Carreño, Equipo de Estrategia Social del Despacho</w:t>
      </w:r>
      <w:r w:rsidR="370C7494" w:rsidRPr="00E00F13">
        <w:rPr>
          <w:rFonts w:ascii="Arial" w:hAnsi="Arial" w:cs="Arial"/>
          <w:sz w:val="24"/>
          <w:szCs w:val="24"/>
          <w:lang w:val="es-ES"/>
        </w:rPr>
        <w:t>, Asesora</w:t>
      </w:r>
      <w:r w:rsidRPr="00E00F13">
        <w:rPr>
          <w:rFonts w:ascii="Arial" w:hAnsi="Arial" w:cs="Arial"/>
          <w:sz w:val="24"/>
          <w:szCs w:val="24"/>
          <w:lang w:val="es-ES"/>
        </w:rPr>
        <w:t>. Diciembre, 2025.</w:t>
      </w:r>
    </w:p>
    <w:p w14:paraId="7D633F1B" w14:textId="27A60F7B" w:rsidR="1D068790" w:rsidRPr="00E00F13" w:rsidRDefault="1D068790" w:rsidP="1D068790">
      <w:pPr>
        <w:spacing w:after="0" w:line="360" w:lineRule="auto"/>
        <w:jc w:val="both"/>
        <w:rPr>
          <w:rFonts w:ascii="Arial" w:hAnsi="Arial" w:cs="Arial"/>
          <w:sz w:val="24"/>
          <w:szCs w:val="24"/>
          <w:lang w:val="es-ES"/>
        </w:rPr>
      </w:pPr>
    </w:p>
    <w:p w14:paraId="7D3BDE31" w14:textId="30E0D16A" w:rsidR="4366C699" w:rsidRPr="00E00F13" w:rsidRDefault="4366C699" w:rsidP="1D068790">
      <w:pPr>
        <w:spacing w:after="0" w:line="360" w:lineRule="auto"/>
        <w:jc w:val="both"/>
        <w:rPr>
          <w:rFonts w:ascii="Arial" w:hAnsi="Arial" w:cs="Arial"/>
          <w:sz w:val="24"/>
          <w:szCs w:val="24"/>
          <w:lang w:val="es-ES"/>
        </w:rPr>
      </w:pPr>
      <w:r w:rsidRPr="00E00F13">
        <w:rPr>
          <w:rFonts w:ascii="Arial" w:hAnsi="Arial" w:cs="Arial"/>
          <w:sz w:val="24"/>
          <w:szCs w:val="24"/>
          <w:lang w:val="es-ES"/>
        </w:rPr>
        <w:t>Entrevista realizada a María Paula Benavides. Viceministerio de Agua. Noviembre, 2025.</w:t>
      </w:r>
    </w:p>
    <w:p w14:paraId="32BE8E14" w14:textId="39AB1637" w:rsidR="00DB11A5" w:rsidRPr="00E00F13" w:rsidRDefault="00DB11A5" w:rsidP="1D068790">
      <w:pPr>
        <w:spacing w:after="0" w:line="360" w:lineRule="auto"/>
        <w:jc w:val="both"/>
        <w:rPr>
          <w:rFonts w:ascii="Arial" w:hAnsi="Arial" w:cs="Arial"/>
          <w:sz w:val="24"/>
          <w:szCs w:val="24"/>
          <w:lang w:val="es-ES"/>
        </w:rPr>
      </w:pPr>
    </w:p>
    <w:p w14:paraId="3DB586F1" w14:textId="4A718664" w:rsidR="1F7DDC31" w:rsidRPr="00E00F13" w:rsidRDefault="1F7DDC31" w:rsidP="1D068790">
      <w:pPr>
        <w:spacing w:after="0" w:line="360" w:lineRule="auto"/>
        <w:jc w:val="both"/>
        <w:rPr>
          <w:rFonts w:ascii="Arial" w:hAnsi="Arial" w:cs="Arial"/>
          <w:sz w:val="24"/>
          <w:szCs w:val="24"/>
          <w:lang w:val="es-ES"/>
        </w:rPr>
      </w:pPr>
      <w:r w:rsidRPr="00E00F13">
        <w:rPr>
          <w:rFonts w:ascii="Arial" w:eastAsia="Arial" w:hAnsi="Arial" w:cs="Arial"/>
          <w:sz w:val="24"/>
          <w:szCs w:val="24"/>
          <w:lang w:val="es-ES"/>
        </w:rPr>
        <w:t xml:space="preserve">Entrevista </w:t>
      </w:r>
      <w:r w:rsidR="042A2ED2" w:rsidRPr="00E00F13">
        <w:rPr>
          <w:rFonts w:ascii="Arial" w:hAnsi="Arial" w:cs="Arial"/>
          <w:sz w:val="24"/>
          <w:szCs w:val="24"/>
          <w:lang w:val="es-ES"/>
        </w:rPr>
        <w:t xml:space="preserve">realizada </w:t>
      </w:r>
      <w:r w:rsidRPr="00E00F13">
        <w:rPr>
          <w:rFonts w:ascii="Arial" w:eastAsia="Arial" w:hAnsi="Arial" w:cs="Arial"/>
          <w:sz w:val="24"/>
          <w:szCs w:val="24"/>
          <w:lang w:val="es-ES"/>
        </w:rPr>
        <w:t xml:space="preserve">a </w:t>
      </w:r>
      <w:r w:rsidRPr="00E00F13">
        <w:rPr>
          <w:rFonts w:ascii="Arial" w:hAnsi="Arial" w:cs="Arial"/>
          <w:sz w:val="24"/>
          <w:szCs w:val="24"/>
          <w:lang w:val="es-ES"/>
        </w:rPr>
        <w:t>Miladis Padilla. Estrategia Social del Despacho, Equipo de Víctimas. Asesora. Octubre, 2025.</w:t>
      </w:r>
    </w:p>
    <w:p w14:paraId="62571D4A" w14:textId="00811D77" w:rsidR="1D068790" w:rsidRPr="00E00F13" w:rsidRDefault="1D068790" w:rsidP="1D068790">
      <w:pPr>
        <w:spacing w:after="0" w:line="360" w:lineRule="auto"/>
        <w:jc w:val="both"/>
        <w:rPr>
          <w:rFonts w:ascii="Arial" w:hAnsi="Arial" w:cs="Arial"/>
          <w:sz w:val="24"/>
          <w:szCs w:val="24"/>
          <w:lang w:val="es-ES"/>
        </w:rPr>
      </w:pPr>
    </w:p>
    <w:p w14:paraId="38BB7145" w14:textId="7D33C4BA" w:rsidR="00DB11A5" w:rsidRPr="00E00F13" w:rsidRDefault="00F60F0F" w:rsidP="00DB11A5">
      <w:pPr>
        <w:spacing w:after="0" w:line="360" w:lineRule="auto"/>
        <w:jc w:val="both"/>
        <w:rPr>
          <w:rFonts w:ascii="Arial" w:hAnsi="Arial" w:cs="Arial"/>
          <w:sz w:val="24"/>
          <w:szCs w:val="24"/>
          <w:lang w:val="es-ES"/>
        </w:rPr>
      </w:pPr>
      <w:r w:rsidRPr="00E00F13">
        <w:rPr>
          <w:rFonts w:ascii="Arial" w:hAnsi="Arial" w:cs="Arial"/>
          <w:sz w:val="24"/>
          <w:szCs w:val="24"/>
          <w:lang w:val="es-ES"/>
        </w:rPr>
        <w:t xml:space="preserve">Entrevista realizada a </w:t>
      </w:r>
      <w:r w:rsidR="001E5908" w:rsidRPr="00E00F13">
        <w:rPr>
          <w:rFonts w:ascii="Arial" w:hAnsi="Arial" w:cs="Arial"/>
          <w:sz w:val="24"/>
          <w:szCs w:val="24"/>
          <w:lang w:val="es-ES"/>
        </w:rPr>
        <w:t>Natalia Duarte</w:t>
      </w:r>
      <w:r w:rsidR="00DB11A5" w:rsidRPr="00E00F13">
        <w:rPr>
          <w:rFonts w:ascii="Arial" w:hAnsi="Arial" w:cs="Arial"/>
          <w:sz w:val="24"/>
          <w:szCs w:val="24"/>
          <w:lang w:val="es-ES"/>
        </w:rPr>
        <w:t xml:space="preserve">, </w:t>
      </w:r>
      <w:r w:rsidR="5A986ABF" w:rsidRPr="00E00F13">
        <w:rPr>
          <w:rFonts w:ascii="Arial" w:hAnsi="Arial" w:cs="Arial"/>
          <w:sz w:val="24"/>
          <w:szCs w:val="24"/>
          <w:lang w:val="es-ES"/>
        </w:rPr>
        <w:t>Viceministerio de Agua</w:t>
      </w:r>
      <w:r w:rsidR="00DB11A5" w:rsidRPr="00E00F13">
        <w:rPr>
          <w:rFonts w:ascii="Arial" w:hAnsi="Arial" w:cs="Arial"/>
          <w:sz w:val="24"/>
          <w:szCs w:val="24"/>
          <w:lang w:val="es-ES"/>
        </w:rPr>
        <w:t>. Noviembre, 2025.</w:t>
      </w:r>
    </w:p>
    <w:p w14:paraId="3384E692" w14:textId="254CD094" w:rsidR="001E5908" w:rsidRPr="00E00F13" w:rsidRDefault="001E5908" w:rsidP="1D068790">
      <w:pPr>
        <w:spacing w:after="0" w:line="360" w:lineRule="auto"/>
        <w:jc w:val="both"/>
        <w:rPr>
          <w:rFonts w:ascii="Arial" w:hAnsi="Arial" w:cs="Arial"/>
          <w:sz w:val="24"/>
          <w:szCs w:val="24"/>
          <w:lang w:val="es-ES"/>
        </w:rPr>
      </w:pPr>
    </w:p>
    <w:p w14:paraId="47718AA9" w14:textId="49F2CA19" w:rsidR="00DB11A5" w:rsidRPr="00E00F13" w:rsidRDefault="001E5908" w:rsidP="1D068790">
      <w:pPr>
        <w:spacing w:after="0" w:line="360" w:lineRule="auto"/>
        <w:jc w:val="both"/>
        <w:rPr>
          <w:rFonts w:ascii="Arial" w:hAnsi="Arial" w:cs="Arial"/>
          <w:sz w:val="24"/>
          <w:szCs w:val="24"/>
          <w:lang w:val="es-ES"/>
        </w:rPr>
      </w:pPr>
      <w:r w:rsidRPr="00E00F13">
        <w:rPr>
          <w:rFonts w:ascii="Arial" w:hAnsi="Arial" w:cs="Arial"/>
          <w:sz w:val="24"/>
          <w:szCs w:val="24"/>
          <w:lang w:val="es-ES"/>
        </w:rPr>
        <w:t xml:space="preserve">Entrevista </w:t>
      </w:r>
      <w:r w:rsidR="7D88586A" w:rsidRPr="00E00F13">
        <w:rPr>
          <w:rFonts w:ascii="Arial" w:hAnsi="Arial" w:cs="Arial"/>
          <w:sz w:val="24"/>
          <w:szCs w:val="24"/>
          <w:lang w:val="es-ES"/>
        </w:rPr>
        <w:t xml:space="preserve">realizada </w:t>
      </w:r>
      <w:r w:rsidRPr="00E00F13">
        <w:rPr>
          <w:rFonts w:ascii="Arial" w:hAnsi="Arial" w:cs="Arial"/>
          <w:sz w:val="24"/>
          <w:szCs w:val="24"/>
          <w:lang w:val="es-ES"/>
        </w:rPr>
        <w:t>a Natalia</w:t>
      </w:r>
      <w:r w:rsidR="00DB11A5" w:rsidRPr="00E00F13">
        <w:rPr>
          <w:rFonts w:ascii="Arial" w:hAnsi="Arial" w:cs="Arial"/>
          <w:sz w:val="24"/>
          <w:szCs w:val="24"/>
          <w:lang w:val="es-ES"/>
        </w:rPr>
        <w:t xml:space="preserve"> Pedraza, Equipo de Estrategia Social del Despacho</w:t>
      </w:r>
      <w:r w:rsidR="590E6E3B" w:rsidRPr="00E00F13">
        <w:rPr>
          <w:rFonts w:ascii="Arial" w:hAnsi="Arial" w:cs="Arial"/>
          <w:sz w:val="24"/>
          <w:szCs w:val="24"/>
          <w:lang w:val="es-ES"/>
        </w:rPr>
        <w:t>, enfoque ambiental</w:t>
      </w:r>
      <w:r w:rsidR="00DB11A5" w:rsidRPr="00E00F13">
        <w:rPr>
          <w:rFonts w:ascii="Arial" w:hAnsi="Arial" w:cs="Arial"/>
          <w:sz w:val="24"/>
          <w:szCs w:val="24"/>
          <w:lang w:val="es-ES"/>
        </w:rPr>
        <w:t>. Noviembre, 2025.</w:t>
      </w:r>
    </w:p>
    <w:p w14:paraId="0FE83C6D" w14:textId="4B06605D" w:rsidR="1D068790" w:rsidRPr="00E00F13" w:rsidRDefault="1D068790" w:rsidP="1D068790">
      <w:pPr>
        <w:spacing w:after="0" w:line="360" w:lineRule="auto"/>
        <w:jc w:val="both"/>
        <w:rPr>
          <w:rFonts w:ascii="Arial" w:hAnsi="Arial" w:cs="Arial"/>
          <w:sz w:val="24"/>
          <w:szCs w:val="24"/>
          <w:lang w:val="es-ES"/>
        </w:rPr>
      </w:pPr>
    </w:p>
    <w:p w14:paraId="37678537" w14:textId="6D080071" w:rsidR="6D00E67E" w:rsidRPr="00E00F13" w:rsidRDefault="6D00E67E" w:rsidP="1D068790">
      <w:pPr>
        <w:spacing w:after="0" w:line="360" w:lineRule="auto"/>
        <w:jc w:val="both"/>
        <w:rPr>
          <w:rFonts w:ascii="Arial" w:hAnsi="Arial" w:cs="Arial"/>
          <w:sz w:val="24"/>
          <w:szCs w:val="24"/>
          <w:lang w:val="es-ES"/>
        </w:rPr>
      </w:pPr>
      <w:r w:rsidRPr="00E00F13">
        <w:rPr>
          <w:rFonts w:ascii="Arial" w:hAnsi="Arial" w:cs="Arial"/>
          <w:sz w:val="24"/>
          <w:szCs w:val="24"/>
          <w:lang w:val="es-ES"/>
        </w:rPr>
        <w:t>Entrevista realizada a Ricardo Ramírez, Despacho, Asesor. Octubre, 2025.</w:t>
      </w:r>
    </w:p>
    <w:p w14:paraId="6630F9F6" w14:textId="69E1609D" w:rsidR="001E5908" w:rsidRPr="00E00F13" w:rsidRDefault="001E5908" w:rsidP="00207E9D">
      <w:pPr>
        <w:spacing w:after="0" w:line="360" w:lineRule="auto"/>
        <w:jc w:val="both"/>
        <w:rPr>
          <w:rFonts w:ascii="Arial" w:hAnsi="Arial" w:cs="Arial"/>
          <w:sz w:val="24"/>
          <w:szCs w:val="24"/>
          <w:lang w:val="es-ES"/>
        </w:rPr>
      </w:pPr>
    </w:p>
    <w:p w14:paraId="091756D1" w14:textId="56A95716" w:rsidR="00DB11A5" w:rsidRPr="00E00F13" w:rsidRDefault="44CAA187" w:rsidP="1D068790">
      <w:pPr>
        <w:spacing w:after="0" w:line="360" w:lineRule="auto"/>
        <w:jc w:val="both"/>
        <w:rPr>
          <w:rFonts w:ascii="Arial" w:hAnsi="Arial" w:cs="Arial"/>
          <w:sz w:val="24"/>
          <w:szCs w:val="24"/>
          <w:lang w:val="es-ES"/>
        </w:rPr>
      </w:pPr>
      <w:r w:rsidRPr="00E00F13">
        <w:rPr>
          <w:rFonts w:ascii="Arial" w:hAnsi="Arial" w:cs="Arial"/>
          <w:sz w:val="24"/>
          <w:szCs w:val="24"/>
          <w:lang w:val="es-ES"/>
        </w:rPr>
        <w:t>Entrevista</w:t>
      </w:r>
      <w:r w:rsidR="49398612" w:rsidRPr="00E00F13">
        <w:rPr>
          <w:rFonts w:ascii="Arial" w:hAnsi="Arial" w:cs="Arial"/>
          <w:sz w:val="24"/>
          <w:szCs w:val="24"/>
          <w:lang w:val="es-ES"/>
        </w:rPr>
        <w:t xml:space="preserve"> realizada</w:t>
      </w:r>
      <w:r w:rsidRPr="00E00F13">
        <w:rPr>
          <w:rFonts w:ascii="Arial" w:hAnsi="Arial" w:cs="Arial"/>
          <w:sz w:val="24"/>
          <w:szCs w:val="24"/>
          <w:lang w:val="es-ES"/>
        </w:rPr>
        <w:t xml:space="preserve"> a </w:t>
      </w:r>
      <w:r w:rsidR="00DB11A5" w:rsidRPr="00E00F13">
        <w:rPr>
          <w:rFonts w:ascii="Arial" w:hAnsi="Arial" w:cs="Arial"/>
          <w:sz w:val="24"/>
          <w:szCs w:val="24"/>
          <w:lang w:val="es-ES"/>
        </w:rPr>
        <w:t>Rodrigo Torrejano, Equipo de Estrategia Social del Despacho</w:t>
      </w:r>
      <w:r w:rsidR="7E544968" w:rsidRPr="00E00F13">
        <w:rPr>
          <w:rFonts w:ascii="Arial" w:hAnsi="Arial" w:cs="Arial"/>
          <w:sz w:val="24"/>
          <w:szCs w:val="24"/>
          <w:lang w:val="es-ES"/>
        </w:rPr>
        <w:t xml:space="preserve">, Observatorio </w:t>
      </w:r>
      <w:r w:rsidR="3059E920" w:rsidRPr="00E00F13">
        <w:rPr>
          <w:rFonts w:ascii="Arial" w:hAnsi="Arial" w:cs="Arial"/>
          <w:sz w:val="24"/>
          <w:szCs w:val="24"/>
          <w:lang w:val="es-ES"/>
        </w:rPr>
        <w:t>Nuestro</w:t>
      </w:r>
      <w:r w:rsidR="7E544968" w:rsidRPr="00E00F13">
        <w:rPr>
          <w:rFonts w:ascii="Arial" w:hAnsi="Arial" w:cs="Arial"/>
          <w:sz w:val="24"/>
          <w:szCs w:val="24"/>
          <w:lang w:val="es-ES"/>
        </w:rPr>
        <w:t xml:space="preserve"> Hábitat Biodiverso</w:t>
      </w:r>
      <w:r w:rsidR="00DB11A5" w:rsidRPr="00E00F13">
        <w:rPr>
          <w:rFonts w:ascii="Arial" w:hAnsi="Arial" w:cs="Arial"/>
          <w:sz w:val="24"/>
          <w:szCs w:val="24"/>
          <w:lang w:val="es-ES"/>
        </w:rPr>
        <w:t xml:space="preserve">. </w:t>
      </w:r>
      <w:r w:rsidR="64E3B42A" w:rsidRPr="00E00F13">
        <w:rPr>
          <w:rFonts w:ascii="Arial" w:hAnsi="Arial" w:cs="Arial"/>
          <w:sz w:val="24"/>
          <w:szCs w:val="24"/>
          <w:lang w:val="es-ES"/>
        </w:rPr>
        <w:t>Octu</w:t>
      </w:r>
      <w:r w:rsidR="00DB11A5" w:rsidRPr="00E00F13">
        <w:rPr>
          <w:rFonts w:ascii="Arial" w:hAnsi="Arial" w:cs="Arial"/>
          <w:sz w:val="24"/>
          <w:szCs w:val="24"/>
          <w:lang w:val="es-ES"/>
        </w:rPr>
        <w:t>bre, 2025.</w:t>
      </w:r>
    </w:p>
    <w:p w14:paraId="411D0E67" w14:textId="4EC287A6" w:rsidR="00DE5E8C" w:rsidRPr="00E00F13" w:rsidRDefault="00DE5E8C" w:rsidP="1D068790">
      <w:pPr>
        <w:spacing w:after="0" w:line="360" w:lineRule="auto"/>
        <w:jc w:val="both"/>
        <w:rPr>
          <w:rFonts w:ascii="Arial" w:hAnsi="Arial" w:cs="Arial"/>
          <w:sz w:val="24"/>
          <w:szCs w:val="24"/>
          <w:lang w:val="es-ES"/>
        </w:rPr>
      </w:pPr>
    </w:p>
    <w:p w14:paraId="0012829F" w14:textId="587A4CE3" w:rsidR="1FE74C4C" w:rsidRPr="00E00F13" w:rsidRDefault="1FE74C4C" w:rsidP="1D068790">
      <w:pPr>
        <w:spacing w:after="0" w:line="360" w:lineRule="auto"/>
        <w:jc w:val="both"/>
        <w:rPr>
          <w:rFonts w:ascii="Arial" w:hAnsi="Arial" w:cs="Arial"/>
          <w:sz w:val="24"/>
          <w:szCs w:val="24"/>
          <w:lang w:val="es-ES"/>
        </w:rPr>
      </w:pPr>
      <w:r w:rsidRPr="00E00F13">
        <w:rPr>
          <w:rFonts w:ascii="Arial" w:hAnsi="Arial" w:cs="Arial"/>
          <w:sz w:val="24"/>
          <w:szCs w:val="24"/>
          <w:lang w:val="es-ES"/>
        </w:rPr>
        <w:t>Entrevista</w:t>
      </w:r>
      <w:r w:rsidR="4A0C4A2E" w:rsidRPr="00E00F13">
        <w:rPr>
          <w:rFonts w:ascii="Arial" w:hAnsi="Arial" w:cs="Arial"/>
          <w:sz w:val="24"/>
          <w:szCs w:val="24"/>
          <w:lang w:val="es-ES"/>
        </w:rPr>
        <w:t xml:space="preserve"> realizada</w:t>
      </w:r>
      <w:r w:rsidRPr="00E00F13">
        <w:rPr>
          <w:rFonts w:ascii="Arial" w:hAnsi="Arial" w:cs="Arial"/>
          <w:sz w:val="24"/>
          <w:szCs w:val="24"/>
          <w:lang w:val="es-ES"/>
        </w:rPr>
        <w:t xml:space="preserve"> a Viviana Lozano, Equipo de Estrategia Social del Despacho, enfoque territorial. Noviembre, 2025.</w:t>
      </w:r>
    </w:p>
    <w:p w14:paraId="1EF3B913" w14:textId="4563E425" w:rsidR="1D068790" w:rsidRPr="00E00F13" w:rsidRDefault="1D068790" w:rsidP="1D068790">
      <w:pPr>
        <w:spacing w:after="0" w:line="360" w:lineRule="auto"/>
        <w:jc w:val="both"/>
        <w:rPr>
          <w:rFonts w:ascii="Arial" w:hAnsi="Arial" w:cs="Arial"/>
          <w:sz w:val="24"/>
          <w:szCs w:val="24"/>
          <w:lang w:val="es-ES"/>
        </w:rPr>
      </w:pPr>
    </w:p>
    <w:p w14:paraId="24AA0313" w14:textId="77777777" w:rsidR="00DB11A5" w:rsidRPr="00E00F13" w:rsidRDefault="00DB11A5" w:rsidP="00DB11A5">
      <w:pPr>
        <w:spacing w:after="0" w:line="360" w:lineRule="auto"/>
        <w:jc w:val="both"/>
        <w:rPr>
          <w:rFonts w:ascii="Arial" w:hAnsi="Arial" w:cs="Arial"/>
          <w:sz w:val="24"/>
          <w:szCs w:val="24"/>
          <w:lang w:val="es-ES"/>
        </w:rPr>
      </w:pPr>
    </w:p>
    <w:p w14:paraId="6C4A6D8A" w14:textId="001B989E" w:rsidR="00DB11A5" w:rsidRPr="00E00F13" w:rsidRDefault="00DB11A5" w:rsidP="00207E9D">
      <w:pPr>
        <w:spacing w:after="0" w:line="360" w:lineRule="auto"/>
        <w:jc w:val="both"/>
        <w:rPr>
          <w:rFonts w:ascii="Arial" w:hAnsi="Arial" w:cs="Arial"/>
          <w:sz w:val="24"/>
          <w:szCs w:val="24"/>
          <w:lang w:val="es-ES"/>
        </w:rPr>
      </w:pPr>
    </w:p>
    <w:p w14:paraId="2A3B9017" w14:textId="77777777" w:rsidR="00DB11A5" w:rsidRPr="00E00F13" w:rsidRDefault="00DB11A5">
      <w:pPr>
        <w:spacing w:after="0" w:line="360" w:lineRule="auto"/>
        <w:jc w:val="both"/>
        <w:rPr>
          <w:rFonts w:ascii="Arial" w:hAnsi="Arial" w:cs="Arial"/>
          <w:sz w:val="24"/>
          <w:szCs w:val="24"/>
          <w:lang w:val="es-ES"/>
        </w:rPr>
      </w:pPr>
    </w:p>
    <w:sectPr w:rsidR="00DB11A5" w:rsidRPr="00E00F13">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F87643" w14:textId="77777777" w:rsidR="00EF2009" w:rsidRDefault="00EF2009" w:rsidP="00E2113D">
      <w:pPr>
        <w:spacing w:after="0" w:line="240" w:lineRule="auto"/>
      </w:pPr>
      <w:r>
        <w:separator/>
      </w:r>
    </w:p>
  </w:endnote>
  <w:endnote w:type="continuationSeparator" w:id="0">
    <w:p w14:paraId="0EC84C61" w14:textId="77777777" w:rsidR="00EF2009" w:rsidRDefault="00EF2009" w:rsidP="00E2113D">
      <w:pPr>
        <w:spacing w:after="0" w:line="240" w:lineRule="auto"/>
      </w:pPr>
      <w:r>
        <w:continuationSeparator/>
      </w:r>
    </w:p>
  </w:endnote>
  <w:endnote w:type="continuationNotice" w:id="1">
    <w:p w14:paraId="2C5DACC9" w14:textId="77777777" w:rsidR="00EF2009" w:rsidRDefault="00EF200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ingLiU-ExtB">
    <w:panose1 w:val="02020500000000000000"/>
    <w:charset w:val="88"/>
    <w:family w:val="roman"/>
    <w:pitch w:val="variable"/>
    <w:sig w:usb0="8000002F" w:usb1="0A080008" w:usb2="00000010" w:usb3="00000000" w:csb0="00100001" w:csb1="00000000"/>
  </w:font>
  <w:font w:name="Microsoft JhengHei UI">
    <w:panose1 w:val="020B0604030504040204"/>
    <w:charset w:val="88"/>
    <w:family w:val="swiss"/>
    <w:pitch w:val="variable"/>
    <w:sig w:usb0="000002A7" w:usb1="28CF4400" w:usb2="00000016" w:usb3="00000000" w:csb0="00100009" w:csb1="00000000"/>
  </w:font>
  <w:font w:name="Noto Sans">
    <w:charset w:val="00"/>
    <w:family w:val="swiss"/>
    <w:pitch w:val="variable"/>
    <w:sig w:usb0="E00082FF" w:usb1="400078FF" w:usb2="00000021" w:usb3="00000000" w:csb0="0000019F" w:csb1="00000000"/>
  </w:font>
  <w:font w:name="Aptos Narrow">
    <w:charset w:val="00"/>
    <w:family w:val="swiss"/>
    <w:pitch w:val="variable"/>
    <w:sig w:usb0="20000287" w:usb1="00000003" w:usb2="00000000" w:usb3="00000000" w:csb0="0000019F" w:csb1="00000000"/>
  </w:font>
  <w:font w:name="Verdana">
    <w:panose1 w:val="020B0604030504040204"/>
    <w:charset w:val="00"/>
    <w:family w:val="swiss"/>
    <w:pitch w:val="variable"/>
    <w:sig w:usb0="A00006FF" w:usb1="4000205B" w:usb2="00000010" w:usb3="00000000" w:csb0="000001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25818F" w14:textId="77777777" w:rsidR="00EF2009" w:rsidRDefault="00EF2009" w:rsidP="00E2113D">
      <w:pPr>
        <w:spacing w:after="0" w:line="240" w:lineRule="auto"/>
      </w:pPr>
      <w:r>
        <w:separator/>
      </w:r>
    </w:p>
  </w:footnote>
  <w:footnote w:type="continuationSeparator" w:id="0">
    <w:p w14:paraId="1131470C" w14:textId="77777777" w:rsidR="00EF2009" w:rsidRDefault="00EF2009" w:rsidP="00E2113D">
      <w:pPr>
        <w:spacing w:after="0" w:line="240" w:lineRule="auto"/>
      </w:pPr>
      <w:r>
        <w:continuationSeparator/>
      </w:r>
    </w:p>
  </w:footnote>
  <w:footnote w:type="continuationNotice" w:id="1">
    <w:p w14:paraId="742F79D4" w14:textId="77777777" w:rsidR="00EF2009" w:rsidRDefault="00EF2009">
      <w:pPr>
        <w:spacing w:after="0" w:line="240" w:lineRule="auto"/>
      </w:pPr>
    </w:p>
  </w:footnote>
  <w:footnote w:id="2">
    <w:p w14:paraId="4CCA6CF2" w14:textId="0FA31412" w:rsidR="00E2113D" w:rsidRPr="00D23E35" w:rsidRDefault="00E2113D" w:rsidP="003A4ADC">
      <w:pPr>
        <w:pStyle w:val="Textonotapie"/>
        <w:jc w:val="both"/>
        <w:rPr>
          <w:lang w:val="es-ES"/>
        </w:rPr>
      </w:pPr>
      <w:r>
        <w:rPr>
          <w:rStyle w:val="Refdenotaalpie"/>
        </w:rPr>
        <w:footnoteRef/>
      </w:r>
      <w:r>
        <w:t xml:space="preserve"> </w:t>
      </w:r>
      <w:r>
        <w:rPr>
          <w:lang w:val="es-ES"/>
        </w:rPr>
        <w:t xml:space="preserve">La </w:t>
      </w:r>
      <w:r w:rsidR="000066BE">
        <w:rPr>
          <w:lang w:val="es-ES"/>
        </w:rPr>
        <w:t>S</w:t>
      </w:r>
      <w:r>
        <w:rPr>
          <w:lang w:val="es-ES"/>
        </w:rPr>
        <w:t xml:space="preserve">entencia T-302 de 2017 declara el estado de cosas </w:t>
      </w:r>
      <w:r w:rsidR="000066BE">
        <w:rPr>
          <w:lang w:val="es-ES"/>
        </w:rPr>
        <w:t xml:space="preserve">inconstitucional </w:t>
      </w:r>
      <w:r>
        <w:rPr>
          <w:lang w:val="es-ES"/>
        </w:rPr>
        <w:t>en los municipios de Maicao, Manaure, Riohacha y Uribia. Además, obliga al MVCT</w:t>
      </w:r>
      <w:r w:rsidR="000066BE">
        <w:rPr>
          <w:lang w:val="es-ES"/>
        </w:rPr>
        <w:t>,</w:t>
      </w:r>
      <w:r>
        <w:rPr>
          <w:lang w:val="es-ES"/>
        </w:rPr>
        <w:t xml:space="preserve"> a las alcaldías municipales y al departamento a la construcción de un plan de acción para garantizar el acceso al agua potable a las comunidades del pueblo </w:t>
      </w:r>
      <w:r w:rsidR="000066BE">
        <w:rPr>
          <w:lang w:val="es-ES"/>
        </w:rPr>
        <w:t xml:space="preserve">indígena </w:t>
      </w:r>
      <w:r>
        <w:rPr>
          <w:lang w:val="es-ES"/>
        </w:rPr>
        <w:t>Way</w:t>
      </w:r>
      <w:r w:rsidR="000066BE">
        <w:rPr>
          <w:lang w:val="es-ES"/>
        </w:rPr>
        <w:t>ú</w:t>
      </w:r>
      <w:r>
        <w:rPr>
          <w:lang w:val="es-ES"/>
        </w:rPr>
        <w:t xml:space="preserve">u de los municipios enunciados. </w:t>
      </w:r>
    </w:p>
  </w:footnote>
  <w:footnote w:id="3">
    <w:p w14:paraId="0CC26FB6" w14:textId="5976D81F" w:rsidR="00E2113D" w:rsidRPr="00A6374B" w:rsidRDefault="00E2113D" w:rsidP="003A4ADC">
      <w:pPr>
        <w:pStyle w:val="Textonotapie"/>
        <w:jc w:val="both"/>
        <w:rPr>
          <w:lang w:val="es-ES"/>
        </w:rPr>
      </w:pPr>
      <w:r>
        <w:rPr>
          <w:rStyle w:val="Refdenotaalpie"/>
        </w:rPr>
        <w:footnoteRef/>
      </w:r>
      <w:r>
        <w:t xml:space="preserve"> </w:t>
      </w:r>
      <w:r>
        <w:rPr>
          <w:lang w:val="es-ES"/>
        </w:rPr>
        <w:t xml:space="preserve"> E</w:t>
      </w:r>
      <w:r w:rsidR="003A4ADC">
        <w:rPr>
          <w:lang w:val="es-ES"/>
        </w:rPr>
        <w:t>l A</w:t>
      </w:r>
      <w:r>
        <w:rPr>
          <w:lang w:val="es-ES"/>
        </w:rPr>
        <w:t>uto</w:t>
      </w:r>
      <w:r w:rsidR="003A4ADC">
        <w:rPr>
          <w:lang w:val="es-ES"/>
        </w:rPr>
        <w:t xml:space="preserve"> 696 de 2022</w:t>
      </w:r>
      <w:r>
        <w:rPr>
          <w:lang w:val="es-ES"/>
        </w:rPr>
        <w:t xml:space="preserve"> ordena la construcción de un plan de acción provisional para que las entidades del orden nacional puedan atender la emergencia humanitaria que sufre el pueblo </w:t>
      </w:r>
      <w:r w:rsidR="003A4ADC">
        <w:rPr>
          <w:lang w:val="es-ES"/>
        </w:rPr>
        <w:t>W</w:t>
      </w:r>
      <w:r>
        <w:rPr>
          <w:lang w:val="es-ES"/>
        </w:rPr>
        <w:t>ay</w:t>
      </w:r>
      <w:r w:rsidR="003A4ADC">
        <w:rPr>
          <w:lang w:val="es-ES"/>
        </w:rPr>
        <w:t>ú</w:t>
      </w:r>
      <w:r>
        <w:rPr>
          <w:lang w:val="es-ES"/>
        </w:rPr>
        <w:t xml:space="preserve">u en los municipios objeto de la </w:t>
      </w:r>
      <w:r w:rsidR="003A4ADC">
        <w:rPr>
          <w:lang w:val="es-ES"/>
        </w:rPr>
        <w:t>S</w:t>
      </w:r>
      <w:r>
        <w:rPr>
          <w:lang w:val="es-ES"/>
        </w:rPr>
        <w:t xml:space="preserve">entencia t-302. </w:t>
      </w:r>
    </w:p>
  </w:footnote>
  <w:footnote w:id="4">
    <w:p w14:paraId="5EB65D3C" w14:textId="77777777" w:rsidR="0092665C" w:rsidRPr="00892CF1" w:rsidRDefault="0092665C" w:rsidP="0092665C">
      <w:pPr>
        <w:pStyle w:val="Textonotapie"/>
        <w:jc w:val="both"/>
        <w:rPr>
          <w:rFonts w:ascii="Arial" w:hAnsi="Arial" w:cs="Arial"/>
          <w:lang w:val="es-ES_tradnl"/>
        </w:rPr>
      </w:pPr>
      <w:r w:rsidRPr="00892CF1">
        <w:rPr>
          <w:rStyle w:val="Refdenotaalpie"/>
          <w:rFonts w:ascii="Arial" w:hAnsi="Arial" w:cs="Arial"/>
        </w:rPr>
        <w:footnoteRef/>
      </w:r>
      <w:r w:rsidRPr="00892CF1">
        <w:rPr>
          <w:rFonts w:ascii="Arial" w:hAnsi="Arial" w:cs="Arial"/>
        </w:rPr>
        <w:t xml:space="preserve"> Aproximación a la incorporación del agua como elemento estructurante para el Ordenamiento Territorial en Colombia. DEUT. MVCT. 2025</w:t>
      </w:r>
    </w:p>
  </w:footnote>
  <w:footnote w:id="5">
    <w:p w14:paraId="1523A5F5" w14:textId="187B9D8D" w:rsidR="0092665C" w:rsidRPr="00892CF1" w:rsidRDefault="0092665C" w:rsidP="0092665C">
      <w:pPr>
        <w:pStyle w:val="Textonotapie"/>
        <w:jc w:val="both"/>
        <w:rPr>
          <w:rFonts w:ascii="Arial" w:hAnsi="Arial" w:cs="Arial"/>
          <w:lang w:val="es-ES_tradnl"/>
        </w:rPr>
      </w:pPr>
      <w:r w:rsidRPr="00892CF1">
        <w:rPr>
          <w:rStyle w:val="Refdenotaalpie"/>
          <w:rFonts w:ascii="Arial" w:hAnsi="Arial" w:cs="Arial"/>
        </w:rPr>
        <w:footnoteRef/>
      </w:r>
      <w:r w:rsidRPr="00892CF1">
        <w:rPr>
          <w:rFonts w:ascii="Arial" w:hAnsi="Arial" w:cs="Arial"/>
        </w:rPr>
        <w:t xml:space="preserve"> </w:t>
      </w:r>
      <w:r w:rsidRPr="00951DE2">
        <w:rPr>
          <w:rFonts w:ascii="Arial" w:hAnsi="Arial" w:cs="Arial"/>
          <w:lang w:val="es-ES_tradnl"/>
        </w:rPr>
        <w:t xml:space="preserve">“Por el cual se reglamenta el artículo 298 de la Ley 2294 de 2023 y se dictan otras disposiciones.” </w:t>
      </w:r>
    </w:p>
  </w:footnote>
  <w:footnote w:id="6">
    <w:p w14:paraId="09E1F52F" w14:textId="77777777" w:rsidR="0092665C" w:rsidRPr="00892CF1" w:rsidRDefault="0092665C" w:rsidP="0092665C">
      <w:pPr>
        <w:pStyle w:val="Textonotapie"/>
        <w:jc w:val="both"/>
        <w:rPr>
          <w:rFonts w:ascii="Arial" w:hAnsi="Arial" w:cs="Arial"/>
        </w:rPr>
      </w:pPr>
      <w:r w:rsidRPr="00892CF1">
        <w:rPr>
          <w:rStyle w:val="Refdenotaalpie"/>
          <w:rFonts w:ascii="Arial" w:hAnsi="Arial" w:cs="Arial"/>
        </w:rPr>
        <w:footnoteRef/>
      </w:r>
      <w:r w:rsidRPr="00892CF1">
        <w:rPr>
          <w:rFonts w:ascii="Arial" w:hAnsi="Arial" w:cs="Arial"/>
        </w:rPr>
        <w:t xml:space="preserve"> Tejiendo una NDC ​para vivienda, agua y saneamiento. MVCT. 2025</w:t>
      </w:r>
    </w:p>
  </w:footnote>
  <w:footnote w:id="7">
    <w:p w14:paraId="3C87C3F9" w14:textId="77777777" w:rsidR="0092665C" w:rsidRPr="00C753D3" w:rsidRDefault="0092665C" w:rsidP="0092665C">
      <w:pPr>
        <w:pStyle w:val="Textonotapie"/>
        <w:jc w:val="both"/>
        <w:rPr>
          <w:rFonts w:ascii="Arial" w:hAnsi="Arial" w:cs="Arial"/>
          <w:lang w:val="es-ES_tradnl"/>
        </w:rPr>
      </w:pPr>
      <w:r w:rsidRPr="00892CF1">
        <w:rPr>
          <w:rStyle w:val="Refdenotaalpie"/>
          <w:rFonts w:ascii="Arial" w:hAnsi="Arial" w:cs="Arial"/>
        </w:rPr>
        <w:footnoteRef/>
      </w:r>
      <w:r w:rsidRPr="00892CF1">
        <w:rPr>
          <w:rFonts w:ascii="Arial" w:hAnsi="Arial" w:cs="Arial"/>
        </w:rPr>
        <w:t xml:space="preserve"> </w:t>
      </w:r>
      <w:r w:rsidRPr="00C753D3">
        <w:rPr>
          <w:rFonts w:ascii="Arial" w:hAnsi="Arial" w:cs="Arial"/>
        </w:rPr>
        <w:t xml:space="preserve">MVCT. Decreto 0670 de 2025. “Por el cual se adiciona el Capítulo 8 del Título 2, de la Parte 3, del Libro 2, del Decreto 1077 de 2015, se reglamenta el artículo 227 de la Ley 2294 de 2023 referente al Programa Basura Cero, y por el cual se efectúan adiciones a los artículos 2.2.2.3.2.3 y 2.2.2.3.7.1 del Capítulo 3, Título 2, Parte 2, Libro 2 del Decreto 1076 de 2015 y se dictan otras disposiciones" 2025. </w:t>
      </w:r>
    </w:p>
  </w:footnote>
  <w:footnote w:id="8">
    <w:p w14:paraId="3F75EE44" w14:textId="77777777" w:rsidR="0092665C" w:rsidRPr="00892CF1" w:rsidRDefault="0092665C" w:rsidP="0092665C">
      <w:pPr>
        <w:pStyle w:val="Textonotapie"/>
        <w:jc w:val="both"/>
        <w:rPr>
          <w:rFonts w:ascii="Arial" w:hAnsi="Arial" w:cs="Arial"/>
        </w:rPr>
      </w:pPr>
      <w:r w:rsidRPr="00C753D3">
        <w:rPr>
          <w:rStyle w:val="Refdenotaalpie"/>
          <w:rFonts w:ascii="Arial" w:hAnsi="Arial" w:cs="Arial"/>
        </w:rPr>
        <w:footnoteRef/>
      </w:r>
      <w:r w:rsidRPr="00C753D3">
        <w:rPr>
          <w:rFonts w:ascii="Arial" w:hAnsi="Arial" w:cs="Arial"/>
        </w:rPr>
        <w:t xml:space="preserve"> MVCT. Resolución 194 de 2025. “Por medio de la cual se definen los parámetros y Lineamientos de construcción sostenible, se adopta la guía para el ahorro de agua y energía en edificaciones, se sustituye la Resolución 0549 del 2015 y se dictan otras disposiciones.” Anexo 1: “Guía de construcción sostenible para el ahorro de agua y energía en edificaciones (obra nueva).” 2025.</w:t>
      </w:r>
    </w:p>
  </w:footnote>
  <w:footnote w:id="9">
    <w:p w14:paraId="2A427322" w14:textId="77777777" w:rsidR="0092665C" w:rsidRPr="00892CF1" w:rsidRDefault="0092665C" w:rsidP="0092665C">
      <w:pPr>
        <w:pStyle w:val="Textonotapie"/>
        <w:jc w:val="both"/>
        <w:rPr>
          <w:rFonts w:ascii="Arial" w:hAnsi="Arial" w:cs="Arial"/>
          <w:lang w:val="es-ES_tradnl"/>
        </w:rPr>
      </w:pPr>
      <w:r w:rsidRPr="00892CF1">
        <w:rPr>
          <w:rStyle w:val="Refdenotaalpie"/>
          <w:rFonts w:ascii="Arial" w:hAnsi="Arial" w:cs="Arial"/>
        </w:rPr>
        <w:footnoteRef/>
      </w:r>
      <w:r w:rsidRPr="00892CF1">
        <w:rPr>
          <w:rFonts w:ascii="Arial" w:hAnsi="Arial" w:cs="Arial"/>
        </w:rPr>
        <w:t xml:space="preserve"> Óp. Cit. Programa basura cero. </w:t>
      </w:r>
    </w:p>
  </w:footnote>
  <w:footnote w:id="10">
    <w:p w14:paraId="52479D51" w14:textId="422B0B95" w:rsidR="0092665C" w:rsidRPr="00997CFF" w:rsidRDefault="0092665C" w:rsidP="0092665C">
      <w:pPr>
        <w:pStyle w:val="Textonotapie"/>
        <w:jc w:val="both"/>
        <w:rPr>
          <w:rFonts w:ascii="Arial" w:hAnsi="Arial" w:cs="Arial"/>
          <w:sz w:val="18"/>
          <w:szCs w:val="18"/>
        </w:rPr>
      </w:pPr>
      <w:r w:rsidRPr="00892CF1">
        <w:rPr>
          <w:rStyle w:val="Refdenotaalpie"/>
          <w:rFonts w:ascii="Arial" w:hAnsi="Arial" w:cs="Arial"/>
        </w:rPr>
        <w:footnoteRef/>
      </w:r>
      <w:r w:rsidRPr="00892CF1">
        <w:rPr>
          <w:rFonts w:ascii="Arial" w:hAnsi="Arial" w:cs="Arial"/>
        </w:rPr>
        <w:t xml:space="preserve"> </w:t>
      </w:r>
      <w:r w:rsidRPr="00997CFF">
        <w:rPr>
          <w:rFonts w:ascii="Arial" w:hAnsi="Arial" w:cs="Arial"/>
          <w:sz w:val="18"/>
          <w:szCs w:val="18"/>
        </w:rPr>
        <w:t>MVCT. Decreto 0775 de julio de 2025. “Por el cual se modifican y/o adicionan los artículos 2.1.1.1.1.1.2, 2.1.1.1.1.1.7, 2.1.1.1.1.1.8, 2.1.1.1.13.3, 2.1.1.1.13.4 del Capítulo 1 del Título 1 de la Parte 1 de/Libro 2; 2.1.1.4.1.1.1, 2.1.1.4.1.2.1, 2.1.1.4.1.2.2, 2.1.1.4.1.2.3, 2.1.1.4.1.3.1, 2.1.1.4.1.3.2, 21.1.4.1.a3, 2.1.1.4.1.4.1, 2.1.1.4.1.4.2, 2.1.1.4.2.1, 2.1.1.4.2.2, 2.1.1.4.2.3, 2.1.1.4.2.4, 2.1.1.4.2.6, 2.1.1.4.2.7, 2.1.1.4.2.8, 2.1.1.4.2.10, 2.1.1.4.2.11 del Capítulo 4 del Título 1 de la Parte 1 del Libro 2; 2.1.1.6.7.6 del Capítulo 6 del Título 1 de la Parte 1 del Libro 2;2.1.1.8.3, 2.1.1.8.5 del Capítulo 8 del Título 1 de la Parte 1 del Libro 2; 2.1.1.9.10 y 2.1.1.9.13 del Capítulo 9 del Título 1 de la Parte 1 del Libro 2 del Decreto 1077 de 2015 Único Reglamentario del Sector Vivienda, Ciudad y Territorio.”</w:t>
      </w:r>
      <w:r w:rsidRPr="00997CFF">
        <w:rPr>
          <w:rFonts w:ascii="Arial" w:hAnsi="Arial" w:cs="Arial"/>
          <w:i/>
          <w:iCs/>
          <w:sz w:val="18"/>
          <w:szCs w:val="18"/>
        </w:rPr>
        <w:t xml:space="preserve"> </w:t>
      </w:r>
    </w:p>
  </w:footnote>
  <w:footnote w:id="11">
    <w:p w14:paraId="206B0E96" w14:textId="7AC8D26A" w:rsidR="0092665C" w:rsidRPr="00892CF1" w:rsidRDefault="0092665C" w:rsidP="0092665C">
      <w:pPr>
        <w:pStyle w:val="Textonotapie"/>
        <w:jc w:val="both"/>
        <w:rPr>
          <w:rFonts w:ascii="Arial" w:hAnsi="Arial" w:cs="Arial"/>
          <w:lang w:val="es-ES_tradnl"/>
        </w:rPr>
      </w:pPr>
      <w:r w:rsidRPr="00997CFF">
        <w:rPr>
          <w:rStyle w:val="Refdenotaalpie"/>
          <w:rFonts w:ascii="Arial" w:hAnsi="Arial" w:cs="Arial"/>
          <w:sz w:val="18"/>
          <w:szCs w:val="18"/>
        </w:rPr>
        <w:footnoteRef/>
      </w:r>
      <w:r w:rsidRPr="00997CFF">
        <w:rPr>
          <w:rFonts w:ascii="Arial" w:hAnsi="Arial" w:cs="Arial"/>
          <w:sz w:val="18"/>
          <w:szCs w:val="18"/>
        </w:rPr>
        <w:t xml:space="preserve"> </w:t>
      </w:r>
      <w:r w:rsidRPr="00997CFF">
        <w:rPr>
          <w:rFonts w:ascii="Arial" w:hAnsi="Arial" w:cs="Arial"/>
          <w:sz w:val="18"/>
          <w:szCs w:val="18"/>
          <w:lang w:val="es-ES_tradnl"/>
        </w:rPr>
        <w:t>“Por el cual se modifica parcialmente el artículo 2.3.1.1.1. y el capítulo 4 del título 1, parte 3, libro 2 del Decreto Único Reglamentario del Sector Vivienda, Ciudad y Territorio 1077 de 2015, mediante el cual se establecen las condiciones y criterios para el uso de los biosólidos generados en sistemas de tratamiento de aguas residuales municipales”.</w:t>
      </w:r>
      <w:r w:rsidRPr="00997CFF">
        <w:rPr>
          <w:rFonts w:ascii="Arial" w:hAnsi="Arial" w:cs="Arial"/>
          <w:i/>
          <w:iCs/>
          <w:sz w:val="18"/>
          <w:szCs w:val="18"/>
          <w:lang w:val="es-ES_tradnl"/>
        </w:rPr>
        <w:t xml:space="preserve"> </w:t>
      </w:r>
    </w:p>
  </w:footnote>
  <w:footnote w:id="12">
    <w:p w14:paraId="461B4205" w14:textId="77777777" w:rsidR="0092665C" w:rsidRPr="003B6DCF" w:rsidRDefault="0092665C" w:rsidP="0092665C">
      <w:pPr>
        <w:pStyle w:val="Textonotapie"/>
        <w:jc w:val="both"/>
        <w:rPr>
          <w:lang w:val="es-ES_tradnl"/>
        </w:rPr>
      </w:pPr>
      <w:r>
        <w:rPr>
          <w:rStyle w:val="Refdenotaalpie"/>
        </w:rPr>
        <w:footnoteRef/>
      </w:r>
      <w:r>
        <w:t xml:space="preserve"> </w:t>
      </w:r>
      <w:r w:rsidRPr="00892CF1">
        <w:rPr>
          <w:rFonts w:ascii="Arial" w:hAnsi="Arial" w:cs="Arial"/>
          <w:lang w:val="es-ES_tradnl"/>
        </w:rPr>
        <w:t xml:space="preserve">Óp. Cit. </w:t>
      </w:r>
      <w:r w:rsidRPr="00892CF1">
        <w:rPr>
          <w:rFonts w:ascii="Arial" w:hAnsi="Arial" w:cs="Arial"/>
        </w:rPr>
        <w:t>DEUT. MVCT. 2025</w:t>
      </w:r>
      <w:r w:rsidRPr="00892CF1">
        <w:rPr>
          <w:rFonts w:ascii="Arial" w:hAnsi="Arial" w:cs="Arial"/>
          <w:lang w:val="es-ES_tradnl"/>
        </w:rPr>
        <w:t>.</w:t>
      </w:r>
    </w:p>
  </w:footnote>
  <w:footnote w:id="13">
    <w:p w14:paraId="5D4C416F" w14:textId="77777777" w:rsidR="0092665C" w:rsidRPr="007B003A" w:rsidRDefault="0092665C" w:rsidP="0092665C">
      <w:pPr>
        <w:pStyle w:val="Textonotapie"/>
        <w:jc w:val="both"/>
        <w:rPr>
          <w:lang w:val="es-ES_tradnl"/>
        </w:rPr>
      </w:pPr>
      <w:r>
        <w:rPr>
          <w:rStyle w:val="Refdenotaalpie"/>
        </w:rPr>
        <w:footnoteRef/>
      </w:r>
      <w:r>
        <w:t xml:space="preserve"> CAR. “Valoración ambiental, crecimiento agropecuario y desarrollo territorial”. 2022. Disponible en: </w:t>
      </w:r>
      <w:hyperlink r:id="rId1" w:history="1">
        <w:r w:rsidRPr="001B343D">
          <w:rPr>
            <w:rStyle w:val="Hipervnculo"/>
          </w:rPr>
          <w:t>https://www.car.gov.co/uploads/files/63dc3328df54e.pdf</w:t>
        </w:r>
      </w:hyperlink>
      <w: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9827D1"/>
    <w:multiLevelType w:val="hybridMultilevel"/>
    <w:tmpl w:val="093236EE"/>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 w15:restartNumberingAfterBreak="0">
    <w:nsid w:val="073C9366"/>
    <w:multiLevelType w:val="hybridMultilevel"/>
    <w:tmpl w:val="8BC68B7C"/>
    <w:lvl w:ilvl="0" w:tplc="A2D44328">
      <w:start w:val="1"/>
      <w:numFmt w:val="bullet"/>
      <w:lvlText w:val=""/>
      <w:lvlJc w:val="left"/>
      <w:pPr>
        <w:ind w:left="720" w:hanging="360"/>
      </w:pPr>
      <w:rPr>
        <w:rFonts w:ascii="Symbol" w:hAnsi="Symbol" w:hint="default"/>
      </w:rPr>
    </w:lvl>
    <w:lvl w:ilvl="1" w:tplc="A79A3F0C">
      <w:start w:val="1"/>
      <w:numFmt w:val="bullet"/>
      <w:lvlText w:val="o"/>
      <w:lvlJc w:val="left"/>
      <w:pPr>
        <w:ind w:left="1440" w:hanging="360"/>
      </w:pPr>
      <w:rPr>
        <w:rFonts w:ascii="Courier New" w:hAnsi="Courier New" w:hint="default"/>
      </w:rPr>
    </w:lvl>
    <w:lvl w:ilvl="2" w:tplc="162CE05E">
      <w:start w:val="1"/>
      <w:numFmt w:val="bullet"/>
      <w:lvlText w:val=""/>
      <w:lvlJc w:val="left"/>
      <w:pPr>
        <w:ind w:left="2160" w:hanging="360"/>
      </w:pPr>
      <w:rPr>
        <w:rFonts w:ascii="Wingdings" w:hAnsi="Wingdings" w:hint="default"/>
      </w:rPr>
    </w:lvl>
    <w:lvl w:ilvl="3" w:tplc="FEC683E6">
      <w:start w:val="1"/>
      <w:numFmt w:val="bullet"/>
      <w:lvlText w:val=""/>
      <w:lvlJc w:val="left"/>
      <w:pPr>
        <w:ind w:left="2880" w:hanging="360"/>
      </w:pPr>
      <w:rPr>
        <w:rFonts w:ascii="Symbol" w:hAnsi="Symbol" w:hint="default"/>
      </w:rPr>
    </w:lvl>
    <w:lvl w:ilvl="4" w:tplc="99A61C5A">
      <w:start w:val="1"/>
      <w:numFmt w:val="bullet"/>
      <w:lvlText w:val="o"/>
      <w:lvlJc w:val="left"/>
      <w:pPr>
        <w:ind w:left="3600" w:hanging="360"/>
      </w:pPr>
      <w:rPr>
        <w:rFonts w:ascii="Courier New" w:hAnsi="Courier New" w:hint="default"/>
      </w:rPr>
    </w:lvl>
    <w:lvl w:ilvl="5" w:tplc="EF983B64">
      <w:start w:val="1"/>
      <w:numFmt w:val="bullet"/>
      <w:lvlText w:val=""/>
      <w:lvlJc w:val="left"/>
      <w:pPr>
        <w:ind w:left="4320" w:hanging="360"/>
      </w:pPr>
      <w:rPr>
        <w:rFonts w:ascii="Wingdings" w:hAnsi="Wingdings" w:hint="default"/>
      </w:rPr>
    </w:lvl>
    <w:lvl w:ilvl="6" w:tplc="B98A6098">
      <w:start w:val="1"/>
      <w:numFmt w:val="bullet"/>
      <w:lvlText w:val=""/>
      <w:lvlJc w:val="left"/>
      <w:pPr>
        <w:ind w:left="5040" w:hanging="360"/>
      </w:pPr>
      <w:rPr>
        <w:rFonts w:ascii="Symbol" w:hAnsi="Symbol" w:hint="default"/>
      </w:rPr>
    </w:lvl>
    <w:lvl w:ilvl="7" w:tplc="30A21CB4">
      <w:start w:val="1"/>
      <w:numFmt w:val="bullet"/>
      <w:lvlText w:val="o"/>
      <w:lvlJc w:val="left"/>
      <w:pPr>
        <w:ind w:left="5760" w:hanging="360"/>
      </w:pPr>
      <w:rPr>
        <w:rFonts w:ascii="Courier New" w:hAnsi="Courier New" w:hint="default"/>
      </w:rPr>
    </w:lvl>
    <w:lvl w:ilvl="8" w:tplc="96EA07AE">
      <w:start w:val="1"/>
      <w:numFmt w:val="bullet"/>
      <w:lvlText w:val=""/>
      <w:lvlJc w:val="left"/>
      <w:pPr>
        <w:ind w:left="6480" w:hanging="360"/>
      </w:pPr>
      <w:rPr>
        <w:rFonts w:ascii="Wingdings" w:hAnsi="Wingdings" w:hint="default"/>
      </w:rPr>
    </w:lvl>
  </w:abstractNum>
  <w:abstractNum w:abstractNumId="2" w15:restartNumberingAfterBreak="0">
    <w:nsid w:val="0FEC7DB5"/>
    <w:multiLevelType w:val="hybridMultilevel"/>
    <w:tmpl w:val="C0C286D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1FF169D"/>
    <w:multiLevelType w:val="hybridMultilevel"/>
    <w:tmpl w:val="85D0184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2200B30"/>
    <w:multiLevelType w:val="hybridMultilevel"/>
    <w:tmpl w:val="C05C0A7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4EF5466"/>
    <w:multiLevelType w:val="hybridMultilevel"/>
    <w:tmpl w:val="08E6B4D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6451961"/>
    <w:multiLevelType w:val="hybridMultilevel"/>
    <w:tmpl w:val="C63A2528"/>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1B690DFA"/>
    <w:multiLevelType w:val="hybridMultilevel"/>
    <w:tmpl w:val="51D496C0"/>
    <w:lvl w:ilvl="0" w:tplc="F3686C0C">
      <w:start w:val="1"/>
      <w:numFmt w:val="bullet"/>
      <w:lvlText w:val=""/>
      <w:lvlJc w:val="left"/>
      <w:pPr>
        <w:ind w:left="720" w:hanging="360"/>
      </w:pPr>
      <w:rPr>
        <w:rFonts w:ascii="Symbol" w:hAnsi="Symbol" w:hint="default"/>
      </w:rPr>
    </w:lvl>
    <w:lvl w:ilvl="1" w:tplc="9C1EBEB8">
      <w:start w:val="1"/>
      <w:numFmt w:val="bullet"/>
      <w:lvlText w:val="o"/>
      <w:lvlJc w:val="left"/>
      <w:pPr>
        <w:ind w:left="1440" w:hanging="360"/>
      </w:pPr>
      <w:rPr>
        <w:rFonts w:ascii="Courier New" w:hAnsi="Courier New" w:hint="default"/>
      </w:rPr>
    </w:lvl>
    <w:lvl w:ilvl="2" w:tplc="309420B6">
      <w:start w:val="1"/>
      <w:numFmt w:val="bullet"/>
      <w:lvlText w:val=""/>
      <w:lvlJc w:val="left"/>
      <w:pPr>
        <w:ind w:left="2160" w:hanging="360"/>
      </w:pPr>
      <w:rPr>
        <w:rFonts w:ascii="Wingdings" w:hAnsi="Wingdings" w:hint="default"/>
      </w:rPr>
    </w:lvl>
    <w:lvl w:ilvl="3" w:tplc="5F048038">
      <w:start w:val="1"/>
      <w:numFmt w:val="bullet"/>
      <w:lvlText w:val=""/>
      <w:lvlJc w:val="left"/>
      <w:pPr>
        <w:ind w:left="2880" w:hanging="360"/>
      </w:pPr>
      <w:rPr>
        <w:rFonts w:ascii="Symbol" w:hAnsi="Symbol" w:hint="default"/>
      </w:rPr>
    </w:lvl>
    <w:lvl w:ilvl="4" w:tplc="59C8C686">
      <w:start w:val="1"/>
      <w:numFmt w:val="bullet"/>
      <w:lvlText w:val="o"/>
      <w:lvlJc w:val="left"/>
      <w:pPr>
        <w:ind w:left="3600" w:hanging="360"/>
      </w:pPr>
      <w:rPr>
        <w:rFonts w:ascii="Courier New" w:hAnsi="Courier New" w:hint="default"/>
      </w:rPr>
    </w:lvl>
    <w:lvl w:ilvl="5" w:tplc="BC7C70D6">
      <w:start w:val="1"/>
      <w:numFmt w:val="bullet"/>
      <w:lvlText w:val=""/>
      <w:lvlJc w:val="left"/>
      <w:pPr>
        <w:ind w:left="4320" w:hanging="360"/>
      </w:pPr>
      <w:rPr>
        <w:rFonts w:ascii="Wingdings" w:hAnsi="Wingdings" w:hint="default"/>
      </w:rPr>
    </w:lvl>
    <w:lvl w:ilvl="6" w:tplc="32A07FC2">
      <w:start w:val="1"/>
      <w:numFmt w:val="bullet"/>
      <w:lvlText w:val=""/>
      <w:lvlJc w:val="left"/>
      <w:pPr>
        <w:ind w:left="5040" w:hanging="360"/>
      </w:pPr>
      <w:rPr>
        <w:rFonts w:ascii="Symbol" w:hAnsi="Symbol" w:hint="default"/>
      </w:rPr>
    </w:lvl>
    <w:lvl w:ilvl="7" w:tplc="C23E62B4">
      <w:start w:val="1"/>
      <w:numFmt w:val="bullet"/>
      <w:lvlText w:val="o"/>
      <w:lvlJc w:val="left"/>
      <w:pPr>
        <w:ind w:left="5760" w:hanging="360"/>
      </w:pPr>
      <w:rPr>
        <w:rFonts w:ascii="Courier New" w:hAnsi="Courier New" w:hint="default"/>
      </w:rPr>
    </w:lvl>
    <w:lvl w:ilvl="8" w:tplc="2DA45E28">
      <w:start w:val="1"/>
      <w:numFmt w:val="bullet"/>
      <w:lvlText w:val=""/>
      <w:lvlJc w:val="left"/>
      <w:pPr>
        <w:ind w:left="6480" w:hanging="360"/>
      </w:pPr>
      <w:rPr>
        <w:rFonts w:ascii="Wingdings" w:hAnsi="Wingdings" w:hint="default"/>
      </w:rPr>
    </w:lvl>
  </w:abstractNum>
  <w:abstractNum w:abstractNumId="8" w15:restartNumberingAfterBreak="0">
    <w:nsid w:val="1C5F07A7"/>
    <w:multiLevelType w:val="hybridMultilevel"/>
    <w:tmpl w:val="FFFFFFFF"/>
    <w:lvl w:ilvl="0" w:tplc="19D42554">
      <w:start w:val="1"/>
      <w:numFmt w:val="bullet"/>
      <w:lvlText w:val=""/>
      <w:lvlJc w:val="left"/>
      <w:pPr>
        <w:ind w:left="720" w:hanging="360"/>
      </w:pPr>
      <w:rPr>
        <w:rFonts w:ascii="Symbol" w:hAnsi="Symbol" w:hint="default"/>
      </w:rPr>
    </w:lvl>
    <w:lvl w:ilvl="1" w:tplc="4B8CCDB6">
      <w:start w:val="1"/>
      <w:numFmt w:val="bullet"/>
      <w:lvlText w:val="o"/>
      <w:lvlJc w:val="left"/>
      <w:pPr>
        <w:ind w:left="1440" w:hanging="360"/>
      </w:pPr>
      <w:rPr>
        <w:rFonts w:ascii="Courier New" w:hAnsi="Courier New" w:hint="default"/>
      </w:rPr>
    </w:lvl>
    <w:lvl w:ilvl="2" w:tplc="760ABBB6">
      <w:start w:val="1"/>
      <w:numFmt w:val="bullet"/>
      <w:lvlText w:val=""/>
      <w:lvlJc w:val="left"/>
      <w:pPr>
        <w:ind w:left="2160" w:hanging="360"/>
      </w:pPr>
      <w:rPr>
        <w:rFonts w:ascii="Wingdings" w:hAnsi="Wingdings" w:hint="default"/>
      </w:rPr>
    </w:lvl>
    <w:lvl w:ilvl="3" w:tplc="C3924AC2">
      <w:start w:val="1"/>
      <w:numFmt w:val="bullet"/>
      <w:lvlText w:val=""/>
      <w:lvlJc w:val="left"/>
      <w:pPr>
        <w:ind w:left="2880" w:hanging="360"/>
      </w:pPr>
      <w:rPr>
        <w:rFonts w:ascii="Symbol" w:hAnsi="Symbol" w:hint="default"/>
      </w:rPr>
    </w:lvl>
    <w:lvl w:ilvl="4" w:tplc="47388F2E">
      <w:start w:val="1"/>
      <w:numFmt w:val="bullet"/>
      <w:lvlText w:val="o"/>
      <w:lvlJc w:val="left"/>
      <w:pPr>
        <w:ind w:left="3600" w:hanging="360"/>
      </w:pPr>
      <w:rPr>
        <w:rFonts w:ascii="Courier New" w:hAnsi="Courier New" w:hint="default"/>
      </w:rPr>
    </w:lvl>
    <w:lvl w:ilvl="5" w:tplc="5E60E7E6">
      <w:start w:val="1"/>
      <w:numFmt w:val="bullet"/>
      <w:lvlText w:val=""/>
      <w:lvlJc w:val="left"/>
      <w:pPr>
        <w:ind w:left="4320" w:hanging="360"/>
      </w:pPr>
      <w:rPr>
        <w:rFonts w:ascii="Wingdings" w:hAnsi="Wingdings" w:hint="default"/>
      </w:rPr>
    </w:lvl>
    <w:lvl w:ilvl="6" w:tplc="26DACE06">
      <w:start w:val="1"/>
      <w:numFmt w:val="bullet"/>
      <w:lvlText w:val=""/>
      <w:lvlJc w:val="left"/>
      <w:pPr>
        <w:ind w:left="5040" w:hanging="360"/>
      </w:pPr>
      <w:rPr>
        <w:rFonts w:ascii="Symbol" w:hAnsi="Symbol" w:hint="default"/>
      </w:rPr>
    </w:lvl>
    <w:lvl w:ilvl="7" w:tplc="61F6B132">
      <w:start w:val="1"/>
      <w:numFmt w:val="bullet"/>
      <w:lvlText w:val="o"/>
      <w:lvlJc w:val="left"/>
      <w:pPr>
        <w:ind w:left="5760" w:hanging="360"/>
      </w:pPr>
      <w:rPr>
        <w:rFonts w:ascii="Courier New" w:hAnsi="Courier New" w:hint="default"/>
      </w:rPr>
    </w:lvl>
    <w:lvl w:ilvl="8" w:tplc="712E64F8">
      <w:start w:val="1"/>
      <w:numFmt w:val="bullet"/>
      <w:lvlText w:val=""/>
      <w:lvlJc w:val="left"/>
      <w:pPr>
        <w:ind w:left="6480" w:hanging="360"/>
      </w:pPr>
      <w:rPr>
        <w:rFonts w:ascii="Wingdings" w:hAnsi="Wingdings" w:hint="default"/>
      </w:rPr>
    </w:lvl>
  </w:abstractNum>
  <w:abstractNum w:abstractNumId="9" w15:restartNumberingAfterBreak="0">
    <w:nsid w:val="20257588"/>
    <w:multiLevelType w:val="hybridMultilevel"/>
    <w:tmpl w:val="43B86618"/>
    <w:lvl w:ilvl="0" w:tplc="040A0001">
      <w:start w:val="1"/>
      <w:numFmt w:val="bullet"/>
      <w:lvlText w:val=""/>
      <w:lvlJc w:val="left"/>
      <w:pPr>
        <w:ind w:left="783" w:hanging="360"/>
      </w:pPr>
      <w:rPr>
        <w:rFonts w:ascii="Symbol" w:hAnsi="Symbol" w:hint="default"/>
      </w:rPr>
    </w:lvl>
    <w:lvl w:ilvl="1" w:tplc="040A0003" w:tentative="1">
      <w:start w:val="1"/>
      <w:numFmt w:val="bullet"/>
      <w:lvlText w:val="o"/>
      <w:lvlJc w:val="left"/>
      <w:pPr>
        <w:ind w:left="1503" w:hanging="360"/>
      </w:pPr>
      <w:rPr>
        <w:rFonts w:ascii="Courier New" w:hAnsi="Courier New" w:cs="Courier New" w:hint="default"/>
      </w:rPr>
    </w:lvl>
    <w:lvl w:ilvl="2" w:tplc="040A0005" w:tentative="1">
      <w:start w:val="1"/>
      <w:numFmt w:val="bullet"/>
      <w:lvlText w:val=""/>
      <w:lvlJc w:val="left"/>
      <w:pPr>
        <w:ind w:left="2223" w:hanging="360"/>
      </w:pPr>
      <w:rPr>
        <w:rFonts w:ascii="Wingdings" w:hAnsi="Wingdings" w:hint="default"/>
      </w:rPr>
    </w:lvl>
    <w:lvl w:ilvl="3" w:tplc="040A0001" w:tentative="1">
      <w:start w:val="1"/>
      <w:numFmt w:val="bullet"/>
      <w:lvlText w:val=""/>
      <w:lvlJc w:val="left"/>
      <w:pPr>
        <w:ind w:left="2943" w:hanging="360"/>
      </w:pPr>
      <w:rPr>
        <w:rFonts w:ascii="Symbol" w:hAnsi="Symbol" w:hint="default"/>
      </w:rPr>
    </w:lvl>
    <w:lvl w:ilvl="4" w:tplc="040A0003" w:tentative="1">
      <w:start w:val="1"/>
      <w:numFmt w:val="bullet"/>
      <w:lvlText w:val="o"/>
      <w:lvlJc w:val="left"/>
      <w:pPr>
        <w:ind w:left="3663" w:hanging="360"/>
      </w:pPr>
      <w:rPr>
        <w:rFonts w:ascii="Courier New" w:hAnsi="Courier New" w:cs="Courier New" w:hint="default"/>
      </w:rPr>
    </w:lvl>
    <w:lvl w:ilvl="5" w:tplc="040A0005" w:tentative="1">
      <w:start w:val="1"/>
      <w:numFmt w:val="bullet"/>
      <w:lvlText w:val=""/>
      <w:lvlJc w:val="left"/>
      <w:pPr>
        <w:ind w:left="4383" w:hanging="360"/>
      </w:pPr>
      <w:rPr>
        <w:rFonts w:ascii="Wingdings" w:hAnsi="Wingdings" w:hint="default"/>
      </w:rPr>
    </w:lvl>
    <w:lvl w:ilvl="6" w:tplc="040A0001" w:tentative="1">
      <w:start w:val="1"/>
      <w:numFmt w:val="bullet"/>
      <w:lvlText w:val=""/>
      <w:lvlJc w:val="left"/>
      <w:pPr>
        <w:ind w:left="5103" w:hanging="360"/>
      </w:pPr>
      <w:rPr>
        <w:rFonts w:ascii="Symbol" w:hAnsi="Symbol" w:hint="default"/>
      </w:rPr>
    </w:lvl>
    <w:lvl w:ilvl="7" w:tplc="040A0003" w:tentative="1">
      <w:start w:val="1"/>
      <w:numFmt w:val="bullet"/>
      <w:lvlText w:val="o"/>
      <w:lvlJc w:val="left"/>
      <w:pPr>
        <w:ind w:left="5823" w:hanging="360"/>
      </w:pPr>
      <w:rPr>
        <w:rFonts w:ascii="Courier New" w:hAnsi="Courier New" w:cs="Courier New" w:hint="default"/>
      </w:rPr>
    </w:lvl>
    <w:lvl w:ilvl="8" w:tplc="040A0005" w:tentative="1">
      <w:start w:val="1"/>
      <w:numFmt w:val="bullet"/>
      <w:lvlText w:val=""/>
      <w:lvlJc w:val="left"/>
      <w:pPr>
        <w:ind w:left="6543" w:hanging="360"/>
      </w:pPr>
      <w:rPr>
        <w:rFonts w:ascii="Wingdings" w:hAnsi="Wingdings" w:hint="default"/>
      </w:rPr>
    </w:lvl>
  </w:abstractNum>
  <w:abstractNum w:abstractNumId="10" w15:restartNumberingAfterBreak="0">
    <w:nsid w:val="23FA54D9"/>
    <w:multiLevelType w:val="hybridMultilevel"/>
    <w:tmpl w:val="8CBEF740"/>
    <w:lvl w:ilvl="0" w:tplc="5AFE3EE6">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2634607D"/>
    <w:multiLevelType w:val="multilevel"/>
    <w:tmpl w:val="F22E5A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64567CE"/>
    <w:multiLevelType w:val="hybridMultilevel"/>
    <w:tmpl w:val="314E090A"/>
    <w:lvl w:ilvl="0" w:tplc="F8C087D4">
      <w:start w:val="2"/>
      <w:numFmt w:val="bullet"/>
      <w:lvlText w:val="-"/>
      <w:lvlJc w:val="left"/>
      <w:pPr>
        <w:ind w:left="720" w:hanging="360"/>
      </w:pPr>
      <w:rPr>
        <w:rFonts w:ascii="Arial" w:eastAsiaTheme="minorHAnsi" w:hAnsi="Arial" w:cs="Aria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3" w15:restartNumberingAfterBreak="0">
    <w:nsid w:val="26F7040B"/>
    <w:multiLevelType w:val="hybridMultilevel"/>
    <w:tmpl w:val="83FE286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273E29E9"/>
    <w:multiLevelType w:val="hybridMultilevel"/>
    <w:tmpl w:val="A3E065D4"/>
    <w:lvl w:ilvl="0" w:tplc="3B6AC762">
      <w:start w:val="2"/>
      <w:numFmt w:val="lowerLetter"/>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5" w15:restartNumberingAfterBreak="0">
    <w:nsid w:val="2AAF356C"/>
    <w:multiLevelType w:val="hybridMultilevel"/>
    <w:tmpl w:val="50BEE04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2AB63D92"/>
    <w:multiLevelType w:val="hybridMultilevel"/>
    <w:tmpl w:val="9B20B3A6"/>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7" w15:restartNumberingAfterBreak="0">
    <w:nsid w:val="2AF9D681"/>
    <w:multiLevelType w:val="hybridMultilevel"/>
    <w:tmpl w:val="D1180B82"/>
    <w:lvl w:ilvl="0" w:tplc="FB1AB636">
      <w:start w:val="1"/>
      <w:numFmt w:val="bullet"/>
      <w:lvlText w:val=""/>
      <w:lvlJc w:val="left"/>
      <w:pPr>
        <w:ind w:left="720" w:hanging="360"/>
      </w:pPr>
      <w:rPr>
        <w:rFonts w:ascii="Symbol" w:hAnsi="Symbol" w:hint="default"/>
      </w:rPr>
    </w:lvl>
    <w:lvl w:ilvl="1" w:tplc="DA28DE74">
      <w:start w:val="1"/>
      <w:numFmt w:val="bullet"/>
      <w:lvlText w:val="o"/>
      <w:lvlJc w:val="left"/>
      <w:pPr>
        <w:ind w:left="1440" w:hanging="360"/>
      </w:pPr>
      <w:rPr>
        <w:rFonts w:ascii="Courier New" w:hAnsi="Courier New" w:hint="default"/>
      </w:rPr>
    </w:lvl>
    <w:lvl w:ilvl="2" w:tplc="C44E7150">
      <w:start w:val="1"/>
      <w:numFmt w:val="bullet"/>
      <w:lvlText w:val=""/>
      <w:lvlJc w:val="left"/>
      <w:pPr>
        <w:ind w:left="2160" w:hanging="360"/>
      </w:pPr>
      <w:rPr>
        <w:rFonts w:ascii="Wingdings" w:hAnsi="Wingdings" w:hint="default"/>
      </w:rPr>
    </w:lvl>
    <w:lvl w:ilvl="3" w:tplc="6C988984">
      <w:start w:val="1"/>
      <w:numFmt w:val="bullet"/>
      <w:lvlText w:val=""/>
      <w:lvlJc w:val="left"/>
      <w:pPr>
        <w:ind w:left="2880" w:hanging="360"/>
      </w:pPr>
      <w:rPr>
        <w:rFonts w:ascii="Symbol" w:hAnsi="Symbol" w:hint="default"/>
      </w:rPr>
    </w:lvl>
    <w:lvl w:ilvl="4" w:tplc="1EFE4F1A">
      <w:start w:val="1"/>
      <w:numFmt w:val="bullet"/>
      <w:lvlText w:val="o"/>
      <w:lvlJc w:val="left"/>
      <w:pPr>
        <w:ind w:left="3600" w:hanging="360"/>
      </w:pPr>
      <w:rPr>
        <w:rFonts w:ascii="Courier New" w:hAnsi="Courier New" w:hint="default"/>
      </w:rPr>
    </w:lvl>
    <w:lvl w:ilvl="5" w:tplc="2A206A5A">
      <w:start w:val="1"/>
      <w:numFmt w:val="bullet"/>
      <w:lvlText w:val=""/>
      <w:lvlJc w:val="left"/>
      <w:pPr>
        <w:ind w:left="4320" w:hanging="360"/>
      </w:pPr>
      <w:rPr>
        <w:rFonts w:ascii="Wingdings" w:hAnsi="Wingdings" w:hint="default"/>
      </w:rPr>
    </w:lvl>
    <w:lvl w:ilvl="6" w:tplc="94D402C2">
      <w:start w:val="1"/>
      <w:numFmt w:val="bullet"/>
      <w:lvlText w:val=""/>
      <w:lvlJc w:val="left"/>
      <w:pPr>
        <w:ind w:left="5040" w:hanging="360"/>
      </w:pPr>
      <w:rPr>
        <w:rFonts w:ascii="Symbol" w:hAnsi="Symbol" w:hint="default"/>
      </w:rPr>
    </w:lvl>
    <w:lvl w:ilvl="7" w:tplc="2B606074">
      <w:start w:val="1"/>
      <w:numFmt w:val="bullet"/>
      <w:lvlText w:val="o"/>
      <w:lvlJc w:val="left"/>
      <w:pPr>
        <w:ind w:left="5760" w:hanging="360"/>
      </w:pPr>
      <w:rPr>
        <w:rFonts w:ascii="Courier New" w:hAnsi="Courier New" w:hint="default"/>
      </w:rPr>
    </w:lvl>
    <w:lvl w:ilvl="8" w:tplc="AC62C980">
      <w:start w:val="1"/>
      <w:numFmt w:val="bullet"/>
      <w:lvlText w:val=""/>
      <w:lvlJc w:val="left"/>
      <w:pPr>
        <w:ind w:left="6480" w:hanging="360"/>
      </w:pPr>
      <w:rPr>
        <w:rFonts w:ascii="Wingdings" w:hAnsi="Wingdings" w:hint="default"/>
      </w:rPr>
    </w:lvl>
  </w:abstractNum>
  <w:abstractNum w:abstractNumId="18" w15:restartNumberingAfterBreak="0">
    <w:nsid w:val="2B57535D"/>
    <w:multiLevelType w:val="hybridMultilevel"/>
    <w:tmpl w:val="BFA474EC"/>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9" w15:restartNumberingAfterBreak="0">
    <w:nsid w:val="2C4B637F"/>
    <w:multiLevelType w:val="hybridMultilevel"/>
    <w:tmpl w:val="AADE7DE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0" w15:restartNumberingAfterBreak="0">
    <w:nsid w:val="2D19412A"/>
    <w:multiLevelType w:val="hybridMultilevel"/>
    <w:tmpl w:val="54B89FD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2DC002B6"/>
    <w:multiLevelType w:val="hybridMultilevel"/>
    <w:tmpl w:val="FD86C12C"/>
    <w:lvl w:ilvl="0" w:tplc="31841EBC">
      <w:start w:val="1"/>
      <w:numFmt w:val="bullet"/>
      <w:lvlText w:val=""/>
      <w:lvlJc w:val="left"/>
      <w:pPr>
        <w:ind w:left="720" w:hanging="360"/>
      </w:pPr>
      <w:rPr>
        <w:rFonts w:ascii="Symbol" w:hAnsi="Symbol" w:hint="default"/>
      </w:rPr>
    </w:lvl>
    <w:lvl w:ilvl="1" w:tplc="8C1C70AC">
      <w:start w:val="1"/>
      <w:numFmt w:val="bullet"/>
      <w:lvlText w:val="o"/>
      <w:lvlJc w:val="left"/>
      <w:pPr>
        <w:ind w:left="1440" w:hanging="360"/>
      </w:pPr>
      <w:rPr>
        <w:rFonts w:ascii="Courier New" w:hAnsi="Courier New" w:hint="default"/>
      </w:rPr>
    </w:lvl>
    <w:lvl w:ilvl="2" w:tplc="05C80B44">
      <w:start w:val="1"/>
      <w:numFmt w:val="bullet"/>
      <w:lvlText w:val=""/>
      <w:lvlJc w:val="left"/>
      <w:pPr>
        <w:ind w:left="2160" w:hanging="360"/>
      </w:pPr>
      <w:rPr>
        <w:rFonts w:ascii="Wingdings" w:hAnsi="Wingdings" w:hint="default"/>
      </w:rPr>
    </w:lvl>
    <w:lvl w:ilvl="3" w:tplc="727ED34A">
      <w:start w:val="1"/>
      <w:numFmt w:val="bullet"/>
      <w:lvlText w:val=""/>
      <w:lvlJc w:val="left"/>
      <w:pPr>
        <w:ind w:left="2880" w:hanging="360"/>
      </w:pPr>
      <w:rPr>
        <w:rFonts w:ascii="Symbol" w:hAnsi="Symbol" w:hint="default"/>
      </w:rPr>
    </w:lvl>
    <w:lvl w:ilvl="4" w:tplc="48BCEA42">
      <w:start w:val="1"/>
      <w:numFmt w:val="bullet"/>
      <w:lvlText w:val="o"/>
      <w:lvlJc w:val="left"/>
      <w:pPr>
        <w:ind w:left="3600" w:hanging="360"/>
      </w:pPr>
      <w:rPr>
        <w:rFonts w:ascii="Courier New" w:hAnsi="Courier New" w:hint="default"/>
      </w:rPr>
    </w:lvl>
    <w:lvl w:ilvl="5" w:tplc="8DF0A6A6">
      <w:start w:val="1"/>
      <w:numFmt w:val="bullet"/>
      <w:lvlText w:val=""/>
      <w:lvlJc w:val="left"/>
      <w:pPr>
        <w:ind w:left="4320" w:hanging="360"/>
      </w:pPr>
      <w:rPr>
        <w:rFonts w:ascii="Wingdings" w:hAnsi="Wingdings" w:hint="default"/>
      </w:rPr>
    </w:lvl>
    <w:lvl w:ilvl="6" w:tplc="A83EC8DC">
      <w:start w:val="1"/>
      <w:numFmt w:val="bullet"/>
      <w:lvlText w:val=""/>
      <w:lvlJc w:val="left"/>
      <w:pPr>
        <w:ind w:left="5040" w:hanging="360"/>
      </w:pPr>
      <w:rPr>
        <w:rFonts w:ascii="Symbol" w:hAnsi="Symbol" w:hint="default"/>
      </w:rPr>
    </w:lvl>
    <w:lvl w:ilvl="7" w:tplc="4736737A">
      <w:start w:val="1"/>
      <w:numFmt w:val="bullet"/>
      <w:lvlText w:val="o"/>
      <w:lvlJc w:val="left"/>
      <w:pPr>
        <w:ind w:left="5760" w:hanging="360"/>
      </w:pPr>
      <w:rPr>
        <w:rFonts w:ascii="Courier New" w:hAnsi="Courier New" w:hint="default"/>
      </w:rPr>
    </w:lvl>
    <w:lvl w:ilvl="8" w:tplc="A378E42C">
      <w:start w:val="1"/>
      <w:numFmt w:val="bullet"/>
      <w:lvlText w:val=""/>
      <w:lvlJc w:val="left"/>
      <w:pPr>
        <w:ind w:left="6480" w:hanging="360"/>
      </w:pPr>
      <w:rPr>
        <w:rFonts w:ascii="Wingdings" w:hAnsi="Wingdings" w:hint="default"/>
      </w:rPr>
    </w:lvl>
  </w:abstractNum>
  <w:abstractNum w:abstractNumId="22" w15:restartNumberingAfterBreak="0">
    <w:nsid w:val="2DFFDEB1"/>
    <w:multiLevelType w:val="hybridMultilevel"/>
    <w:tmpl w:val="FFFFFFFF"/>
    <w:lvl w:ilvl="0" w:tplc="FF2859B0">
      <w:start w:val="1"/>
      <w:numFmt w:val="bullet"/>
      <w:lvlText w:val="-"/>
      <w:lvlJc w:val="left"/>
      <w:pPr>
        <w:ind w:left="720" w:hanging="360"/>
      </w:pPr>
      <w:rPr>
        <w:rFonts w:ascii="Aptos" w:hAnsi="Aptos" w:hint="default"/>
      </w:rPr>
    </w:lvl>
    <w:lvl w:ilvl="1" w:tplc="0B5E676A">
      <w:start w:val="1"/>
      <w:numFmt w:val="bullet"/>
      <w:lvlText w:val="o"/>
      <w:lvlJc w:val="left"/>
      <w:pPr>
        <w:ind w:left="1440" w:hanging="360"/>
      </w:pPr>
      <w:rPr>
        <w:rFonts w:ascii="Courier New" w:hAnsi="Courier New" w:hint="default"/>
      </w:rPr>
    </w:lvl>
    <w:lvl w:ilvl="2" w:tplc="C1CA1538">
      <w:start w:val="1"/>
      <w:numFmt w:val="bullet"/>
      <w:lvlText w:val=""/>
      <w:lvlJc w:val="left"/>
      <w:pPr>
        <w:ind w:left="2160" w:hanging="360"/>
      </w:pPr>
      <w:rPr>
        <w:rFonts w:ascii="Wingdings" w:hAnsi="Wingdings" w:hint="default"/>
      </w:rPr>
    </w:lvl>
    <w:lvl w:ilvl="3" w:tplc="5712D9F4">
      <w:start w:val="1"/>
      <w:numFmt w:val="bullet"/>
      <w:lvlText w:val=""/>
      <w:lvlJc w:val="left"/>
      <w:pPr>
        <w:ind w:left="2880" w:hanging="360"/>
      </w:pPr>
      <w:rPr>
        <w:rFonts w:ascii="Symbol" w:hAnsi="Symbol" w:hint="default"/>
      </w:rPr>
    </w:lvl>
    <w:lvl w:ilvl="4" w:tplc="EC6C77C4">
      <w:start w:val="1"/>
      <w:numFmt w:val="bullet"/>
      <w:lvlText w:val="o"/>
      <w:lvlJc w:val="left"/>
      <w:pPr>
        <w:ind w:left="3600" w:hanging="360"/>
      </w:pPr>
      <w:rPr>
        <w:rFonts w:ascii="Courier New" w:hAnsi="Courier New" w:hint="default"/>
      </w:rPr>
    </w:lvl>
    <w:lvl w:ilvl="5" w:tplc="FBA814AE">
      <w:start w:val="1"/>
      <w:numFmt w:val="bullet"/>
      <w:lvlText w:val=""/>
      <w:lvlJc w:val="left"/>
      <w:pPr>
        <w:ind w:left="4320" w:hanging="360"/>
      </w:pPr>
      <w:rPr>
        <w:rFonts w:ascii="Wingdings" w:hAnsi="Wingdings" w:hint="default"/>
      </w:rPr>
    </w:lvl>
    <w:lvl w:ilvl="6" w:tplc="AA5064AE">
      <w:start w:val="1"/>
      <w:numFmt w:val="bullet"/>
      <w:lvlText w:val=""/>
      <w:lvlJc w:val="left"/>
      <w:pPr>
        <w:ind w:left="5040" w:hanging="360"/>
      </w:pPr>
      <w:rPr>
        <w:rFonts w:ascii="Symbol" w:hAnsi="Symbol" w:hint="default"/>
      </w:rPr>
    </w:lvl>
    <w:lvl w:ilvl="7" w:tplc="FA1A50C4">
      <w:start w:val="1"/>
      <w:numFmt w:val="bullet"/>
      <w:lvlText w:val="o"/>
      <w:lvlJc w:val="left"/>
      <w:pPr>
        <w:ind w:left="5760" w:hanging="360"/>
      </w:pPr>
      <w:rPr>
        <w:rFonts w:ascii="Courier New" w:hAnsi="Courier New" w:hint="default"/>
      </w:rPr>
    </w:lvl>
    <w:lvl w:ilvl="8" w:tplc="CA78E144">
      <w:start w:val="1"/>
      <w:numFmt w:val="bullet"/>
      <w:lvlText w:val=""/>
      <w:lvlJc w:val="left"/>
      <w:pPr>
        <w:ind w:left="6480" w:hanging="360"/>
      </w:pPr>
      <w:rPr>
        <w:rFonts w:ascii="Wingdings" w:hAnsi="Wingdings" w:hint="default"/>
      </w:rPr>
    </w:lvl>
  </w:abstractNum>
  <w:abstractNum w:abstractNumId="23" w15:restartNumberingAfterBreak="0">
    <w:nsid w:val="30601F1F"/>
    <w:multiLevelType w:val="hybridMultilevel"/>
    <w:tmpl w:val="24FA0D4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3408629E"/>
    <w:multiLevelType w:val="hybridMultilevel"/>
    <w:tmpl w:val="1D78D920"/>
    <w:lvl w:ilvl="0" w:tplc="4588D7F2">
      <w:start w:val="1"/>
      <w:numFmt w:val="bullet"/>
      <w:lvlText w:val="§"/>
      <w:lvlJc w:val="left"/>
      <w:pPr>
        <w:tabs>
          <w:tab w:val="num" w:pos="720"/>
        </w:tabs>
        <w:ind w:left="720" w:hanging="360"/>
      </w:pPr>
      <w:rPr>
        <w:rFonts w:ascii="Wingdings" w:hAnsi="Wingdings" w:hint="default"/>
      </w:rPr>
    </w:lvl>
    <w:lvl w:ilvl="1" w:tplc="11FE9E2A" w:tentative="1">
      <w:start w:val="1"/>
      <w:numFmt w:val="bullet"/>
      <w:lvlText w:val="§"/>
      <w:lvlJc w:val="left"/>
      <w:pPr>
        <w:tabs>
          <w:tab w:val="num" w:pos="1440"/>
        </w:tabs>
        <w:ind w:left="1440" w:hanging="360"/>
      </w:pPr>
      <w:rPr>
        <w:rFonts w:ascii="Wingdings" w:hAnsi="Wingdings" w:hint="default"/>
      </w:rPr>
    </w:lvl>
    <w:lvl w:ilvl="2" w:tplc="5C988BC8" w:tentative="1">
      <w:start w:val="1"/>
      <w:numFmt w:val="bullet"/>
      <w:lvlText w:val="§"/>
      <w:lvlJc w:val="left"/>
      <w:pPr>
        <w:tabs>
          <w:tab w:val="num" w:pos="2160"/>
        </w:tabs>
        <w:ind w:left="2160" w:hanging="360"/>
      </w:pPr>
      <w:rPr>
        <w:rFonts w:ascii="Wingdings" w:hAnsi="Wingdings" w:hint="default"/>
      </w:rPr>
    </w:lvl>
    <w:lvl w:ilvl="3" w:tplc="F4DC2A18" w:tentative="1">
      <w:start w:val="1"/>
      <w:numFmt w:val="bullet"/>
      <w:lvlText w:val="§"/>
      <w:lvlJc w:val="left"/>
      <w:pPr>
        <w:tabs>
          <w:tab w:val="num" w:pos="2880"/>
        </w:tabs>
        <w:ind w:left="2880" w:hanging="360"/>
      </w:pPr>
      <w:rPr>
        <w:rFonts w:ascii="Wingdings" w:hAnsi="Wingdings" w:hint="default"/>
      </w:rPr>
    </w:lvl>
    <w:lvl w:ilvl="4" w:tplc="352087DC" w:tentative="1">
      <w:start w:val="1"/>
      <w:numFmt w:val="bullet"/>
      <w:lvlText w:val="§"/>
      <w:lvlJc w:val="left"/>
      <w:pPr>
        <w:tabs>
          <w:tab w:val="num" w:pos="3600"/>
        </w:tabs>
        <w:ind w:left="3600" w:hanging="360"/>
      </w:pPr>
      <w:rPr>
        <w:rFonts w:ascii="Wingdings" w:hAnsi="Wingdings" w:hint="default"/>
      </w:rPr>
    </w:lvl>
    <w:lvl w:ilvl="5" w:tplc="8DFA1F04" w:tentative="1">
      <w:start w:val="1"/>
      <w:numFmt w:val="bullet"/>
      <w:lvlText w:val="§"/>
      <w:lvlJc w:val="left"/>
      <w:pPr>
        <w:tabs>
          <w:tab w:val="num" w:pos="4320"/>
        </w:tabs>
        <w:ind w:left="4320" w:hanging="360"/>
      </w:pPr>
      <w:rPr>
        <w:rFonts w:ascii="Wingdings" w:hAnsi="Wingdings" w:hint="default"/>
      </w:rPr>
    </w:lvl>
    <w:lvl w:ilvl="6" w:tplc="2DD231A2" w:tentative="1">
      <w:start w:val="1"/>
      <w:numFmt w:val="bullet"/>
      <w:lvlText w:val="§"/>
      <w:lvlJc w:val="left"/>
      <w:pPr>
        <w:tabs>
          <w:tab w:val="num" w:pos="5040"/>
        </w:tabs>
        <w:ind w:left="5040" w:hanging="360"/>
      </w:pPr>
      <w:rPr>
        <w:rFonts w:ascii="Wingdings" w:hAnsi="Wingdings" w:hint="default"/>
      </w:rPr>
    </w:lvl>
    <w:lvl w:ilvl="7" w:tplc="A52870C6" w:tentative="1">
      <w:start w:val="1"/>
      <w:numFmt w:val="bullet"/>
      <w:lvlText w:val="§"/>
      <w:lvlJc w:val="left"/>
      <w:pPr>
        <w:tabs>
          <w:tab w:val="num" w:pos="5760"/>
        </w:tabs>
        <w:ind w:left="5760" w:hanging="360"/>
      </w:pPr>
      <w:rPr>
        <w:rFonts w:ascii="Wingdings" w:hAnsi="Wingdings" w:hint="default"/>
      </w:rPr>
    </w:lvl>
    <w:lvl w:ilvl="8" w:tplc="C422F496"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1056AF"/>
    <w:multiLevelType w:val="hybridMultilevel"/>
    <w:tmpl w:val="689CA52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379B686B"/>
    <w:multiLevelType w:val="hybridMultilevel"/>
    <w:tmpl w:val="8B7E095C"/>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7" w15:restartNumberingAfterBreak="0">
    <w:nsid w:val="39FD50BA"/>
    <w:multiLevelType w:val="hybridMultilevel"/>
    <w:tmpl w:val="86529E88"/>
    <w:lvl w:ilvl="0" w:tplc="558E83A4">
      <w:start w:val="1"/>
      <w:numFmt w:val="bullet"/>
      <w:lvlText w:val="•"/>
      <w:lvlJc w:val="left"/>
      <w:pPr>
        <w:tabs>
          <w:tab w:val="num" w:pos="720"/>
        </w:tabs>
        <w:ind w:left="720" w:hanging="360"/>
      </w:pPr>
      <w:rPr>
        <w:rFonts w:ascii="Arial" w:hAnsi="Arial" w:hint="default"/>
      </w:rPr>
    </w:lvl>
    <w:lvl w:ilvl="1" w:tplc="958E0F1E" w:tentative="1">
      <w:start w:val="1"/>
      <w:numFmt w:val="bullet"/>
      <w:lvlText w:val="•"/>
      <w:lvlJc w:val="left"/>
      <w:pPr>
        <w:tabs>
          <w:tab w:val="num" w:pos="1440"/>
        </w:tabs>
        <w:ind w:left="1440" w:hanging="360"/>
      </w:pPr>
      <w:rPr>
        <w:rFonts w:ascii="Arial" w:hAnsi="Arial" w:hint="default"/>
      </w:rPr>
    </w:lvl>
    <w:lvl w:ilvl="2" w:tplc="353A3CA2" w:tentative="1">
      <w:start w:val="1"/>
      <w:numFmt w:val="bullet"/>
      <w:lvlText w:val="•"/>
      <w:lvlJc w:val="left"/>
      <w:pPr>
        <w:tabs>
          <w:tab w:val="num" w:pos="2160"/>
        </w:tabs>
        <w:ind w:left="2160" w:hanging="360"/>
      </w:pPr>
      <w:rPr>
        <w:rFonts w:ascii="Arial" w:hAnsi="Arial" w:hint="default"/>
      </w:rPr>
    </w:lvl>
    <w:lvl w:ilvl="3" w:tplc="68FAC274" w:tentative="1">
      <w:start w:val="1"/>
      <w:numFmt w:val="bullet"/>
      <w:lvlText w:val="•"/>
      <w:lvlJc w:val="left"/>
      <w:pPr>
        <w:tabs>
          <w:tab w:val="num" w:pos="2880"/>
        </w:tabs>
        <w:ind w:left="2880" w:hanging="360"/>
      </w:pPr>
      <w:rPr>
        <w:rFonts w:ascii="Arial" w:hAnsi="Arial" w:hint="default"/>
      </w:rPr>
    </w:lvl>
    <w:lvl w:ilvl="4" w:tplc="699C11B0" w:tentative="1">
      <w:start w:val="1"/>
      <w:numFmt w:val="bullet"/>
      <w:lvlText w:val="•"/>
      <w:lvlJc w:val="left"/>
      <w:pPr>
        <w:tabs>
          <w:tab w:val="num" w:pos="3600"/>
        </w:tabs>
        <w:ind w:left="3600" w:hanging="360"/>
      </w:pPr>
      <w:rPr>
        <w:rFonts w:ascii="Arial" w:hAnsi="Arial" w:hint="default"/>
      </w:rPr>
    </w:lvl>
    <w:lvl w:ilvl="5" w:tplc="FC889A56" w:tentative="1">
      <w:start w:val="1"/>
      <w:numFmt w:val="bullet"/>
      <w:lvlText w:val="•"/>
      <w:lvlJc w:val="left"/>
      <w:pPr>
        <w:tabs>
          <w:tab w:val="num" w:pos="4320"/>
        </w:tabs>
        <w:ind w:left="4320" w:hanging="360"/>
      </w:pPr>
      <w:rPr>
        <w:rFonts w:ascii="Arial" w:hAnsi="Arial" w:hint="default"/>
      </w:rPr>
    </w:lvl>
    <w:lvl w:ilvl="6" w:tplc="55622B1C" w:tentative="1">
      <w:start w:val="1"/>
      <w:numFmt w:val="bullet"/>
      <w:lvlText w:val="•"/>
      <w:lvlJc w:val="left"/>
      <w:pPr>
        <w:tabs>
          <w:tab w:val="num" w:pos="5040"/>
        </w:tabs>
        <w:ind w:left="5040" w:hanging="360"/>
      </w:pPr>
      <w:rPr>
        <w:rFonts w:ascii="Arial" w:hAnsi="Arial" w:hint="default"/>
      </w:rPr>
    </w:lvl>
    <w:lvl w:ilvl="7" w:tplc="21DC498E" w:tentative="1">
      <w:start w:val="1"/>
      <w:numFmt w:val="bullet"/>
      <w:lvlText w:val="•"/>
      <w:lvlJc w:val="left"/>
      <w:pPr>
        <w:tabs>
          <w:tab w:val="num" w:pos="5760"/>
        </w:tabs>
        <w:ind w:left="5760" w:hanging="360"/>
      </w:pPr>
      <w:rPr>
        <w:rFonts w:ascii="Arial" w:hAnsi="Arial" w:hint="default"/>
      </w:rPr>
    </w:lvl>
    <w:lvl w:ilvl="8" w:tplc="1E9C9CFE"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BD920D2"/>
    <w:multiLevelType w:val="hybridMultilevel"/>
    <w:tmpl w:val="AE601088"/>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9" w15:restartNumberingAfterBreak="0">
    <w:nsid w:val="3D704408"/>
    <w:multiLevelType w:val="hybridMultilevel"/>
    <w:tmpl w:val="FD8A220A"/>
    <w:lvl w:ilvl="0" w:tplc="702E1488">
      <w:start w:val="1"/>
      <w:numFmt w:val="low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0" w15:restartNumberingAfterBreak="0">
    <w:nsid w:val="3DCD2FF1"/>
    <w:multiLevelType w:val="hybridMultilevel"/>
    <w:tmpl w:val="84C4F346"/>
    <w:lvl w:ilvl="0" w:tplc="040A0011">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1" w15:restartNumberingAfterBreak="0">
    <w:nsid w:val="418433AF"/>
    <w:multiLevelType w:val="multilevel"/>
    <w:tmpl w:val="FBE08E46"/>
    <w:lvl w:ilvl="0">
      <w:start w:val="1"/>
      <w:numFmt w:val="lowerLetter"/>
      <w:lvlText w:val="%1."/>
      <w:lvlJc w:val="left"/>
      <w:pPr>
        <w:tabs>
          <w:tab w:val="num" w:pos="1068"/>
        </w:tabs>
        <w:ind w:left="1068" w:hanging="360"/>
      </w:pPr>
      <w:rPr>
        <w:rFonts w:ascii="Arial" w:eastAsiaTheme="minorHAnsi" w:hAnsi="Arial" w:cs="Arial"/>
        <w:sz w:val="24"/>
        <w:szCs w:val="24"/>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32" w15:restartNumberingAfterBreak="0">
    <w:nsid w:val="42404418"/>
    <w:multiLevelType w:val="hybridMultilevel"/>
    <w:tmpl w:val="FED2685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44662D4C"/>
    <w:multiLevelType w:val="hybridMultilevel"/>
    <w:tmpl w:val="CEE60A20"/>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4" w15:restartNumberingAfterBreak="0">
    <w:nsid w:val="44886108"/>
    <w:multiLevelType w:val="hybridMultilevel"/>
    <w:tmpl w:val="56A21D2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15:restartNumberingAfterBreak="0">
    <w:nsid w:val="455168C1"/>
    <w:multiLevelType w:val="hybridMultilevel"/>
    <w:tmpl w:val="DE341142"/>
    <w:lvl w:ilvl="0" w:tplc="5AFE3EE6">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15:restartNumberingAfterBreak="0">
    <w:nsid w:val="4A5F6289"/>
    <w:multiLevelType w:val="hybridMultilevel"/>
    <w:tmpl w:val="EB747AA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4D5E50A8"/>
    <w:multiLevelType w:val="hybridMultilevel"/>
    <w:tmpl w:val="43766910"/>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4EA71C90"/>
    <w:multiLevelType w:val="hybridMultilevel"/>
    <w:tmpl w:val="DCD45D7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9" w15:restartNumberingAfterBreak="0">
    <w:nsid w:val="4F717A0E"/>
    <w:multiLevelType w:val="hybridMultilevel"/>
    <w:tmpl w:val="8CEA9918"/>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0" w15:restartNumberingAfterBreak="0">
    <w:nsid w:val="50924841"/>
    <w:multiLevelType w:val="hybridMultilevel"/>
    <w:tmpl w:val="5630F60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 w15:restartNumberingAfterBreak="0">
    <w:nsid w:val="53A529B4"/>
    <w:multiLevelType w:val="hybridMultilevel"/>
    <w:tmpl w:val="12966A2E"/>
    <w:lvl w:ilvl="0" w:tplc="040A0017">
      <w:start w:val="1"/>
      <w:numFmt w:val="lowerLetter"/>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42" w15:restartNumberingAfterBreak="0">
    <w:nsid w:val="55794886"/>
    <w:multiLevelType w:val="hybridMultilevel"/>
    <w:tmpl w:val="B5AAB9F8"/>
    <w:lvl w:ilvl="0" w:tplc="BF50EC02">
      <w:start w:val="2"/>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3" w15:restartNumberingAfterBreak="0">
    <w:nsid w:val="56F23EB6"/>
    <w:multiLevelType w:val="hybridMultilevel"/>
    <w:tmpl w:val="C9BE3C76"/>
    <w:lvl w:ilvl="0" w:tplc="040A0001">
      <w:start w:val="1"/>
      <w:numFmt w:val="bullet"/>
      <w:lvlText w:val=""/>
      <w:lvlJc w:val="left"/>
      <w:pPr>
        <w:ind w:left="783" w:hanging="360"/>
      </w:pPr>
      <w:rPr>
        <w:rFonts w:ascii="Symbol" w:hAnsi="Symbol"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4" w15:restartNumberingAfterBreak="0">
    <w:nsid w:val="58FD27EF"/>
    <w:multiLevelType w:val="hybridMultilevel"/>
    <w:tmpl w:val="7D96414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5" w15:restartNumberingAfterBreak="0">
    <w:nsid w:val="59CA60E0"/>
    <w:multiLevelType w:val="hybridMultilevel"/>
    <w:tmpl w:val="E346A174"/>
    <w:lvl w:ilvl="0" w:tplc="040A0017">
      <w:start w:val="1"/>
      <w:numFmt w:val="lowerLetter"/>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46" w15:restartNumberingAfterBreak="0">
    <w:nsid w:val="5A617630"/>
    <w:multiLevelType w:val="hybridMultilevel"/>
    <w:tmpl w:val="A9DCF10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7" w15:restartNumberingAfterBreak="0">
    <w:nsid w:val="5B0E50BE"/>
    <w:multiLevelType w:val="hybridMultilevel"/>
    <w:tmpl w:val="1DD872E8"/>
    <w:lvl w:ilvl="0" w:tplc="97DEC1BE">
      <w:start w:val="1"/>
      <w:numFmt w:val="bullet"/>
      <w:lvlText w:val=""/>
      <w:lvlJc w:val="left"/>
      <w:pPr>
        <w:ind w:left="720" w:hanging="360"/>
      </w:pPr>
      <w:rPr>
        <w:rFonts w:ascii="Symbol" w:hAnsi="Symbol" w:hint="default"/>
      </w:rPr>
    </w:lvl>
    <w:lvl w:ilvl="1" w:tplc="3F26E524">
      <w:start w:val="1"/>
      <w:numFmt w:val="bullet"/>
      <w:lvlText w:val="o"/>
      <w:lvlJc w:val="left"/>
      <w:pPr>
        <w:ind w:left="1440" w:hanging="360"/>
      </w:pPr>
      <w:rPr>
        <w:rFonts w:ascii="Courier New" w:hAnsi="Courier New" w:hint="default"/>
      </w:rPr>
    </w:lvl>
    <w:lvl w:ilvl="2" w:tplc="4484D972">
      <w:start w:val="1"/>
      <w:numFmt w:val="bullet"/>
      <w:lvlText w:val=""/>
      <w:lvlJc w:val="left"/>
      <w:pPr>
        <w:ind w:left="2160" w:hanging="360"/>
      </w:pPr>
      <w:rPr>
        <w:rFonts w:ascii="Wingdings" w:hAnsi="Wingdings" w:hint="default"/>
      </w:rPr>
    </w:lvl>
    <w:lvl w:ilvl="3" w:tplc="87CE5EEA">
      <w:start w:val="1"/>
      <w:numFmt w:val="bullet"/>
      <w:lvlText w:val=""/>
      <w:lvlJc w:val="left"/>
      <w:pPr>
        <w:ind w:left="2880" w:hanging="360"/>
      </w:pPr>
      <w:rPr>
        <w:rFonts w:ascii="Symbol" w:hAnsi="Symbol" w:hint="default"/>
      </w:rPr>
    </w:lvl>
    <w:lvl w:ilvl="4" w:tplc="8EAE346C">
      <w:start w:val="1"/>
      <w:numFmt w:val="bullet"/>
      <w:lvlText w:val="o"/>
      <w:lvlJc w:val="left"/>
      <w:pPr>
        <w:ind w:left="3600" w:hanging="360"/>
      </w:pPr>
      <w:rPr>
        <w:rFonts w:ascii="Courier New" w:hAnsi="Courier New" w:hint="default"/>
      </w:rPr>
    </w:lvl>
    <w:lvl w:ilvl="5" w:tplc="5A52574E">
      <w:start w:val="1"/>
      <w:numFmt w:val="bullet"/>
      <w:lvlText w:val=""/>
      <w:lvlJc w:val="left"/>
      <w:pPr>
        <w:ind w:left="4320" w:hanging="360"/>
      </w:pPr>
      <w:rPr>
        <w:rFonts w:ascii="Wingdings" w:hAnsi="Wingdings" w:hint="default"/>
      </w:rPr>
    </w:lvl>
    <w:lvl w:ilvl="6" w:tplc="E7A42972">
      <w:start w:val="1"/>
      <w:numFmt w:val="bullet"/>
      <w:lvlText w:val=""/>
      <w:lvlJc w:val="left"/>
      <w:pPr>
        <w:ind w:left="5040" w:hanging="360"/>
      </w:pPr>
      <w:rPr>
        <w:rFonts w:ascii="Symbol" w:hAnsi="Symbol" w:hint="default"/>
      </w:rPr>
    </w:lvl>
    <w:lvl w:ilvl="7" w:tplc="8800D16E">
      <w:start w:val="1"/>
      <w:numFmt w:val="bullet"/>
      <w:lvlText w:val="o"/>
      <w:lvlJc w:val="left"/>
      <w:pPr>
        <w:ind w:left="5760" w:hanging="360"/>
      </w:pPr>
      <w:rPr>
        <w:rFonts w:ascii="Courier New" w:hAnsi="Courier New" w:hint="default"/>
      </w:rPr>
    </w:lvl>
    <w:lvl w:ilvl="8" w:tplc="ECBEB416">
      <w:start w:val="1"/>
      <w:numFmt w:val="bullet"/>
      <w:lvlText w:val=""/>
      <w:lvlJc w:val="left"/>
      <w:pPr>
        <w:ind w:left="6480" w:hanging="360"/>
      </w:pPr>
      <w:rPr>
        <w:rFonts w:ascii="Wingdings" w:hAnsi="Wingdings" w:hint="default"/>
      </w:rPr>
    </w:lvl>
  </w:abstractNum>
  <w:abstractNum w:abstractNumId="48" w15:restartNumberingAfterBreak="0">
    <w:nsid w:val="5BD82A7E"/>
    <w:multiLevelType w:val="hybridMultilevel"/>
    <w:tmpl w:val="D4AC47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9" w15:restartNumberingAfterBreak="0">
    <w:nsid w:val="5ECC78CC"/>
    <w:multiLevelType w:val="hybridMultilevel"/>
    <w:tmpl w:val="E4BA658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0" w15:restartNumberingAfterBreak="0">
    <w:nsid w:val="61C174BF"/>
    <w:multiLevelType w:val="hybridMultilevel"/>
    <w:tmpl w:val="311695A8"/>
    <w:lvl w:ilvl="0" w:tplc="5712D9F4">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1" w15:restartNumberingAfterBreak="0">
    <w:nsid w:val="61F12A88"/>
    <w:multiLevelType w:val="hybridMultilevel"/>
    <w:tmpl w:val="B51EAE88"/>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2" w15:restartNumberingAfterBreak="0">
    <w:nsid w:val="63450C43"/>
    <w:multiLevelType w:val="hybridMultilevel"/>
    <w:tmpl w:val="4FCA5C90"/>
    <w:lvl w:ilvl="0" w:tplc="5AFE3EE6">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3" w15:restartNumberingAfterBreak="0">
    <w:nsid w:val="6A115C98"/>
    <w:multiLevelType w:val="hybridMultilevel"/>
    <w:tmpl w:val="1D60354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4" w15:restartNumberingAfterBreak="0">
    <w:nsid w:val="6A284826"/>
    <w:multiLevelType w:val="hybridMultilevel"/>
    <w:tmpl w:val="33F495A2"/>
    <w:lvl w:ilvl="0" w:tplc="5AFE3EE6">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5" w15:restartNumberingAfterBreak="0">
    <w:nsid w:val="6AC855CB"/>
    <w:multiLevelType w:val="hybridMultilevel"/>
    <w:tmpl w:val="19A4F34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6" w15:restartNumberingAfterBreak="0">
    <w:nsid w:val="6E003E07"/>
    <w:multiLevelType w:val="hybridMultilevel"/>
    <w:tmpl w:val="BF3AC70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7" w15:restartNumberingAfterBreak="0">
    <w:nsid w:val="6E200326"/>
    <w:multiLevelType w:val="hybridMultilevel"/>
    <w:tmpl w:val="D88AC82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8" w15:restartNumberingAfterBreak="0">
    <w:nsid w:val="6F01489B"/>
    <w:multiLevelType w:val="hybridMultilevel"/>
    <w:tmpl w:val="38C65C1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9" w15:restartNumberingAfterBreak="0">
    <w:nsid w:val="6FB67718"/>
    <w:multiLevelType w:val="hybridMultilevel"/>
    <w:tmpl w:val="6F5ED73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0" w15:restartNumberingAfterBreak="0">
    <w:nsid w:val="6FE90FAF"/>
    <w:multiLevelType w:val="hybridMultilevel"/>
    <w:tmpl w:val="A9883ABC"/>
    <w:lvl w:ilvl="0" w:tplc="5AFE3EE6">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1" w15:restartNumberingAfterBreak="0">
    <w:nsid w:val="724F0DF6"/>
    <w:multiLevelType w:val="hybridMultilevel"/>
    <w:tmpl w:val="8082A48A"/>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2" w15:restartNumberingAfterBreak="0">
    <w:nsid w:val="72586E82"/>
    <w:multiLevelType w:val="hybridMultilevel"/>
    <w:tmpl w:val="6F7C7904"/>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63" w15:restartNumberingAfterBreak="0">
    <w:nsid w:val="74E963A0"/>
    <w:multiLevelType w:val="hybridMultilevel"/>
    <w:tmpl w:val="57885398"/>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4" w15:restartNumberingAfterBreak="0">
    <w:nsid w:val="7A543545"/>
    <w:multiLevelType w:val="hybridMultilevel"/>
    <w:tmpl w:val="D7706AB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5" w15:restartNumberingAfterBreak="0">
    <w:nsid w:val="7C0B17C0"/>
    <w:multiLevelType w:val="hybridMultilevel"/>
    <w:tmpl w:val="5AC232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6" w15:restartNumberingAfterBreak="0">
    <w:nsid w:val="7CFC16AF"/>
    <w:multiLevelType w:val="hybridMultilevel"/>
    <w:tmpl w:val="EDD24F56"/>
    <w:lvl w:ilvl="0" w:tplc="240A0017">
      <w:start w:val="1"/>
      <w:numFmt w:val="lowerLetter"/>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67" w15:restartNumberingAfterBreak="0">
    <w:nsid w:val="7D574DE4"/>
    <w:multiLevelType w:val="hybridMultilevel"/>
    <w:tmpl w:val="E5AA7158"/>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8" w15:restartNumberingAfterBreak="0">
    <w:nsid w:val="7F92581C"/>
    <w:multiLevelType w:val="hybridMultilevel"/>
    <w:tmpl w:val="EBAE2A7C"/>
    <w:lvl w:ilvl="0" w:tplc="240A000D">
      <w:start w:val="1"/>
      <w:numFmt w:val="bullet"/>
      <w:lvlText w:val=""/>
      <w:lvlJc w:val="left"/>
      <w:pPr>
        <w:ind w:left="720" w:hanging="360"/>
      </w:pPr>
      <w:rPr>
        <w:rFonts w:ascii="Wingdings" w:hAnsi="Wingdings"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69" w15:restartNumberingAfterBreak="0">
    <w:nsid w:val="7FD566E1"/>
    <w:multiLevelType w:val="hybridMultilevel"/>
    <w:tmpl w:val="0C4296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774446308">
    <w:abstractNumId w:val="8"/>
  </w:num>
  <w:num w:numId="2" w16cid:durableId="1842116195">
    <w:abstractNumId w:val="22"/>
  </w:num>
  <w:num w:numId="3" w16cid:durableId="1827165621">
    <w:abstractNumId w:val="52"/>
  </w:num>
  <w:num w:numId="4" w16cid:durableId="1236473067">
    <w:abstractNumId w:val="42"/>
  </w:num>
  <w:num w:numId="5" w16cid:durableId="1067609886">
    <w:abstractNumId w:val="37"/>
  </w:num>
  <w:num w:numId="6" w16cid:durableId="984312620">
    <w:abstractNumId w:val="48"/>
  </w:num>
  <w:num w:numId="7" w16cid:durableId="451166684">
    <w:abstractNumId w:val="56"/>
  </w:num>
  <w:num w:numId="8" w16cid:durableId="2032415904">
    <w:abstractNumId w:val="59"/>
  </w:num>
  <w:num w:numId="9" w16cid:durableId="1588687939">
    <w:abstractNumId w:val="40"/>
  </w:num>
  <w:num w:numId="10" w16cid:durableId="209196459">
    <w:abstractNumId w:val="3"/>
  </w:num>
  <w:num w:numId="11" w16cid:durableId="1026564021">
    <w:abstractNumId w:val="49"/>
  </w:num>
  <w:num w:numId="12" w16cid:durableId="1093473020">
    <w:abstractNumId w:val="53"/>
  </w:num>
  <w:num w:numId="13" w16cid:durableId="1512069398">
    <w:abstractNumId w:val="34"/>
  </w:num>
  <w:num w:numId="14" w16cid:durableId="1921212219">
    <w:abstractNumId w:val="44"/>
  </w:num>
  <w:num w:numId="15" w16cid:durableId="393890684">
    <w:abstractNumId w:val="57"/>
  </w:num>
  <w:num w:numId="16" w16cid:durableId="1468008345">
    <w:abstractNumId w:val="15"/>
  </w:num>
  <w:num w:numId="17" w16cid:durableId="984970631">
    <w:abstractNumId w:val="61"/>
  </w:num>
  <w:num w:numId="18" w16cid:durableId="1881479410">
    <w:abstractNumId w:val="20"/>
  </w:num>
  <w:num w:numId="19" w16cid:durableId="300578719">
    <w:abstractNumId w:val="23"/>
  </w:num>
  <w:num w:numId="20" w16cid:durableId="2036880622">
    <w:abstractNumId w:val="67"/>
  </w:num>
  <w:num w:numId="21" w16cid:durableId="667441131">
    <w:abstractNumId w:val="60"/>
  </w:num>
  <w:num w:numId="22" w16cid:durableId="628705859">
    <w:abstractNumId w:val="43"/>
  </w:num>
  <w:num w:numId="23" w16cid:durableId="1533181334">
    <w:abstractNumId w:val="63"/>
  </w:num>
  <w:num w:numId="24" w16cid:durableId="1296450273">
    <w:abstractNumId w:val="26"/>
  </w:num>
  <w:num w:numId="25" w16cid:durableId="1906718161">
    <w:abstractNumId w:val="35"/>
  </w:num>
  <w:num w:numId="26" w16cid:durableId="1652101935">
    <w:abstractNumId w:val="51"/>
  </w:num>
  <w:num w:numId="27" w16cid:durableId="753625861">
    <w:abstractNumId w:val="5"/>
  </w:num>
  <w:num w:numId="28" w16cid:durableId="30806292">
    <w:abstractNumId w:val="13"/>
  </w:num>
  <w:num w:numId="29" w16cid:durableId="757290298">
    <w:abstractNumId w:val="4"/>
  </w:num>
  <w:num w:numId="30" w16cid:durableId="1345747219">
    <w:abstractNumId w:val="64"/>
  </w:num>
  <w:num w:numId="31" w16cid:durableId="559096077">
    <w:abstractNumId w:val="54"/>
  </w:num>
  <w:num w:numId="32" w16cid:durableId="1506629565">
    <w:abstractNumId w:val="69"/>
  </w:num>
  <w:num w:numId="33" w16cid:durableId="1950548128">
    <w:abstractNumId w:val="32"/>
  </w:num>
  <w:num w:numId="34" w16cid:durableId="1105273475">
    <w:abstractNumId w:val="46"/>
  </w:num>
  <w:num w:numId="35" w16cid:durableId="797720520">
    <w:abstractNumId w:val="58"/>
  </w:num>
  <w:num w:numId="36" w16cid:durableId="516963248">
    <w:abstractNumId w:val="10"/>
  </w:num>
  <w:num w:numId="37" w16cid:durableId="1463426694">
    <w:abstractNumId w:val="38"/>
  </w:num>
  <w:num w:numId="38" w16cid:durableId="906573814">
    <w:abstractNumId w:val="2"/>
  </w:num>
  <w:num w:numId="39" w16cid:durableId="1427581542">
    <w:abstractNumId w:val="25"/>
  </w:num>
  <w:num w:numId="40" w16cid:durableId="732196947">
    <w:abstractNumId w:val="65"/>
  </w:num>
  <w:num w:numId="41" w16cid:durableId="1977105793">
    <w:abstractNumId w:val="6"/>
  </w:num>
  <w:num w:numId="42" w16cid:durableId="1885867470">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897790057">
    <w:abstractNumId w:val="50"/>
  </w:num>
  <w:num w:numId="44" w16cid:durableId="976111659">
    <w:abstractNumId w:val="36"/>
  </w:num>
  <w:num w:numId="45" w16cid:durableId="1483615202">
    <w:abstractNumId w:val="30"/>
  </w:num>
  <w:num w:numId="46" w16cid:durableId="1973632156">
    <w:abstractNumId w:val="12"/>
  </w:num>
  <w:num w:numId="47" w16cid:durableId="590967953">
    <w:abstractNumId w:val="19"/>
  </w:num>
  <w:num w:numId="48" w16cid:durableId="265502736">
    <w:abstractNumId w:val="11"/>
  </w:num>
  <w:num w:numId="49" w16cid:durableId="114059010">
    <w:abstractNumId w:val="62"/>
  </w:num>
  <w:num w:numId="50" w16cid:durableId="1345014631">
    <w:abstractNumId w:val="24"/>
  </w:num>
  <w:num w:numId="51" w16cid:durableId="339552409">
    <w:abstractNumId w:val="16"/>
  </w:num>
  <w:num w:numId="52" w16cid:durableId="1066805281">
    <w:abstractNumId w:val="18"/>
  </w:num>
  <w:num w:numId="53" w16cid:durableId="1008218617">
    <w:abstractNumId w:val="39"/>
  </w:num>
  <w:num w:numId="54" w16cid:durableId="484704341">
    <w:abstractNumId w:val="27"/>
  </w:num>
  <w:num w:numId="55" w16cid:durableId="982546125">
    <w:abstractNumId w:val="55"/>
  </w:num>
  <w:num w:numId="56" w16cid:durableId="1398043476">
    <w:abstractNumId w:val="29"/>
  </w:num>
  <w:num w:numId="57" w16cid:durableId="201674083">
    <w:abstractNumId w:val="0"/>
  </w:num>
  <w:num w:numId="58" w16cid:durableId="1079205820">
    <w:abstractNumId w:val="7"/>
  </w:num>
  <w:num w:numId="59" w16cid:durableId="1770587410">
    <w:abstractNumId w:val="47"/>
  </w:num>
  <w:num w:numId="60" w16cid:durableId="171141810">
    <w:abstractNumId w:val="1"/>
  </w:num>
  <w:num w:numId="61" w16cid:durableId="277300084">
    <w:abstractNumId w:val="21"/>
  </w:num>
  <w:num w:numId="62" w16cid:durableId="1026491021">
    <w:abstractNumId w:val="17"/>
  </w:num>
  <w:num w:numId="63" w16cid:durableId="492990708">
    <w:abstractNumId w:val="41"/>
  </w:num>
  <w:num w:numId="64" w16cid:durableId="2019194790">
    <w:abstractNumId w:val="45"/>
  </w:num>
  <w:num w:numId="65" w16cid:durableId="2073506325">
    <w:abstractNumId w:val="14"/>
  </w:num>
  <w:num w:numId="66" w16cid:durableId="50739428">
    <w:abstractNumId w:val="28"/>
  </w:num>
  <w:num w:numId="67" w16cid:durableId="1830826920">
    <w:abstractNumId w:val="68"/>
  </w:num>
  <w:num w:numId="68" w16cid:durableId="103497139">
    <w:abstractNumId w:val="33"/>
  </w:num>
  <w:num w:numId="69" w16cid:durableId="816722040">
    <w:abstractNumId w:val="9"/>
  </w:num>
  <w:num w:numId="70" w16cid:durableId="741297241">
    <w:abstractNumId w:val="31"/>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F26BE"/>
    <w:rsid w:val="0000072F"/>
    <w:rsid w:val="0000094F"/>
    <w:rsid w:val="00001943"/>
    <w:rsid w:val="00002083"/>
    <w:rsid w:val="00002238"/>
    <w:rsid w:val="000040BA"/>
    <w:rsid w:val="000049AD"/>
    <w:rsid w:val="00006408"/>
    <w:rsid w:val="000066BE"/>
    <w:rsid w:val="000074E3"/>
    <w:rsid w:val="00007E18"/>
    <w:rsid w:val="00007EE4"/>
    <w:rsid w:val="00007F0D"/>
    <w:rsid w:val="00011E53"/>
    <w:rsid w:val="0001223F"/>
    <w:rsid w:val="00013064"/>
    <w:rsid w:val="000179E2"/>
    <w:rsid w:val="00017C16"/>
    <w:rsid w:val="00020CF3"/>
    <w:rsid w:val="00020FED"/>
    <w:rsid w:val="00022185"/>
    <w:rsid w:val="00022244"/>
    <w:rsid w:val="0002233D"/>
    <w:rsid w:val="000224D3"/>
    <w:rsid w:val="0002302F"/>
    <w:rsid w:val="00023ACF"/>
    <w:rsid w:val="0002534B"/>
    <w:rsid w:val="000259F2"/>
    <w:rsid w:val="00025FA9"/>
    <w:rsid w:val="00026DE7"/>
    <w:rsid w:val="00030493"/>
    <w:rsid w:val="00031CB4"/>
    <w:rsid w:val="00032079"/>
    <w:rsid w:val="000321CB"/>
    <w:rsid w:val="00034833"/>
    <w:rsid w:val="0003501C"/>
    <w:rsid w:val="00035EA9"/>
    <w:rsid w:val="00035F15"/>
    <w:rsid w:val="000369AB"/>
    <w:rsid w:val="00036A4F"/>
    <w:rsid w:val="00037202"/>
    <w:rsid w:val="00037A38"/>
    <w:rsid w:val="000410B0"/>
    <w:rsid w:val="000418C6"/>
    <w:rsid w:val="00041D14"/>
    <w:rsid w:val="00041E3D"/>
    <w:rsid w:val="00041E5E"/>
    <w:rsid w:val="00041ECB"/>
    <w:rsid w:val="0004290D"/>
    <w:rsid w:val="00043293"/>
    <w:rsid w:val="0004365A"/>
    <w:rsid w:val="0004411D"/>
    <w:rsid w:val="00045379"/>
    <w:rsid w:val="00045C67"/>
    <w:rsid w:val="00046017"/>
    <w:rsid w:val="00046810"/>
    <w:rsid w:val="000468F1"/>
    <w:rsid w:val="00046FCB"/>
    <w:rsid w:val="0004763A"/>
    <w:rsid w:val="000479B0"/>
    <w:rsid w:val="00047AFB"/>
    <w:rsid w:val="000507AC"/>
    <w:rsid w:val="0005299D"/>
    <w:rsid w:val="0005320C"/>
    <w:rsid w:val="00053352"/>
    <w:rsid w:val="00055713"/>
    <w:rsid w:val="00055A0E"/>
    <w:rsid w:val="00055DC9"/>
    <w:rsid w:val="000560F4"/>
    <w:rsid w:val="00056C27"/>
    <w:rsid w:val="00057B62"/>
    <w:rsid w:val="000601F6"/>
    <w:rsid w:val="00062FB8"/>
    <w:rsid w:val="000630AC"/>
    <w:rsid w:val="000634CA"/>
    <w:rsid w:val="00063955"/>
    <w:rsid w:val="00063D47"/>
    <w:rsid w:val="000649C4"/>
    <w:rsid w:val="000657BB"/>
    <w:rsid w:val="00065974"/>
    <w:rsid w:val="00066747"/>
    <w:rsid w:val="0006794F"/>
    <w:rsid w:val="000723AE"/>
    <w:rsid w:val="000730B6"/>
    <w:rsid w:val="000737EE"/>
    <w:rsid w:val="00073DCE"/>
    <w:rsid w:val="000750DB"/>
    <w:rsid w:val="00075290"/>
    <w:rsid w:val="000761DB"/>
    <w:rsid w:val="000765E3"/>
    <w:rsid w:val="0007746D"/>
    <w:rsid w:val="0007780E"/>
    <w:rsid w:val="00080BC3"/>
    <w:rsid w:val="0008145B"/>
    <w:rsid w:val="00083043"/>
    <w:rsid w:val="0008351E"/>
    <w:rsid w:val="00084506"/>
    <w:rsid w:val="0008511E"/>
    <w:rsid w:val="00086DFD"/>
    <w:rsid w:val="000906CA"/>
    <w:rsid w:val="000909AA"/>
    <w:rsid w:val="00090EF4"/>
    <w:rsid w:val="0009261D"/>
    <w:rsid w:val="000931BC"/>
    <w:rsid w:val="00093E41"/>
    <w:rsid w:val="00094224"/>
    <w:rsid w:val="00094241"/>
    <w:rsid w:val="000945C9"/>
    <w:rsid w:val="000979A7"/>
    <w:rsid w:val="000A10AF"/>
    <w:rsid w:val="000A180B"/>
    <w:rsid w:val="000A2FFC"/>
    <w:rsid w:val="000A410B"/>
    <w:rsid w:val="000A4CF0"/>
    <w:rsid w:val="000A5890"/>
    <w:rsid w:val="000A64C0"/>
    <w:rsid w:val="000A68FC"/>
    <w:rsid w:val="000A743A"/>
    <w:rsid w:val="000A7AA2"/>
    <w:rsid w:val="000A7AD2"/>
    <w:rsid w:val="000B0260"/>
    <w:rsid w:val="000B24E4"/>
    <w:rsid w:val="000B25AD"/>
    <w:rsid w:val="000B260F"/>
    <w:rsid w:val="000B2CD5"/>
    <w:rsid w:val="000B2F99"/>
    <w:rsid w:val="000B34A1"/>
    <w:rsid w:val="000B47E9"/>
    <w:rsid w:val="000B4ABB"/>
    <w:rsid w:val="000B5199"/>
    <w:rsid w:val="000B55BC"/>
    <w:rsid w:val="000B5BFF"/>
    <w:rsid w:val="000B66AF"/>
    <w:rsid w:val="000C2495"/>
    <w:rsid w:val="000C3300"/>
    <w:rsid w:val="000C3916"/>
    <w:rsid w:val="000C6A73"/>
    <w:rsid w:val="000D0284"/>
    <w:rsid w:val="000D0A96"/>
    <w:rsid w:val="000D0E99"/>
    <w:rsid w:val="000D13E2"/>
    <w:rsid w:val="000D313F"/>
    <w:rsid w:val="000D4881"/>
    <w:rsid w:val="000D5C39"/>
    <w:rsid w:val="000E0345"/>
    <w:rsid w:val="000E0B48"/>
    <w:rsid w:val="000E1201"/>
    <w:rsid w:val="000E21A7"/>
    <w:rsid w:val="000E21E9"/>
    <w:rsid w:val="000E3734"/>
    <w:rsid w:val="000E37F9"/>
    <w:rsid w:val="000E4C38"/>
    <w:rsid w:val="000E6617"/>
    <w:rsid w:val="000E6BE9"/>
    <w:rsid w:val="000F0D18"/>
    <w:rsid w:val="000F1157"/>
    <w:rsid w:val="000F1E23"/>
    <w:rsid w:val="000F2673"/>
    <w:rsid w:val="000F3D0E"/>
    <w:rsid w:val="000F5C36"/>
    <w:rsid w:val="000F7056"/>
    <w:rsid w:val="000F786E"/>
    <w:rsid w:val="00100A93"/>
    <w:rsid w:val="00100D7D"/>
    <w:rsid w:val="001018B2"/>
    <w:rsid w:val="00102B12"/>
    <w:rsid w:val="00103B47"/>
    <w:rsid w:val="00104CA6"/>
    <w:rsid w:val="00105681"/>
    <w:rsid w:val="001058AA"/>
    <w:rsid w:val="00105ADF"/>
    <w:rsid w:val="00110283"/>
    <w:rsid w:val="001130C7"/>
    <w:rsid w:val="00113636"/>
    <w:rsid w:val="001140F2"/>
    <w:rsid w:val="00114327"/>
    <w:rsid w:val="0011445D"/>
    <w:rsid w:val="00115078"/>
    <w:rsid w:val="0011555C"/>
    <w:rsid w:val="00117634"/>
    <w:rsid w:val="00121A59"/>
    <w:rsid w:val="00121EA5"/>
    <w:rsid w:val="001236C7"/>
    <w:rsid w:val="00124822"/>
    <w:rsid w:val="00124DA3"/>
    <w:rsid w:val="00124FBB"/>
    <w:rsid w:val="0013274B"/>
    <w:rsid w:val="00133115"/>
    <w:rsid w:val="00133578"/>
    <w:rsid w:val="00137527"/>
    <w:rsid w:val="00137B0B"/>
    <w:rsid w:val="001408A4"/>
    <w:rsid w:val="00141355"/>
    <w:rsid w:val="0014263F"/>
    <w:rsid w:val="00143AE1"/>
    <w:rsid w:val="00144C2D"/>
    <w:rsid w:val="00144C70"/>
    <w:rsid w:val="00145F58"/>
    <w:rsid w:val="00145F9D"/>
    <w:rsid w:val="00146025"/>
    <w:rsid w:val="001467EA"/>
    <w:rsid w:val="00146A50"/>
    <w:rsid w:val="00151C71"/>
    <w:rsid w:val="00152D0A"/>
    <w:rsid w:val="00152D19"/>
    <w:rsid w:val="00154612"/>
    <w:rsid w:val="001566D8"/>
    <w:rsid w:val="00156CED"/>
    <w:rsid w:val="00157129"/>
    <w:rsid w:val="001573BA"/>
    <w:rsid w:val="001605F1"/>
    <w:rsid w:val="00160E00"/>
    <w:rsid w:val="0016187F"/>
    <w:rsid w:val="00162220"/>
    <w:rsid w:val="00162839"/>
    <w:rsid w:val="00162F51"/>
    <w:rsid w:val="00163082"/>
    <w:rsid w:val="0016488F"/>
    <w:rsid w:val="00165239"/>
    <w:rsid w:val="00165661"/>
    <w:rsid w:val="00166758"/>
    <w:rsid w:val="00166BB4"/>
    <w:rsid w:val="00167650"/>
    <w:rsid w:val="00167DAE"/>
    <w:rsid w:val="00170219"/>
    <w:rsid w:val="00170718"/>
    <w:rsid w:val="00170D71"/>
    <w:rsid w:val="00170E1B"/>
    <w:rsid w:val="00170FDE"/>
    <w:rsid w:val="00171430"/>
    <w:rsid w:val="00171872"/>
    <w:rsid w:val="00172BF0"/>
    <w:rsid w:val="00172D1A"/>
    <w:rsid w:val="0017313F"/>
    <w:rsid w:val="00173611"/>
    <w:rsid w:val="00173EBB"/>
    <w:rsid w:val="0017703A"/>
    <w:rsid w:val="00177B7B"/>
    <w:rsid w:val="00177CC7"/>
    <w:rsid w:val="00180CF2"/>
    <w:rsid w:val="00181B60"/>
    <w:rsid w:val="0018386B"/>
    <w:rsid w:val="001838CE"/>
    <w:rsid w:val="00183AB2"/>
    <w:rsid w:val="00185D9E"/>
    <w:rsid w:val="001871F4"/>
    <w:rsid w:val="001907B9"/>
    <w:rsid w:val="00191AD9"/>
    <w:rsid w:val="001923D5"/>
    <w:rsid w:val="0019280C"/>
    <w:rsid w:val="0019378D"/>
    <w:rsid w:val="00193D38"/>
    <w:rsid w:val="001940F7"/>
    <w:rsid w:val="0019520F"/>
    <w:rsid w:val="001958D8"/>
    <w:rsid w:val="001960A7"/>
    <w:rsid w:val="00196342"/>
    <w:rsid w:val="001967C0"/>
    <w:rsid w:val="00196E5B"/>
    <w:rsid w:val="001973E1"/>
    <w:rsid w:val="00197464"/>
    <w:rsid w:val="001976F5"/>
    <w:rsid w:val="001A00F3"/>
    <w:rsid w:val="001A0776"/>
    <w:rsid w:val="001A0D06"/>
    <w:rsid w:val="001A0ED1"/>
    <w:rsid w:val="001A16D4"/>
    <w:rsid w:val="001A177D"/>
    <w:rsid w:val="001A1AC8"/>
    <w:rsid w:val="001A26E0"/>
    <w:rsid w:val="001A34C4"/>
    <w:rsid w:val="001A3579"/>
    <w:rsid w:val="001A4401"/>
    <w:rsid w:val="001A4BAD"/>
    <w:rsid w:val="001A5745"/>
    <w:rsid w:val="001A579B"/>
    <w:rsid w:val="001A6A46"/>
    <w:rsid w:val="001A7BB3"/>
    <w:rsid w:val="001B2127"/>
    <w:rsid w:val="001B2270"/>
    <w:rsid w:val="001B24EC"/>
    <w:rsid w:val="001B4076"/>
    <w:rsid w:val="001B462F"/>
    <w:rsid w:val="001B483F"/>
    <w:rsid w:val="001B59EA"/>
    <w:rsid w:val="001B6539"/>
    <w:rsid w:val="001B6A89"/>
    <w:rsid w:val="001B6D93"/>
    <w:rsid w:val="001C0E81"/>
    <w:rsid w:val="001C1862"/>
    <w:rsid w:val="001C2575"/>
    <w:rsid w:val="001C41F1"/>
    <w:rsid w:val="001C4C53"/>
    <w:rsid w:val="001C5CAE"/>
    <w:rsid w:val="001C705B"/>
    <w:rsid w:val="001D2F9E"/>
    <w:rsid w:val="001D37BC"/>
    <w:rsid w:val="001D3857"/>
    <w:rsid w:val="001D4B8A"/>
    <w:rsid w:val="001D77F9"/>
    <w:rsid w:val="001D7E70"/>
    <w:rsid w:val="001E152F"/>
    <w:rsid w:val="001E1876"/>
    <w:rsid w:val="001E2F53"/>
    <w:rsid w:val="001E3F3B"/>
    <w:rsid w:val="001E4921"/>
    <w:rsid w:val="001E4D6F"/>
    <w:rsid w:val="001E5908"/>
    <w:rsid w:val="001E626D"/>
    <w:rsid w:val="001E714F"/>
    <w:rsid w:val="001F1ADD"/>
    <w:rsid w:val="001F1B69"/>
    <w:rsid w:val="001F252D"/>
    <w:rsid w:val="001F3386"/>
    <w:rsid w:val="001F76CE"/>
    <w:rsid w:val="0020026C"/>
    <w:rsid w:val="002004FD"/>
    <w:rsid w:val="002016F5"/>
    <w:rsid w:val="00206FC8"/>
    <w:rsid w:val="00207E9D"/>
    <w:rsid w:val="00210D2B"/>
    <w:rsid w:val="00210E7D"/>
    <w:rsid w:val="002116D0"/>
    <w:rsid w:val="00211E15"/>
    <w:rsid w:val="00214066"/>
    <w:rsid w:val="002141EE"/>
    <w:rsid w:val="0021579B"/>
    <w:rsid w:val="00216BDB"/>
    <w:rsid w:val="00217167"/>
    <w:rsid w:val="00217442"/>
    <w:rsid w:val="00217694"/>
    <w:rsid w:val="00222376"/>
    <w:rsid w:val="00222813"/>
    <w:rsid w:val="00222C4C"/>
    <w:rsid w:val="00223A9B"/>
    <w:rsid w:val="00224A39"/>
    <w:rsid w:val="00225ABA"/>
    <w:rsid w:val="00225B5F"/>
    <w:rsid w:val="002262A5"/>
    <w:rsid w:val="00226A94"/>
    <w:rsid w:val="0022760A"/>
    <w:rsid w:val="00227A06"/>
    <w:rsid w:val="00227A46"/>
    <w:rsid w:val="00230197"/>
    <w:rsid w:val="00230F92"/>
    <w:rsid w:val="002310F5"/>
    <w:rsid w:val="00233C7E"/>
    <w:rsid w:val="00234EFD"/>
    <w:rsid w:val="0023503F"/>
    <w:rsid w:val="002368F4"/>
    <w:rsid w:val="0023723B"/>
    <w:rsid w:val="002409B5"/>
    <w:rsid w:val="00240EF0"/>
    <w:rsid w:val="00241DE4"/>
    <w:rsid w:val="00242496"/>
    <w:rsid w:val="00245568"/>
    <w:rsid w:val="00246EB7"/>
    <w:rsid w:val="00247D3A"/>
    <w:rsid w:val="00251DA4"/>
    <w:rsid w:val="0025206C"/>
    <w:rsid w:val="002525AC"/>
    <w:rsid w:val="00252ABD"/>
    <w:rsid w:val="00254019"/>
    <w:rsid w:val="002546A4"/>
    <w:rsid w:val="002559EA"/>
    <w:rsid w:val="00255E77"/>
    <w:rsid w:val="002560B0"/>
    <w:rsid w:val="00256DF3"/>
    <w:rsid w:val="00256F42"/>
    <w:rsid w:val="00257ED6"/>
    <w:rsid w:val="00257F15"/>
    <w:rsid w:val="00260B11"/>
    <w:rsid w:val="00263240"/>
    <w:rsid w:val="002637CD"/>
    <w:rsid w:val="002651C2"/>
    <w:rsid w:val="002657ED"/>
    <w:rsid w:val="002671AC"/>
    <w:rsid w:val="0026734C"/>
    <w:rsid w:val="002675A9"/>
    <w:rsid w:val="002677B2"/>
    <w:rsid w:val="00267BEF"/>
    <w:rsid w:val="00272FF3"/>
    <w:rsid w:val="00273EB1"/>
    <w:rsid w:val="002742CE"/>
    <w:rsid w:val="00274626"/>
    <w:rsid w:val="0027478A"/>
    <w:rsid w:val="00274C60"/>
    <w:rsid w:val="00274D94"/>
    <w:rsid w:val="00275076"/>
    <w:rsid w:val="00275E7D"/>
    <w:rsid w:val="00277DF1"/>
    <w:rsid w:val="002817DB"/>
    <w:rsid w:val="002822C6"/>
    <w:rsid w:val="00283141"/>
    <w:rsid w:val="00283596"/>
    <w:rsid w:val="0028501F"/>
    <w:rsid w:val="002853A1"/>
    <w:rsid w:val="00285D8C"/>
    <w:rsid w:val="00287251"/>
    <w:rsid w:val="002875FD"/>
    <w:rsid w:val="002878BF"/>
    <w:rsid w:val="00291811"/>
    <w:rsid w:val="00292379"/>
    <w:rsid w:val="00292443"/>
    <w:rsid w:val="00292534"/>
    <w:rsid w:val="00292BD4"/>
    <w:rsid w:val="00294625"/>
    <w:rsid w:val="00295E4E"/>
    <w:rsid w:val="00295F63"/>
    <w:rsid w:val="00296C02"/>
    <w:rsid w:val="002972C9"/>
    <w:rsid w:val="0029741A"/>
    <w:rsid w:val="002977E6"/>
    <w:rsid w:val="002A03C7"/>
    <w:rsid w:val="002A0B77"/>
    <w:rsid w:val="002A15DA"/>
    <w:rsid w:val="002A1C9D"/>
    <w:rsid w:val="002A248D"/>
    <w:rsid w:val="002A30FF"/>
    <w:rsid w:val="002A386A"/>
    <w:rsid w:val="002A3BC8"/>
    <w:rsid w:val="002A43EC"/>
    <w:rsid w:val="002A46D9"/>
    <w:rsid w:val="002A5905"/>
    <w:rsid w:val="002A5B78"/>
    <w:rsid w:val="002A5CD1"/>
    <w:rsid w:val="002A7F4C"/>
    <w:rsid w:val="002B02CA"/>
    <w:rsid w:val="002B0C06"/>
    <w:rsid w:val="002B1B40"/>
    <w:rsid w:val="002B26B2"/>
    <w:rsid w:val="002B2F54"/>
    <w:rsid w:val="002B3526"/>
    <w:rsid w:val="002B5F41"/>
    <w:rsid w:val="002B6542"/>
    <w:rsid w:val="002B6C5F"/>
    <w:rsid w:val="002B7862"/>
    <w:rsid w:val="002C0D79"/>
    <w:rsid w:val="002C1B51"/>
    <w:rsid w:val="002C285F"/>
    <w:rsid w:val="002C2B20"/>
    <w:rsid w:val="002C479D"/>
    <w:rsid w:val="002C4CB0"/>
    <w:rsid w:val="002C5AC3"/>
    <w:rsid w:val="002C6675"/>
    <w:rsid w:val="002D1C23"/>
    <w:rsid w:val="002D2E6B"/>
    <w:rsid w:val="002D32C9"/>
    <w:rsid w:val="002D5568"/>
    <w:rsid w:val="002D6896"/>
    <w:rsid w:val="002D746B"/>
    <w:rsid w:val="002E098E"/>
    <w:rsid w:val="002E0A52"/>
    <w:rsid w:val="002E0D41"/>
    <w:rsid w:val="002E3616"/>
    <w:rsid w:val="002E4A22"/>
    <w:rsid w:val="002E4CD6"/>
    <w:rsid w:val="002E5BE1"/>
    <w:rsid w:val="002E6AD2"/>
    <w:rsid w:val="002F0A04"/>
    <w:rsid w:val="002F1487"/>
    <w:rsid w:val="002F2446"/>
    <w:rsid w:val="002F249D"/>
    <w:rsid w:val="002F27BB"/>
    <w:rsid w:val="002F4A69"/>
    <w:rsid w:val="002F7692"/>
    <w:rsid w:val="00300310"/>
    <w:rsid w:val="0030147F"/>
    <w:rsid w:val="0030191B"/>
    <w:rsid w:val="0030273E"/>
    <w:rsid w:val="00302D8E"/>
    <w:rsid w:val="003039FD"/>
    <w:rsid w:val="00303C9E"/>
    <w:rsid w:val="00304B44"/>
    <w:rsid w:val="00305E1E"/>
    <w:rsid w:val="00306C35"/>
    <w:rsid w:val="003075E5"/>
    <w:rsid w:val="00307A7D"/>
    <w:rsid w:val="003120BF"/>
    <w:rsid w:val="0031379B"/>
    <w:rsid w:val="0031382D"/>
    <w:rsid w:val="00313D2C"/>
    <w:rsid w:val="00317225"/>
    <w:rsid w:val="00322633"/>
    <w:rsid w:val="00322D5E"/>
    <w:rsid w:val="003230E9"/>
    <w:rsid w:val="00323179"/>
    <w:rsid w:val="00323917"/>
    <w:rsid w:val="003261D2"/>
    <w:rsid w:val="003265BD"/>
    <w:rsid w:val="003301D3"/>
    <w:rsid w:val="003311BF"/>
    <w:rsid w:val="00331342"/>
    <w:rsid w:val="00331543"/>
    <w:rsid w:val="00331D9B"/>
    <w:rsid w:val="00333D7A"/>
    <w:rsid w:val="003364A8"/>
    <w:rsid w:val="003364B5"/>
    <w:rsid w:val="003374D0"/>
    <w:rsid w:val="00340BAA"/>
    <w:rsid w:val="00341387"/>
    <w:rsid w:val="0034306A"/>
    <w:rsid w:val="003442F2"/>
    <w:rsid w:val="0034438B"/>
    <w:rsid w:val="0034508B"/>
    <w:rsid w:val="0034537E"/>
    <w:rsid w:val="003456F1"/>
    <w:rsid w:val="003470A2"/>
    <w:rsid w:val="00351941"/>
    <w:rsid w:val="00351BD7"/>
    <w:rsid w:val="00352458"/>
    <w:rsid w:val="003537C8"/>
    <w:rsid w:val="00354515"/>
    <w:rsid w:val="00355146"/>
    <w:rsid w:val="0035528E"/>
    <w:rsid w:val="00355A0E"/>
    <w:rsid w:val="00355F5E"/>
    <w:rsid w:val="00356E81"/>
    <w:rsid w:val="00357F49"/>
    <w:rsid w:val="003612A9"/>
    <w:rsid w:val="00362208"/>
    <w:rsid w:val="00362CA4"/>
    <w:rsid w:val="003636E9"/>
    <w:rsid w:val="00363897"/>
    <w:rsid w:val="003647A4"/>
    <w:rsid w:val="003649FF"/>
    <w:rsid w:val="0036662B"/>
    <w:rsid w:val="00371AAE"/>
    <w:rsid w:val="00371F14"/>
    <w:rsid w:val="00373523"/>
    <w:rsid w:val="00374BCE"/>
    <w:rsid w:val="00376780"/>
    <w:rsid w:val="00376FA9"/>
    <w:rsid w:val="00377010"/>
    <w:rsid w:val="003808BA"/>
    <w:rsid w:val="00380F58"/>
    <w:rsid w:val="00382868"/>
    <w:rsid w:val="003829FC"/>
    <w:rsid w:val="0038391E"/>
    <w:rsid w:val="00383938"/>
    <w:rsid w:val="00385D61"/>
    <w:rsid w:val="00386271"/>
    <w:rsid w:val="003902F1"/>
    <w:rsid w:val="00390660"/>
    <w:rsid w:val="003910E0"/>
    <w:rsid w:val="00391612"/>
    <w:rsid w:val="00391A55"/>
    <w:rsid w:val="00391F37"/>
    <w:rsid w:val="00392087"/>
    <w:rsid w:val="00392358"/>
    <w:rsid w:val="00392B79"/>
    <w:rsid w:val="003937AC"/>
    <w:rsid w:val="003940F3"/>
    <w:rsid w:val="0039436C"/>
    <w:rsid w:val="00394D3B"/>
    <w:rsid w:val="0039549F"/>
    <w:rsid w:val="0039570D"/>
    <w:rsid w:val="00397A3D"/>
    <w:rsid w:val="003A01CD"/>
    <w:rsid w:val="003A0AEF"/>
    <w:rsid w:val="003A0CCA"/>
    <w:rsid w:val="003A203C"/>
    <w:rsid w:val="003A2302"/>
    <w:rsid w:val="003A23B7"/>
    <w:rsid w:val="003A3D52"/>
    <w:rsid w:val="003A412D"/>
    <w:rsid w:val="003A4ADC"/>
    <w:rsid w:val="003A4B31"/>
    <w:rsid w:val="003A55B3"/>
    <w:rsid w:val="003A603A"/>
    <w:rsid w:val="003A6ACE"/>
    <w:rsid w:val="003A6C8F"/>
    <w:rsid w:val="003A7175"/>
    <w:rsid w:val="003B06AE"/>
    <w:rsid w:val="003B0D99"/>
    <w:rsid w:val="003B188B"/>
    <w:rsid w:val="003B2138"/>
    <w:rsid w:val="003B252D"/>
    <w:rsid w:val="003B43E0"/>
    <w:rsid w:val="003B4C9B"/>
    <w:rsid w:val="003B5247"/>
    <w:rsid w:val="003B66F9"/>
    <w:rsid w:val="003B750A"/>
    <w:rsid w:val="003C003B"/>
    <w:rsid w:val="003C1445"/>
    <w:rsid w:val="003C4231"/>
    <w:rsid w:val="003C4484"/>
    <w:rsid w:val="003C4B5B"/>
    <w:rsid w:val="003C5071"/>
    <w:rsid w:val="003C68D3"/>
    <w:rsid w:val="003C7323"/>
    <w:rsid w:val="003D01AC"/>
    <w:rsid w:val="003D0A04"/>
    <w:rsid w:val="003D2D23"/>
    <w:rsid w:val="003D2F7C"/>
    <w:rsid w:val="003D3F05"/>
    <w:rsid w:val="003D64CA"/>
    <w:rsid w:val="003D719E"/>
    <w:rsid w:val="003E015C"/>
    <w:rsid w:val="003E1194"/>
    <w:rsid w:val="003E1884"/>
    <w:rsid w:val="003E2002"/>
    <w:rsid w:val="003E2127"/>
    <w:rsid w:val="003E2135"/>
    <w:rsid w:val="003E23A9"/>
    <w:rsid w:val="003E3CF4"/>
    <w:rsid w:val="003E51C8"/>
    <w:rsid w:val="003E5AC6"/>
    <w:rsid w:val="003E6FC5"/>
    <w:rsid w:val="003E75ED"/>
    <w:rsid w:val="003F11D6"/>
    <w:rsid w:val="003F1463"/>
    <w:rsid w:val="003F26BE"/>
    <w:rsid w:val="003F3AC7"/>
    <w:rsid w:val="003F446E"/>
    <w:rsid w:val="003F454E"/>
    <w:rsid w:val="003F5122"/>
    <w:rsid w:val="003F6143"/>
    <w:rsid w:val="003F709E"/>
    <w:rsid w:val="003F73D7"/>
    <w:rsid w:val="003F7723"/>
    <w:rsid w:val="00400129"/>
    <w:rsid w:val="004003AA"/>
    <w:rsid w:val="00400538"/>
    <w:rsid w:val="00401E41"/>
    <w:rsid w:val="004021D1"/>
    <w:rsid w:val="00403997"/>
    <w:rsid w:val="0040611E"/>
    <w:rsid w:val="0040758D"/>
    <w:rsid w:val="004077A7"/>
    <w:rsid w:val="00407CD8"/>
    <w:rsid w:val="00407DE5"/>
    <w:rsid w:val="004116A2"/>
    <w:rsid w:val="0041272C"/>
    <w:rsid w:val="00412A53"/>
    <w:rsid w:val="004149F3"/>
    <w:rsid w:val="00415ED0"/>
    <w:rsid w:val="00417138"/>
    <w:rsid w:val="0041733E"/>
    <w:rsid w:val="004205B5"/>
    <w:rsid w:val="004235BA"/>
    <w:rsid w:val="00423AF5"/>
    <w:rsid w:val="00424DDD"/>
    <w:rsid w:val="004279A2"/>
    <w:rsid w:val="0043034D"/>
    <w:rsid w:val="00431DC2"/>
    <w:rsid w:val="00436890"/>
    <w:rsid w:val="00436CD6"/>
    <w:rsid w:val="00436FDF"/>
    <w:rsid w:val="004374D2"/>
    <w:rsid w:val="00437743"/>
    <w:rsid w:val="00440418"/>
    <w:rsid w:val="004404A1"/>
    <w:rsid w:val="00440C29"/>
    <w:rsid w:val="00440ED2"/>
    <w:rsid w:val="00441093"/>
    <w:rsid w:val="00443271"/>
    <w:rsid w:val="004435BC"/>
    <w:rsid w:val="0044404E"/>
    <w:rsid w:val="004442AD"/>
    <w:rsid w:val="00445168"/>
    <w:rsid w:val="00445985"/>
    <w:rsid w:val="004503CF"/>
    <w:rsid w:val="00452A7B"/>
    <w:rsid w:val="00452F8B"/>
    <w:rsid w:val="00454E3C"/>
    <w:rsid w:val="00456E73"/>
    <w:rsid w:val="00457BB5"/>
    <w:rsid w:val="004605F9"/>
    <w:rsid w:val="00460AF1"/>
    <w:rsid w:val="00460DFC"/>
    <w:rsid w:val="0046114A"/>
    <w:rsid w:val="00461806"/>
    <w:rsid w:val="004623AA"/>
    <w:rsid w:val="004627AA"/>
    <w:rsid w:val="00462A5B"/>
    <w:rsid w:val="00463884"/>
    <w:rsid w:val="0046570A"/>
    <w:rsid w:val="00466127"/>
    <w:rsid w:val="004662E0"/>
    <w:rsid w:val="0046648E"/>
    <w:rsid w:val="00470CF1"/>
    <w:rsid w:val="00470E03"/>
    <w:rsid w:val="00471165"/>
    <w:rsid w:val="0047200B"/>
    <w:rsid w:val="004728D5"/>
    <w:rsid w:val="004729D4"/>
    <w:rsid w:val="00473155"/>
    <w:rsid w:val="00473E65"/>
    <w:rsid w:val="0047459D"/>
    <w:rsid w:val="004758C4"/>
    <w:rsid w:val="00475A75"/>
    <w:rsid w:val="00475C28"/>
    <w:rsid w:val="00476634"/>
    <w:rsid w:val="00476B87"/>
    <w:rsid w:val="00476EF2"/>
    <w:rsid w:val="00477D9A"/>
    <w:rsid w:val="00477E26"/>
    <w:rsid w:val="004826AC"/>
    <w:rsid w:val="00482BC5"/>
    <w:rsid w:val="00483247"/>
    <w:rsid w:val="0048360D"/>
    <w:rsid w:val="004838E0"/>
    <w:rsid w:val="00483F35"/>
    <w:rsid w:val="00484E02"/>
    <w:rsid w:val="004856C9"/>
    <w:rsid w:val="00485B13"/>
    <w:rsid w:val="00486083"/>
    <w:rsid w:val="00487B74"/>
    <w:rsid w:val="00487F9D"/>
    <w:rsid w:val="0049000B"/>
    <w:rsid w:val="00490932"/>
    <w:rsid w:val="00490D85"/>
    <w:rsid w:val="004926B0"/>
    <w:rsid w:val="00492F86"/>
    <w:rsid w:val="00493CE5"/>
    <w:rsid w:val="00493D3A"/>
    <w:rsid w:val="00493E3A"/>
    <w:rsid w:val="004947C1"/>
    <w:rsid w:val="0049626A"/>
    <w:rsid w:val="00496365"/>
    <w:rsid w:val="00496A94"/>
    <w:rsid w:val="00496E6D"/>
    <w:rsid w:val="0049BDA4"/>
    <w:rsid w:val="004A0382"/>
    <w:rsid w:val="004A20EB"/>
    <w:rsid w:val="004A416B"/>
    <w:rsid w:val="004A56ED"/>
    <w:rsid w:val="004A5BCE"/>
    <w:rsid w:val="004A75BE"/>
    <w:rsid w:val="004A7B6B"/>
    <w:rsid w:val="004B0116"/>
    <w:rsid w:val="004B0FC5"/>
    <w:rsid w:val="004B129B"/>
    <w:rsid w:val="004B1849"/>
    <w:rsid w:val="004B275F"/>
    <w:rsid w:val="004B33F0"/>
    <w:rsid w:val="004B3DA4"/>
    <w:rsid w:val="004B58DE"/>
    <w:rsid w:val="004B6375"/>
    <w:rsid w:val="004B6825"/>
    <w:rsid w:val="004B6934"/>
    <w:rsid w:val="004B7575"/>
    <w:rsid w:val="004B76A2"/>
    <w:rsid w:val="004B7D00"/>
    <w:rsid w:val="004C0578"/>
    <w:rsid w:val="004C07E4"/>
    <w:rsid w:val="004C168F"/>
    <w:rsid w:val="004C193F"/>
    <w:rsid w:val="004C1C4B"/>
    <w:rsid w:val="004C2D03"/>
    <w:rsid w:val="004C3720"/>
    <w:rsid w:val="004C41F1"/>
    <w:rsid w:val="004C4890"/>
    <w:rsid w:val="004C48D2"/>
    <w:rsid w:val="004C4BD7"/>
    <w:rsid w:val="004C50BC"/>
    <w:rsid w:val="004C5EC2"/>
    <w:rsid w:val="004C6C1D"/>
    <w:rsid w:val="004C7BDE"/>
    <w:rsid w:val="004D0BAE"/>
    <w:rsid w:val="004D1B31"/>
    <w:rsid w:val="004D1CE2"/>
    <w:rsid w:val="004D2C67"/>
    <w:rsid w:val="004D2FAB"/>
    <w:rsid w:val="004D2FDB"/>
    <w:rsid w:val="004D2FFD"/>
    <w:rsid w:val="004D6117"/>
    <w:rsid w:val="004E040F"/>
    <w:rsid w:val="004E1AAD"/>
    <w:rsid w:val="004E2894"/>
    <w:rsid w:val="004E2B65"/>
    <w:rsid w:val="004E2E43"/>
    <w:rsid w:val="004E3953"/>
    <w:rsid w:val="004E42A1"/>
    <w:rsid w:val="004E4B84"/>
    <w:rsid w:val="004E5D96"/>
    <w:rsid w:val="004E67A7"/>
    <w:rsid w:val="004F118E"/>
    <w:rsid w:val="004F20F0"/>
    <w:rsid w:val="004F30F7"/>
    <w:rsid w:val="004F3376"/>
    <w:rsid w:val="004F3F29"/>
    <w:rsid w:val="004F4D8B"/>
    <w:rsid w:val="004F6105"/>
    <w:rsid w:val="004F688F"/>
    <w:rsid w:val="004F723B"/>
    <w:rsid w:val="00500EEF"/>
    <w:rsid w:val="00500F3F"/>
    <w:rsid w:val="00501479"/>
    <w:rsid w:val="00501894"/>
    <w:rsid w:val="00501C5B"/>
    <w:rsid w:val="00501EEB"/>
    <w:rsid w:val="00501F69"/>
    <w:rsid w:val="00502285"/>
    <w:rsid w:val="00502309"/>
    <w:rsid w:val="00502CFA"/>
    <w:rsid w:val="00503294"/>
    <w:rsid w:val="005039CC"/>
    <w:rsid w:val="00503C34"/>
    <w:rsid w:val="0050473C"/>
    <w:rsid w:val="00505082"/>
    <w:rsid w:val="005052E8"/>
    <w:rsid w:val="00506B15"/>
    <w:rsid w:val="00506E04"/>
    <w:rsid w:val="0051109A"/>
    <w:rsid w:val="00511897"/>
    <w:rsid w:val="00512182"/>
    <w:rsid w:val="005147A3"/>
    <w:rsid w:val="00515027"/>
    <w:rsid w:val="005151D8"/>
    <w:rsid w:val="00515E3B"/>
    <w:rsid w:val="00515F1D"/>
    <w:rsid w:val="0051681F"/>
    <w:rsid w:val="0051737A"/>
    <w:rsid w:val="005176A6"/>
    <w:rsid w:val="00517A11"/>
    <w:rsid w:val="00517E84"/>
    <w:rsid w:val="00520F9D"/>
    <w:rsid w:val="00521599"/>
    <w:rsid w:val="00521710"/>
    <w:rsid w:val="00521717"/>
    <w:rsid w:val="00521A48"/>
    <w:rsid w:val="00522304"/>
    <w:rsid w:val="00524439"/>
    <w:rsid w:val="0052444F"/>
    <w:rsid w:val="005258B6"/>
    <w:rsid w:val="0052709C"/>
    <w:rsid w:val="00527727"/>
    <w:rsid w:val="00530F33"/>
    <w:rsid w:val="00534F9B"/>
    <w:rsid w:val="00535994"/>
    <w:rsid w:val="005365BA"/>
    <w:rsid w:val="00536CEA"/>
    <w:rsid w:val="00537478"/>
    <w:rsid w:val="005379BE"/>
    <w:rsid w:val="0054068F"/>
    <w:rsid w:val="00540F0C"/>
    <w:rsid w:val="005417D9"/>
    <w:rsid w:val="00541ECC"/>
    <w:rsid w:val="00541EE2"/>
    <w:rsid w:val="00541FD7"/>
    <w:rsid w:val="00542808"/>
    <w:rsid w:val="005454ED"/>
    <w:rsid w:val="0055046E"/>
    <w:rsid w:val="00550479"/>
    <w:rsid w:val="00551DE1"/>
    <w:rsid w:val="0055220C"/>
    <w:rsid w:val="00553BCF"/>
    <w:rsid w:val="005543B3"/>
    <w:rsid w:val="005557A5"/>
    <w:rsid w:val="00555E50"/>
    <w:rsid w:val="00557909"/>
    <w:rsid w:val="00560D79"/>
    <w:rsid w:val="005615BB"/>
    <w:rsid w:val="0056248B"/>
    <w:rsid w:val="00562943"/>
    <w:rsid w:val="005629B4"/>
    <w:rsid w:val="00565F47"/>
    <w:rsid w:val="0056602E"/>
    <w:rsid w:val="00566FB6"/>
    <w:rsid w:val="005677DB"/>
    <w:rsid w:val="00567BDC"/>
    <w:rsid w:val="00570D43"/>
    <w:rsid w:val="00571A39"/>
    <w:rsid w:val="00571CE3"/>
    <w:rsid w:val="00573AF9"/>
    <w:rsid w:val="0057462F"/>
    <w:rsid w:val="00575231"/>
    <w:rsid w:val="00575D4E"/>
    <w:rsid w:val="00575ECB"/>
    <w:rsid w:val="00576673"/>
    <w:rsid w:val="005770E3"/>
    <w:rsid w:val="00577A51"/>
    <w:rsid w:val="00580856"/>
    <w:rsid w:val="00581651"/>
    <w:rsid w:val="0058381D"/>
    <w:rsid w:val="00585FF3"/>
    <w:rsid w:val="00586E73"/>
    <w:rsid w:val="0059336A"/>
    <w:rsid w:val="00596356"/>
    <w:rsid w:val="0059651B"/>
    <w:rsid w:val="00597029"/>
    <w:rsid w:val="00597AD6"/>
    <w:rsid w:val="005A0627"/>
    <w:rsid w:val="005A3831"/>
    <w:rsid w:val="005A4345"/>
    <w:rsid w:val="005A4350"/>
    <w:rsid w:val="005A4D27"/>
    <w:rsid w:val="005A6364"/>
    <w:rsid w:val="005A6A90"/>
    <w:rsid w:val="005A6ACB"/>
    <w:rsid w:val="005A7129"/>
    <w:rsid w:val="005A75F6"/>
    <w:rsid w:val="005A7881"/>
    <w:rsid w:val="005A7D4E"/>
    <w:rsid w:val="005B0727"/>
    <w:rsid w:val="005B0F2C"/>
    <w:rsid w:val="005B323D"/>
    <w:rsid w:val="005B4C5F"/>
    <w:rsid w:val="005B5BD7"/>
    <w:rsid w:val="005C0544"/>
    <w:rsid w:val="005C23D9"/>
    <w:rsid w:val="005C34AD"/>
    <w:rsid w:val="005C4A48"/>
    <w:rsid w:val="005C54FF"/>
    <w:rsid w:val="005D07A0"/>
    <w:rsid w:val="005D16B5"/>
    <w:rsid w:val="005D25A5"/>
    <w:rsid w:val="005D2DEA"/>
    <w:rsid w:val="005D4650"/>
    <w:rsid w:val="005D4A5D"/>
    <w:rsid w:val="005D598C"/>
    <w:rsid w:val="005D6526"/>
    <w:rsid w:val="005D70CD"/>
    <w:rsid w:val="005D7817"/>
    <w:rsid w:val="005D7B43"/>
    <w:rsid w:val="005D7E9E"/>
    <w:rsid w:val="005E03DA"/>
    <w:rsid w:val="005E0938"/>
    <w:rsid w:val="005E0EC1"/>
    <w:rsid w:val="005E30EE"/>
    <w:rsid w:val="005E33C6"/>
    <w:rsid w:val="005E46A1"/>
    <w:rsid w:val="005E46B7"/>
    <w:rsid w:val="005E4C63"/>
    <w:rsid w:val="005E68D8"/>
    <w:rsid w:val="005E7195"/>
    <w:rsid w:val="005E73B2"/>
    <w:rsid w:val="005F0255"/>
    <w:rsid w:val="005F0C7F"/>
    <w:rsid w:val="005F1D74"/>
    <w:rsid w:val="005F24AC"/>
    <w:rsid w:val="005F27C7"/>
    <w:rsid w:val="005F2CAB"/>
    <w:rsid w:val="005F41E9"/>
    <w:rsid w:val="005F7A41"/>
    <w:rsid w:val="00600E77"/>
    <w:rsid w:val="00601476"/>
    <w:rsid w:val="006014BA"/>
    <w:rsid w:val="006021BD"/>
    <w:rsid w:val="00602BCF"/>
    <w:rsid w:val="00604E23"/>
    <w:rsid w:val="006122F2"/>
    <w:rsid w:val="0061257D"/>
    <w:rsid w:val="00613288"/>
    <w:rsid w:val="00613439"/>
    <w:rsid w:val="00614CB9"/>
    <w:rsid w:val="00617DD9"/>
    <w:rsid w:val="006209A6"/>
    <w:rsid w:val="00621D02"/>
    <w:rsid w:val="0062227B"/>
    <w:rsid w:val="00623219"/>
    <w:rsid w:val="00624B85"/>
    <w:rsid w:val="006256A7"/>
    <w:rsid w:val="00625B67"/>
    <w:rsid w:val="0062693B"/>
    <w:rsid w:val="00630FC5"/>
    <w:rsid w:val="00633BFD"/>
    <w:rsid w:val="00635386"/>
    <w:rsid w:val="0063581A"/>
    <w:rsid w:val="006369C9"/>
    <w:rsid w:val="00637E12"/>
    <w:rsid w:val="00640529"/>
    <w:rsid w:val="006409D8"/>
    <w:rsid w:val="00640A3E"/>
    <w:rsid w:val="00641226"/>
    <w:rsid w:val="00642A1B"/>
    <w:rsid w:val="0064306D"/>
    <w:rsid w:val="006433DA"/>
    <w:rsid w:val="006450AC"/>
    <w:rsid w:val="0064713F"/>
    <w:rsid w:val="00647A52"/>
    <w:rsid w:val="006519D7"/>
    <w:rsid w:val="0065218F"/>
    <w:rsid w:val="00652B2E"/>
    <w:rsid w:val="0065378A"/>
    <w:rsid w:val="0065381D"/>
    <w:rsid w:val="00654FF8"/>
    <w:rsid w:val="0065502A"/>
    <w:rsid w:val="00657A56"/>
    <w:rsid w:val="006648A8"/>
    <w:rsid w:val="0066549E"/>
    <w:rsid w:val="006654BB"/>
    <w:rsid w:val="00665AA0"/>
    <w:rsid w:val="006662ED"/>
    <w:rsid w:val="006672B0"/>
    <w:rsid w:val="00667456"/>
    <w:rsid w:val="00667DBC"/>
    <w:rsid w:val="0067116C"/>
    <w:rsid w:val="00672D9D"/>
    <w:rsid w:val="006746B8"/>
    <w:rsid w:val="00674990"/>
    <w:rsid w:val="006749F8"/>
    <w:rsid w:val="00674AF8"/>
    <w:rsid w:val="0067704A"/>
    <w:rsid w:val="00677099"/>
    <w:rsid w:val="00680C71"/>
    <w:rsid w:val="00682626"/>
    <w:rsid w:val="006835DD"/>
    <w:rsid w:val="00683A54"/>
    <w:rsid w:val="00686975"/>
    <w:rsid w:val="00686D89"/>
    <w:rsid w:val="006912D1"/>
    <w:rsid w:val="00691AA1"/>
    <w:rsid w:val="006923E6"/>
    <w:rsid w:val="006A0B1D"/>
    <w:rsid w:val="006A25C7"/>
    <w:rsid w:val="006A2881"/>
    <w:rsid w:val="006A34ED"/>
    <w:rsid w:val="006A354B"/>
    <w:rsid w:val="006A3BB4"/>
    <w:rsid w:val="006A6BF9"/>
    <w:rsid w:val="006A728A"/>
    <w:rsid w:val="006A7C84"/>
    <w:rsid w:val="006A7F0F"/>
    <w:rsid w:val="006B01F6"/>
    <w:rsid w:val="006B15F4"/>
    <w:rsid w:val="006B1B74"/>
    <w:rsid w:val="006B2267"/>
    <w:rsid w:val="006B27D4"/>
    <w:rsid w:val="006B2C62"/>
    <w:rsid w:val="006B30D3"/>
    <w:rsid w:val="006B42E5"/>
    <w:rsid w:val="006B514D"/>
    <w:rsid w:val="006B547A"/>
    <w:rsid w:val="006B5834"/>
    <w:rsid w:val="006B5B27"/>
    <w:rsid w:val="006B5CAF"/>
    <w:rsid w:val="006C291E"/>
    <w:rsid w:val="006C2BEE"/>
    <w:rsid w:val="006C2F64"/>
    <w:rsid w:val="006C308E"/>
    <w:rsid w:val="006C318C"/>
    <w:rsid w:val="006C4AA5"/>
    <w:rsid w:val="006C4D62"/>
    <w:rsid w:val="006C6120"/>
    <w:rsid w:val="006D0369"/>
    <w:rsid w:val="006D0C59"/>
    <w:rsid w:val="006D1077"/>
    <w:rsid w:val="006D1883"/>
    <w:rsid w:val="006D22FA"/>
    <w:rsid w:val="006D2CBF"/>
    <w:rsid w:val="006D3180"/>
    <w:rsid w:val="006D3207"/>
    <w:rsid w:val="006D4AB3"/>
    <w:rsid w:val="006D53CD"/>
    <w:rsid w:val="006D5446"/>
    <w:rsid w:val="006D580B"/>
    <w:rsid w:val="006D6037"/>
    <w:rsid w:val="006D6A9F"/>
    <w:rsid w:val="006D7057"/>
    <w:rsid w:val="006D70B6"/>
    <w:rsid w:val="006D77F0"/>
    <w:rsid w:val="006E0072"/>
    <w:rsid w:val="006E00C3"/>
    <w:rsid w:val="006E0B48"/>
    <w:rsid w:val="006E0D5A"/>
    <w:rsid w:val="006E1270"/>
    <w:rsid w:val="006E163D"/>
    <w:rsid w:val="006E1E51"/>
    <w:rsid w:val="006E2129"/>
    <w:rsid w:val="006E213A"/>
    <w:rsid w:val="006E2FD0"/>
    <w:rsid w:val="006E354D"/>
    <w:rsid w:val="006E397B"/>
    <w:rsid w:val="006E42D8"/>
    <w:rsid w:val="006E4EBE"/>
    <w:rsid w:val="006E56A8"/>
    <w:rsid w:val="006E5814"/>
    <w:rsid w:val="006E5AC0"/>
    <w:rsid w:val="006E6C92"/>
    <w:rsid w:val="006E7D2E"/>
    <w:rsid w:val="006F1DC8"/>
    <w:rsid w:val="006F2241"/>
    <w:rsid w:val="006F23E4"/>
    <w:rsid w:val="006F2F49"/>
    <w:rsid w:val="006F2FA2"/>
    <w:rsid w:val="006F4AAB"/>
    <w:rsid w:val="006F633F"/>
    <w:rsid w:val="00700524"/>
    <w:rsid w:val="00701845"/>
    <w:rsid w:val="007024DB"/>
    <w:rsid w:val="007039FE"/>
    <w:rsid w:val="00703F1A"/>
    <w:rsid w:val="007042D4"/>
    <w:rsid w:val="00704CA6"/>
    <w:rsid w:val="00704CB0"/>
    <w:rsid w:val="007050FC"/>
    <w:rsid w:val="00705D62"/>
    <w:rsid w:val="00706949"/>
    <w:rsid w:val="00707F90"/>
    <w:rsid w:val="00710055"/>
    <w:rsid w:val="0071057B"/>
    <w:rsid w:val="00710AAC"/>
    <w:rsid w:val="00710DC3"/>
    <w:rsid w:val="00712A12"/>
    <w:rsid w:val="00713A53"/>
    <w:rsid w:val="00715A53"/>
    <w:rsid w:val="00715CCA"/>
    <w:rsid w:val="007169A0"/>
    <w:rsid w:val="007202ED"/>
    <w:rsid w:val="00722A33"/>
    <w:rsid w:val="00722B98"/>
    <w:rsid w:val="0072326A"/>
    <w:rsid w:val="00724227"/>
    <w:rsid w:val="00725889"/>
    <w:rsid w:val="0072619D"/>
    <w:rsid w:val="00726B6F"/>
    <w:rsid w:val="00726BE4"/>
    <w:rsid w:val="00727086"/>
    <w:rsid w:val="00733E0F"/>
    <w:rsid w:val="00733EC0"/>
    <w:rsid w:val="007341E4"/>
    <w:rsid w:val="007344FE"/>
    <w:rsid w:val="00734ACF"/>
    <w:rsid w:val="00735F42"/>
    <w:rsid w:val="007362DD"/>
    <w:rsid w:val="00741031"/>
    <w:rsid w:val="00743D80"/>
    <w:rsid w:val="0074578D"/>
    <w:rsid w:val="007468EF"/>
    <w:rsid w:val="00747EE1"/>
    <w:rsid w:val="00751324"/>
    <w:rsid w:val="00751C2E"/>
    <w:rsid w:val="007521E5"/>
    <w:rsid w:val="00752D44"/>
    <w:rsid w:val="00752E1A"/>
    <w:rsid w:val="0075302D"/>
    <w:rsid w:val="00753EB5"/>
    <w:rsid w:val="00755E32"/>
    <w:rsid w:val="00755F2F"/>
    <w:rsid w:val="00757BE7"/>
    <w:rsid w:val="00757DA0"/>
    <w:rsid w:val="00761B20"/>
    <w:rsid w:val="00762132"/>
    <w:rsid w:val="007628DA"/>
    <w:rsid w:val="00762C7D"/>
    <w:rsid w:val="00764019"/>
    <w:rsid w:val="00764BD0"/>
    <w:rsid w:val="00764FAC"/>
    <w:rsid w:val="00765033"/>
    <w:rsid w:val="007656CE"/>
    <w:rsid w:val="007659DB"/>
    <w:rsid w:val="00765C06"/>
    <w:rsid w:val="00766A4D"/>
    <w:rsid w:val="00767099"/>
    <w:rsid w:val="0076782B"/>
    <w:rsid w:val="00767BBC"/>
    <w:rsid w:val="007702CB"/>
    <w:rsid w:val="007713EF"/>
    <w:rsid w:val="00771402"/>
    <w:rsid w:val="00771A18"/>
    <w:rsid w:val="00771C28"/>
    <w:rsid w:val="0077302B"/>
    <w:rsid w:val="00773C7B"/>
    <w:rsid w:val="00773C9C"/>
    <w:rsid w:val="00774672"/>
    <w:rsid w:val="00774E4D"/>
    <w:rsid w:val="007754ED"/>
    <w:rsid w:val="007761E6"/>
    <w:rsid w:val="00776A6E"/>
    <w:rsid w:val="00776AF3"/>
    <w:rsid w:val="00780556"/>
    <w:rsid w:val="0078278F"/>
    <w:rsid w:val="007833BA"/>
    <w:rsid w:val="00784D33"/>
    <w:rsid w:val="00785892"/>
    <w:rsid w:val="00786143"/>
    <w:rsid w:val="00790428"/>
    <w:rsid w:val="007912C6"/>
    <w:rsid w:val="007929A2"/>
    <w:rsid w:val="00792BAC"/>
    <w:rsid w:val="00793E91"/>
    <w:rsid w:val="00794D9A"/>
    <w:rsid w:val="007958AF"/>
    <w:rsid w:val="00795E5A"/>
    <w:rsid w:val="0079712A"/>
    <w:rsid w:val="007977F9"/>
    <w:rsid w:val="007A0617"/>
    <w:rsid w:val="007A07E8"/>
    <w:rsid w:val="007A131B"/>
    <w:rsid w:val="007A3CB3"/>
    <w:rsid w:val="007A7FAB"/>
    <w:rsid w:val="007B204B"/>
    <w:rsid w:val="007B4E03"/>
    <w:rsid w:val="007B70EF"/>
    <w:rsid w:val="007B7446"/>
    <w:rsid w:val="007C06BF"/>
    <w:rsid w:val="007C1A39"/>
    <w:rsid w:val="007C4257"/>
    <w:rsid w:val="007C5806"/>
    <w:rsid w:val="007C6F8D"/>
    <w:rsid w:val="007C73FA"/>
    <w:rsid w:val="007C7C51"/>
    <w:rsid w:val="007D0B13"/>
    <w:rsid w:val="007D0F1D"/>
    <w:rsid w:val="007D281F"/>
    <w:rsid w:val="007D3008"/>
    <w:rsid w:val="007D3441"/>
    <w:rsid w:val="007D4E9C"/>
    <w:rsid w:val="007D503A"/>
    <w:rsid w:val="007D516E"/>
    <w:rsid w:val="007D75D5"/>
    <w:rsid w:val="007D776B"/>
    <w:rsid w:val="007E2539"/>
    <w:rsid w:val="007E260E"/>
    <w:rsid w:val="007E2668"/>
    <w:rsid w:val="007E3025"/>
    <w:rsid w:val="007E3216"/>
    <w:rsid w:val="007E3F68"/>
    <w:rsid w:val="007E481B"/>
    <w:rsid w:val="007E5ED9"/>
    <w:rsid w:val="007E70B6"/>
    <w:rsid w:val="007E7439"/>
    <w:rsid w:val="007E75D1"/>
    <w:rsid w:val="007E7AFF"/>
    <w:rsid w:val="007F00D0"/>
    <w:rsid w:val="007F146F"/>
    <w:rsid w:val="007F34C1"/>
    <w:rsid w:val="007F35C8"/>
    <w:rsid w:val="007F3CCE"/>
    <w:rsid w:val="007F4730"/>
    <w:rsid w:val="007F4AC6"/>
    <w:rsid w:val="007F53FD"/>
    <w:rsid w:val="007F5D32"/>
    <w:rsid w:val="007F6426"/>
    <w:rsid w:val="007F6AC6"/>
    <w:rsid w:val="007F7B26"/>
    <w:rsid w:val="00800B6B"/>
    <w:rsid w:val="00800F7F"/>
    <w:rsid w:val="0080165D"/>
    <w:rsid w:val="00801758"/>
    <w:rsid w:val="00801892"/>
    <w:rsid w:val="00801FF5"/>
    <w:rsid w:val="00802B2E"/>
    <w:rsid w:val="0080303B"/>
    <w:rsid w:val="00803C42"/>
    <w:rsid w:val="00805763"/>
    <w:rsid w:val="008100C8"/>
    <w:rsid w:val="00810EA4"/>
    <w:rsid w:val="008123C9"/>
    <w:rsid w:val="00817185"/>
    <w:rsid w:val="00820382"/>
    <w:rsid w:val="00820698"/>
    <w:rsid w:val="00821328"/>
    <w:rsid w:val="00821B38"/>
    <w:rsid w:val="0082272F"/>
    <w:rsid w:val="00822909"/>
    <w:rsid w:val="00823226"/>
    <w:rsid w:val="00827347"/>
    <w:rsid w:val="00827DD4"/>
    <w:rsid w:val="00831AC5"/>
    <w:rsid w:val="00833073"/>
    <w:rsid w:val="00833DD9"/>
    <w:rsid w:val="00834BA7"/>
    <w:rsid w:val="008350FC"/>
    <w:rsid w:val="00835CAE"/>
    <w:rsid w:val="00836DDA"/>
    <w:rsid w:val="00837BCF"/>
    <w:rsid w:val="008406BB"/>
    <w:rsid w:val="00841593"/>
    <w:rsid w:val="008422FB"/>
    <w:rsid w:val="008433B1"/>
    <w:rsid w:val="00843976"/>
    <w:rsid w:val="008440E9"/>
    <w:rsid w:val="008453F6"/>
    <w:rsid w:val="0084564F"/>
    <w:rsid w:val="008457FC"/>
    <w:rsid w:val="00845C43"/>
    <w:rsid w:val="008479FB"/>
    <w:rsid w:val="00847B92"/>
    <w:rsid w:val="00847F78"/>
    <w:rsid w:val="0085056C"/>
    <w:rsid w:val="008521D2"/>
    <w:rsid w:val="008534BA"/>
    <w:rsid w:val="00855663"/>
    <w:rsid w:val="00857DA4"/>
    <w:rsid w:val="00860D16"/>
    <w:rsid w:val="00861487"/>
    <w:rsid w:val="00861B6A"/>
    <w:rsid w:val="00865362"/>
    <w:rsid w:val="008663EC"/>
    <w:rsid w:val="00866523"/>
    <w:rsid w:val="008666E1"/>
    <w:rsid w:val="0087083E"/>
    <w:rsid w:val="0087199D"/>
    <w:rsid w:val="00873635"/>
    <w:rsid w:val="00873A62"/>
    <w:rsid w:val="008742C7"/>
    <w:rsid w:val="0087447F"/>
    <w:rsid w:val="00877698"/>
    <w:rsid w:val="008779E7"/>
    <w:rsid w:val="008802A9"/>
    <w:rsid w:val="0088265B"/>
    <w:rsid w:val="00882BE4"/>
    <w:rsid w:val="00882E48"/>
    <w:rsid w:val="00883857"/>
    <w:rsid w:val="00883D07"/>
    <w:rsid w:val="008864E8"/>
    <w:rsid w:val="0088675A"/>
    <w:rsid w:val="00886A2A"/>
    <w:rsid w:val="00886F10"/>
    <w:rsid w:val="008874B8"/>
    <w:rsid w:val="008877DC"/>
    <w:rsid w:val="00887A8D"/>
    <w:rsid w:val="00887CBB"/>
    <w:rsid w:val="00887F31"/>
    <w:rsid w:val="00887FF2"/>
    <w:rsid w:val="00890001"/>
    <w:rsid w:val="008905DD"/>
    <w:rsid w:val="008909B7"/>
    <w:rsid w:val="00891090"/>
    <w:rsid w:val="0089169E"/>
    <w:rsid w:val="008924BA"/>
    <w:rsid w:val="008935D0"/>
    <w:rsid w:val="00894805"/>
    <w:rsid w:val="00894A24"/>
    <w:rsid w:val="00894B4A"/>
    <w:rsid w:val="00894C6A"/>
    <w:rsid w:val="00894DBA"/>
    <w:rsid w:val="00895230"/>
    <w:rsid w:val="00896D30"/>
    <w:rsid w:val="008A019E"/>
    <w:rsid w:val="008A0906"/>
    <w:rsid w:val="008A1D36"/>
    <w:rsid w:val="008A229E"/>
    <w:rsid w:val="008A23CD"/>
    <w:rsid w:val="008A247F"/>
    <w:rsid w:val="008A3365"/>
    <w:rsid w:val="008A3377"/>
    <w:rsid w:val="008A52C1"/>
    <w:rsid w:val="008A56DA"/>
    <w:rsid w:val="008A66C4"/>
    <w:rsid w:val="008A6C0A"/>
    <w:rsid w:val="008A703D"/>
    <w:rsid w:val="008A70E4"/>
    <w:rsid w:val="008A71A6"/>
    <w:rsid w:val="008B1FC1"/>
    <w:rsid w:val="008B2CDF"/>
    <w:rsid w:val="008B66A4"/>
    <w:rsid w:val="008B66B0"/>
    <w:rsid w:val="008C0731"/>
    <w:rsid w:val="008C11D6"/>
    <w:rsid w:val="008C1838"/>
    <w:rsid w:val="008C2233"/>
    <w:rsid w:val="008C30E5"/>
    <w:rsid w:val="008C38A9"/>
    <w:rsid w:val="008C62B4"/>
    <w:rsid w:val="008C6305"/>
    <w:rsid w:val="008D030E"/>
    <w:rsid w:val="008D2C74"/>
    <w:rsid w:val="008D36D8"/>
    <w:rsid w:val="008D3DDD"/>
    <w:rsid w:val="008D40D8"/>
    <w:rsid w:val="008D557F"/>
    <w:rsid w:val="008D642C"/>
    <w:rsid w:val="008D7A67"/>
    <w:rsid w:val="008E06D0"/>
    <w:rsid w:val="008E2D8D"/>
    <w:rsid w:val="008E3578"/>
    <w:rsid w:val="008E38AE"/>
    <w:rsid w:val="008E39A0"/>
    <w:rsid w:val="008E4E22"/>
    <w:rsid w:val="008E57D7"/>
    <w:rsid w:val="008E5A17"/>
    <w:rsid w:val="008E5A85"/>
    <w:rsid w:val="008E5BCF"/>
    <w:rsid w:val="008F0C5E"/>
    <w:rsid w:val="008F15BF"/>
    <w:rsid w:val="008F16A9"/>
    <w:rsid w:val="008F34D4"/>
    <w:rsid w:val="008F41EA"/>
    <w:rsid w:val="008F475B"/>
    <w:rsid w:val="008F67A2"/>
    <w:rsid w:val="008F6C5B"/>
    <w:rsid w:val="008F7C94"/>
    <w:rsid w:val="00900404"/>
    <w:rsid w:val="00900B59"/>
    <w:rsid w:val="00900BC7"/>
    <w:rsid w:val="00900E96"/>
    <w:rsid w:val="0090108F"/>
    <w:rsid w:val="00902401"/>
    <w:rsid w:val="009031B9"/>
    <w:rsid w:val="009034A9"/>
    <w:rsid w:val="009046A4"/>
    <w:rsid w:val="00905254"/>
    <w:rsid w:val="00905526"/>
    <w:rsid w:val="009067F5"/>
    <w:rsid w:val="0090706D"/>
    <w:rsid w:val="0091081C"/>
    <w:rsid w:val="0091162F"/>
    <w:rsid w:val="009119A3"/>
    <w:rsid w:val="00913A20"/>
    <w:rsid w:val="009147B8"/>
    <w:rsid w:val="00915349"/>
    <w:rsid w:val="0091562F"/>
    <w:rsid w:val="00915EA3"/>
    <w:rsid w:val="00917814"/>
    <w:rsid w:val="00921D19"/>
    <w:rsid w:val="00921F95"/>
    <w:rsid w:val="009234F8"/>
    <w:rsid w:val="009247F6"/>
    <w:rsid w:val="00925D8B"/>
    <w:rsid w:val="0092665C"/>
    <w:rsid w:val="00926BA5"/>
    <w:rsid w:val="00932357"/>
    <w:rsid w:val="00933854"/>
    <w:rsid w:val="009351DB"/>
    <w:rsid w:val="00936AE1"/>
    <w:rsid w:val="00936BFB"/>
    <w:rsid w:val="00936CD1"/>
    <w:rsid w:val="00936F42"/>
    <w:rsid w:val="00937CDB"/>
    <w:rsid w:val="00937E93"/>
    <w:rsid w:val="00940294"/>
    <w:rsid w:val="00940454"/>
    <w:rsid w:val="00940EF2"/>
    <w:rsid w:val="00941A3B"/>
    <w:rsid w:val="00941A3C"/>
    <w:rsid w:val="00942C0A"/>
    <w:rsid w:val="0094534D"/>
    <w:rsid w:val="0094623C"/>
    <w:rsid w:val="00947DB1"/>
    <w:rsid w:val="00950215"/>
    <w:rsid w:val="00951DE2"/>
    <w:rsid w:val="0095212F"/>
    <w:rsid w:val="0095242F"/>
    <w:rsid w:val="0095785D"/>
    <w:rsid w:val="0096060E"/>
    <w:rsid w:val="0096081E"/>
    <w:rsid w:val="00960DD1"/>
    <w:rsid w:val="0096299E"/>
    <w:rsid w:val="00962A6D"/>
    <w:rsid w:val="00965434"/>
    <w:rsid w:val="009659E5"/>
    <w:rsid w:val="009703A3"/>
    <w:rsid w:val="00970530"/>
    <w:rsid w:val="00970CB5"/>
    <w:rsid w:val="0097221E"/>
    <w:rsid w:val="00972F16"/>
    <w:rsid w:val="00972FD5"/>
    <w:rsid w:val="009737C5"/>
    <w:rsid w:val="009742DE"/>
    <w:rsid w:val="0097434D"/>
    <w:rsid w:val="00976B04"/>
    <w:rsid w:val="00976B8F"/>
    <w:rsid w:val="00976E34"/>
    <w:rsid w:val="009770C9"/>
    <w:rsid w:val="0098031B"/>
    <w:rsid w:val="0098137B"/>
    <w:rsid w:val="00982F5B"/>
    <w:rsid w:val="009834E1"/>
    <w:rsid w:val="0098363C"/>
    <w:rsid w:val="00983BAF"/>
    <w:rsid w:val="00983D3F"/>
    <w:rsid w:val="0098561D"/>
    <w:rsid w:val="00985B65"/>
    <w:rsid w:val="0098692A"/>
    <w:rsid w:val="00986E7E"/>
    <w:rsid w:val="009871D1"/>
    <w:rsid w:val="00987A64"/>
    <w:rsid w:val="00990513"/>
    <w:rsid w:val="00990D1A"/>
    <w:rsid w:val="00991EBA"/>
    <w:rsid w:val="0099250F"/>
    <w:rsid w:val="00993385"/>
    <w:rsid w:val="00995DEC"/>
    <w:rsid w:val="00996F83"/>
    <w:rsid w:val="00997400"/>
    <w:rsid w:val="00997CFF"/>
    <w:rsid w:val="00997E4C"/>
    <w:rsid w:val="009A2847"/>
    <w:rsid w:val="009B0B54"/>
    <w:rsid w:val="009B13DA"/>
    <w:rsid w:val="009B13F4"/>
    <w:rsid w:val="009B1DB8"/>
    <w:rsid w:val="009B22D5"/>
    <w:rsid w:val="009B327E"/>
    <w:rsid w:val="009B336B"/>
    <w:rsid w:val="009B4061"/>
    <w:rsid w:val="009B4DD7"/>
    <w:rsid w:val="009B5799"/>
    <w:rsid w:val="009B79D0"/>
    <w:rsid w:val="009C1B6B"/>
    <w:rsid w:val="009C3AA0"/>
    <w:rsid w:val="009C3AB0"/>
    <w:rsid w:val="009C40CE"/>
    <w:rsid w:val="009C421E"/>
    <w:rsid w:val="009C594F"/>
    <w:rsid w:val="009C5B12"/>
    <w:rsid w:val="009C6BEB"/>
    <w:rsid w:val="009D0E79"/>
    <w:rsid w:val="009D1300"/>
    <w:rsid w:val="009D180E"/>
    <w:rsid w:val="009D2BD5"/>
    <w:rsid w:val="009D2DF7"/>
    <w:rsid w:val="009D2DFF"/>
    <w:rsid w:val="009D3C6F"/>
    <w:rsid w:val="009D5E78"/>
    <w:rsid w:val="009D6A56"/>
    <w:rsid w:val="009D6E50"/>
    <w:rsid w:val="009D6F25"/>
    <w:rsid w:val="009E1555"/>
    <w:rsid w:val="009E2008"/>
    <w:rsid w:val="009E21C1"/>
    <w:rsid w:val="009E2412"/>
    <w:rsid w:val="009E54E1"/>
    <w:rsid w:val="009E65DD"/>
    <w:rsid w:val="009E75A6"/>
    <w:rsid w:val="009F02B3"/>
    <w:rsid w:val="009F123D"/>
    <w:rsid w:val="009F19EE"/>
    <w:rsid w:val="009F1D7C"/>
    <w:rsid w:val="009F21DE"/>
    <w:rsid w:val="009F3BBD"/>
    <w:rsid w:val="009F6D57"/>
    <w:rsid w:val="009F7051"/>
    <w:rsid w:val="009F70FD"/>
    <w:rsid w:val="009F7162"/>
    <w:rsid w:val="00A00EA3"/>
    <w:rsid w:val="00A01CC1"/>
    <w:rsid w:val="00A01CFC"/>
    <w:rsid w:val="00A0221C"/>
    <w:rsid w:val="00A02796"/>
    <w:rsid w:val="00A02C7F"/>
    <w:rsid w:val="00A03426"/>
    <w:rsid w:val="00A04F96"/>
    <w:rsid w:val="00A05353"/>
    <w:rsid w:val="00A060FF"/>
    <w:rsid w:val="00A07210"/>
    <w:rsid w:val="00A0780D"/>
    <w:rsid w:val="00A07FDD"/>
    <w:rsid w:val="00A10422"/>
    <w:rsid w:val="00A116E2"/>
    <w:rsid w:val="00A11AD5"/>
    <w:rsid w:val="00A1295A"/>
    <w:rsid w:val="00A12BF7"/>
    <w:rsid w:val="00A13D73"/>
    <w:rsid w:val="00A14BB9"/>
    <w:rsid w:val="00A15157"/>
    <w:rsid w:val="00A1585D"/>
    <w:rsid w:val="00A16396"/>
    <w:rsid w:val="00A1756D"/>
    <w:rsid w:val="00A17D9C"/>
    <w:rsid w:val="00A20160"/>
    <w:rsid w:val="00A225B7"/>
    <w:rsid w:val="00A22BD8"/>
    <w:rsid w:val="00A24C6C"/>
    <w:rsid w:val="00A24C9C"/>
    <w:rsid w:val="00A24DCA"/>
    <w:rsid w:val="00A3077D"/>
    <w:rsid w:val="00A3101B"/>
    <w:rsid w:val="00A327E9"/>
    <w:rsid w:val="00A32FC9"/>
    <w:rsid w:val="00A3323C"/>
    <w:rsid w:val="00A37F30"/>
    <w:rsid w:val="00A405D2"/>
    <w:rsid w:val="00A40C19"/>
    <w:rsid w:val="00A40EFB"/>
    <w:rsid w:val="00A42999"/>
    <w:rsid w:val="00A433F1"/>
    <w:rsid w:val="00A43591"/>
    <w:rsid w:val="00A44E79"/>
    <w:rsid w:val="00A47B2C"/>
    <w:rsid w:val="00A51587"/>
    <w:rsid w:val="00A51B47"/>
    <w:rsid w:val="00A52348"/>
    <w:rsid w:val="00A532B8"/>
    <w:rsid w:val="00A53E87"/>
    <w:rsid w:val="00A540BA"/>
    <w:rsid w:val="00A54A15"/>
    <w:rsid w:val="00A54CBC"/>
    <w:rsid w:val="00A5517D"/>
    <w:rsid w:val="00A553BA"/>
    <w:rsid w:val="00A560E7"/>
    <w:rsid w:val="00A564C0"/>
    <w:rsid w:val="00A56E11"/>
    <w:rsid w:val="00A575C2"/>
    <w:rsid w:val="00A616A8"/>
    <w:rsid w:val="00A618B2"/>
    <w:rsid w:val="00A61D58"/>
    <w:rsid w:val="00A622EE"/>
    <w:rsid w:val="00A639C0"/>
    <w:rsid w:val="00A63CC4"/>
    <w:rsid w:val="00A64A88"/>
    <w:rsid w:val="00A64DD6"/>
    <w:rsid w:val="00A66294"/>
    <w:rsid w:val="00A67A36"/>
    <w:rsid w:val="00A67D40"/>
    <w:rsid w:val="00A67DAB"/>
    <w:rsid w:val="00A700E1"/>
    <w:rsid w:val="00A7031F"/>
    <w:rsid w:val="00A715E5"/>
    <w:rsid w:val="00A71FE6"/>
    <w:rsid w:val="00A726BE"/>
    <w:rsid w:val="00A73DA4"/>
    <w:rsid w:val="00A7403D"/>
    <w:rsid w:val="00A746F0"/>
    <w:rsid w:val="00A74C2D"/>
    <w:rsid w:val="00A75432"/>
    <w:rsid w:val="00A7660A"/>
    <w:rsid w:val="00A76901"/>
    <w:rsid w:val="00A77206"/>
    <w:rsid w:val="00A77401"/>
    <w:rsid w:val="00A775A0"/>
    <w:rsid w:val="00A77C41"/>
    <w:rsid w:val="00A80FEF"/>
    <w:rsid w:val="00A81960"/>
    <w:rsid w:val="00A81B59"/>
    <w:rsid w:val="00A830F1"/>
    <w:rsid w:val="00A85EEF"/>
    <w:rsid w:val="00A90843"/>
    <w:rsid w:val="00A91810"/>
    <w:rsid w:val="00A91AD9"/>
    <w:rsid w:val="00A926ED"/>
    <w:rsid w:val="00A928C0"/>
    <w:rsid w:val="00A928DC"/>
    <w:rsid w:val="00A93A91"/>
    <w:rsid w:val="00A940CF"/>
    <w:rsid w:val="00A967F6"/>
    <w:rsid w:val="00AA1770"/>
    <w:rsid w:val="00AA1FCC"/>
    <w:rsid w:val="00AA2E45"/>
    <w:rsid w:val="00AA349D"/>
    <w:rsid w:val="00AA3770"/>
    <w:rsid w:val="00AA45BF"/>
    <w:rsid w:val="00AA558F"/>
    <w:rsid w:val="00AA6D01"/>
    <w:rsid w:val="00AA74BB"/>
    <w:rsid w:val="00AA7F4C"/>
    <w:rsid w:val="00AB0EC9"/>
    <w:rsid w:val="00AB154D"/>
    <w:rsid w:val="00AB2B4A"/>
    <w:rsid w:val="00AB3FF9"/>
    <w:rsid w:val="00AB418D"/>
    <w:rsid w:val="00AB42A3"/>
    <w:rsid w:val="00AB69B5"/>
    <w:rsid w:val="00AB6F81"/>
    <w:rsid w:val="00AC1664"/>
    <w:rsid w:val="00AC1A8F"/>
    <w:rsid w:val="00AC234E"/>
    <w:rsid w:val="00AC24D1"/>
    <w:rsid w:val="00AC2CE8"/>
    <w:rsid w:val="00AC315E"/>
    <w:rsid w:val="00AC31C1"/>
    <w:rsid w:val="00AC3DB7"/>
    <w:rsid w:val="00AC50FD"/>
    <w:rsid w:val="00AC68F8"/>
    <w:rsid w:val="00AD0647"/>
    <w:rsid w:val="00AD0674"/>
    <w:rsid w:val="00AD1803"/>
    <w:rsid w:val="00AD41D5"/>
    <w:rsid w:val="00AD42B7"/>
    <w:rsid w:val="00AD440C"/>
    <w:rsid w:val="00AD471E"/>
    <w:rsid w:val="00AD5276"/>
    <w:rsid w:val="00AD57FC"/>
    <w:rsid w:val="00AD5CC0"/>
    <w:rsid w:val="00AD643B"/>
    <w:rsid w:val="00AD6A7E"/>
    <w:rsid w:val="00AD6C61"/>
    <w:rsid w:val="00AE17F1"/>
    <w:rsid w:val="00AE20B2"/>
    <w:rsid w:val="00AE20BE"/>
    <w:rsid w:val="00AE2F71"/>
    <w:rsid w:val="00AE385C"/>
    <w:rsid w:val="00AE3A49"/>
    <w:rsid w:val="00AE4636"/>
    <w:rsid w:val="00AE56A1"/>
    <w:rsid w:val="00AE5A52"/>
    <w:rsid w:val="00AF08C3"/>
    <w:rsid w:val="00AF10FD"/>
    <w:rsid w:val="00AF2182"/>
    <w:rsid w:val="00AF21B4"/>
    <w:rsid w:val="00AF2776"/>
    <w:rsid w:val="00AF3F09"/>
    <w:rsid w:val="00AF4347"/>
    <w:rsid w:val="00AF7C42"/>
    <w:rsid w:val="00B01576"/>
    <w:rsid w:val="00B0245B"/>
    <w:rsid w:val="00B025FE"/>
    <w:rsid w:val="00B04750"/>
    <w:rsid w:val="00B04B84"/>
    <w:rsid w:val="00B05469"/>
    <w:rsid w:val="00B06215"/>
    <w:rsid w:val="00B0621E"/>
    <w:rsid w:val="00B0702F"/>
    <w:rsid w:val="00B0711E"/>
    <w:rsid w:val="00B07481"/>
    <w:rsid w:val="00B07AFB"/>
    <w:rsid w:val="00B11B08"/>
    <w:rsid w:val="00B122DC"/>
    <w:rsid w:val="00B133BE"/>
    <w:rsid w:val="00B13DDD"/>
    <w:rsid w:val="00B142A5"/>
    <w:rsid w:val="00B14C99"/>
    <w:rsid w:val="00B151B3"/>
    <w:rsid w:val="00B153D6"/>
    <w:rsid w:val="00B16399"/>
    <w:rsid w:val="00B16FC5"/>
    <w:rsid w:val="00B1724B"/>
    <w:rsid w:val="00B20CDB"/>
    <w:rsid w:val="00B2176B"/>
    <w:rsid w:val="00B23656"/>
    <w:rsid w:val="00B23685"/>
    <w:rsid w:val="00B238AC"/>
    <w:rsid w:val="00B23AA7"/>
    <w:rsid w:val="00B24032"/>
    <w:rsid w:val="00B2408C"/>
    <w:rsid w:val="00B25B60"/>
    <w:rsid w:val="00B26151"/>
    <w:rsid w:val="00B27940"/>
    <w:rsid w:val="00B27F56"/>
    <w:rsid w:val="00B306D1"/>
    <w:rsid w:val="00B30C60"/>
    <w:rsid w:val="00B31453"/>
    <w:rsid w:val="00B31C18"/>
    <w:rsid w:val="00B32C31"/>
    <w:rsid w:val="00B339F9"/>
    <w:rsid w:val="00B347B4"/>
    <w:rsid w:val="00B34949"/>
    <w:rsid w:val="00B35618"/>
    <w:rsid w:val="00B40E6A"/>
    <w:rsid w:val="00B4157C"/>
    <w:rsid w:val="00B424AB"/>
    <w:rsid w:val="00B42561"/>
    <w:rsid w:val="00B42E32"/>
    <w:rsid w:val="00B44717"/>
    <w:rsid w:val="00B46214"/>
    <w:rsid w:val="00B46674"/>
    <w:rsid w:val="00B46F46"/>
    <w:rsid w:val="00B47D36"/>
    <w:rsid w:val="00B5024C"/>
    <w:rsid w:val="00B50481"/>
    <w:rsid w:val="00B50969"/>
    <w:rsid w:val="00B50A53"/>
    <w:rsid w:val="00B52B2E"/>
    <w:rsid w:val="00B52DCD"/>
    <w:rsid w:val="00B531B7"/>
    <w:rsid w:val="00B53975"/>
    <w:rsid w:val="00B54110"/>
    <w:rsid w:val="00B54A98"/>
    <w:rsid w:val="00B54ECF"/>
    <w:rsid w:val="00B561DE"/>
    <w:rsid w:val="00B57201"/>
    <w:rsid w:val="00B60E08"/>
    <w:rsid w:val="00B612CF"/>
    <w:rsid w:val="00B61692"/>
    <w:rsid w:val="00B62C53"/>
    <w:rsid w:val="00B64121"/>
    <w:rsid w:val="00B64806"/>
    <w:rsid w:val="00B650F5"/>
    <w:rsid w:val="00B66249"/>
    <w:rsid w:val="00B6787E"/>
    <w:rsid w:val="00B67885"/>
    <w:rsid w:val="00B67DDF"/>
    <w:rsid w:val="00B70C1F"/>
    <w:rsid w:val="00B71088"/>
    <w:rsid w:val="00B71CA5"/>
    <w:rsid w:val="00B74405"/>
    <w:rsid w:val="00B752CE"/>
    <w:rsid w:val="00B76F4F"/>
    <w:rsid w:val="00B827E8"/>
    <w:rsid w:val="00B82B2C"/>
    <w:rsid w:val="00B86074"/>
    <w:rsid w:val="00B86E5F"/>
    <w:rsid w:val="00B86F7D"/>
    <w:rsid w:val="00B8716A"/>
    <w:rsid w:val="00B87AE2"/>
    <w:rsid w:val="00B87B5F"/>
    <w:rsid w:val="00B9043B"/>
    <w:rsid w:val="00B90682"/>
    <w:rsid w:val="00B9301C"/>
    <w:rsid w:val="00B95B6E"/>
    <w:rsid w:val="00B9641D"/>
    <w:rsid w:val="00B96E39"/>
    <w:rsid w:val="00B97391"/>
    <w:rsid w:val="00BA05CC"/>
    <w:rsid w:val="00BA0B98"/>
    <w:rsid w:val="00BA237A"/>
    <w:rsid w:val="00BA277A"/>
    <w:rsid w:val="00BA297D"/>
    <w:rsid w:val="00BA3FF2"/>
    <w:rsid w:val="00BA4365"/>
    <w:rsid w:val="00BA4814"/>
    <w:rsid w:val="00BA5DD2"/>
    <w:rsid w:val="00BA6B1A"/>
    <w:rsid w:val="00BA7FAF"/>
    <w:rsid w:val="00BB0387"/>
    <w:rsid w:val="00BB25B4"/>
    <w:rsid w:val="00BB31A5"/>
    <w:rsid w:val="00BB5243"/>
    <w:rsid w:val="00BB6419"/>
    <w:rsid w:val="00BC1F7E"/>
    <w:rsid w:val="00BC2376"/>
    <w:rsid w:val="00BC2745"/>
    <w:rsid w:val="00BC2A56"/>
    <w:rsid w:val="00BC35AE"/>
    <w:rsid w:val="00BC3E72"/>
    <w:rsid w:val="00BC418D"/>
    <w:rsid w:val="00BC6C88"/>
    <w:rsid w:val="00BC6E7F"/>
    <w:rsid w:val="00BC7CDA"/>
    <w:rsid w:val="00BD00C6"/>
    <w:rsid w:val="00BD154D"/>
    <w:rsid w:val="00BD1E6E"/>
    <w:rsid w:val="00BD22B2"/>
    <w:rsid w:val="00BD2EC3"/>
    <w:rsid w:val="00BD3054"/>
    <w:rsid w:val="00BD555A"/>
    <w:rsid w:val="00BD5911"/>
    <w:rsid w:val="00BD5D1B"/>
    <w:rsid w:val="00BD6794"/>
    <w:rsid w:val="00BD6AA7"/>
    <w:rsid w:val="00BD6D19"/>
    <w:rsid w:val="00BD7C89"/>
    <w:rsid w:val="00BE0C57"/>
    <w:rsid w:val="00BE1509"/>
    <w:rsid w:val="00BE17F9"/>
    <w:rsid w:val="00BE2534"/>
    <w:rsid w:val="00BE3FAA"/>
    <w:rsid w:val="00BE41DB"/>
    <w:rsid w:val="00BE526F"/>
    <w:rsid w:val="00BE73C6"/>
    <w:rsid w:val="00BE772B"/>
    <w:rsid w:val="00BE7A47"/>
    <w:rsid w:val="00BE7BDC"/>
    <w:rsid w:val="00BF206F"/>
    <w:rsid w:val="00BF33F7"/>
    <w:rsid w:val="00BF37B6"/>
    <w:rsid w:val="00BF4985"/>
    <w:rsid w:val="00BF601A"/>
    <w:rsid w:val="00BF6D17"/>
    <w:rsid w:val="00BF7054"/>
    <w:rsid w:val="00BF744E"/>
    <w:rsid w:val="00BF76DA"/>
    <w:rsid w:val="00BF7AF4"/>
    <w:rsid w:val="00BF7B52"/>
    <w:rsid w:val="00BF7D10"/>
    <w:rsid w:val="00C00ECD"/>
    <w:rsid w:val="00C010CE"/>
    <w:rsid w:val="00C063A4"/>
    <w:rsid w:val="00C06976"/>
    <w:rsid w:val="00C06BA4"/>
    <w:rsid w:val="00C071A1"/>
    <w:rsid w:val="00C07F6C"/>
    <w:rsid w:val="00C10A76"/>
    <w:rsid w:val="00C10E71"/>
    <w:rsid w:val="00C114CF"/>
    <w:rsid w:val="00C13B38"/>
    <w:rsid w:val="00C14028"/>
    <w:rsid w:val="00C1480B"/>
    <w:rsid w:val="00C154F3"/>
    <w:rsid w:val="00C15624"/>
    <w:rsid w:val="00C162AC"/>
    <w:rsid w:val="00C1661B"/>
    <w:rsid w:val="00C16CCF"/>
    <w:rsid w:val="00C16EA0"/>
    <w:rsid w:val="00C1799B"/>
    <w:rsid w:val="00C17BA5"/>
    <w:rsid w:val="00C20B1D"/>
    <w:rsid w:val="00C21B09"/>
    <w:rsid w:val="00C21D0D"/>
    <w:rsid w:val="00C222EE"/>
    <w:rsid w:val="00C23920"/>
    <w:rsid w:val="00C23931"/>
    <w:rsid w:val="00C239AD"/>
    <w:rsid w:val="00C23D2C"/>
    <w:rsid w:val="00C24DBC"/>
    <w:rsid w:val="00C2502E"/>
    <w:rsid w:val="00C25570"/>
    <w:rsid w:val="00C260B9"/>
    <w:rsid w:val="00C2673F"/>
    <w:rsid w:val="00C27233"/>
    <w:rsid w:val="00C2779C"/>
    <w:rsid w:val="00C27A95"/>
    <w:rsid w:val="00C30A7D"/>
    <w:rsid w:val="00C3152E"/>
    <w:rsid w:val="00C31FD3"/>
    <w:rsid w:val="00C31FF0"/>
    <w:rsid w:val="00C32322"/>
    <w:rsid w:val="00C32503"/>
    <w:rsid w:val="00C33CB3"/>
    <w:rsid w:val="00C3412E"/>
    <w:rsid w:val="00C3567B"/>
    <w:rsid w:val="00C36066"/>
    <w:rsid w:val="00C36678"/>
    <w:rsid w:val="00C37FFB"/>
    <w:rsid w:val="00C40100"/>
    <w:rsid w:val="00C40AFC"/>
    <w:rsid w:val="00C41241"/>
    <w:rsid w:val="00C429FF"/>
    <w:rsid w:val="00C44628"/>
    <w:rsid w:val="00C45339"/>
    <w:rsid w:val="00C46A3D"/>
    <w:rsid w:val="00C47959"/>
    <w:rsid w:val="00C50629"/>
    <w:rsid w:val="00C51924"/>
    <w:rsid w:val="00C5238C"/>
    <w:rsid w:val="00C5272B"/>
    <w:rsid w:val="00C53D0E"/>
    <w:rsid w:val="00C55A20"/>
    <w:rsid w:val="00C56DE2"/>
    <w:rsid w:val="00C60E8B"/>
    <w:rsid w:val="00C60F4A"/>
    <w:rsid w:val="00C61B0B"/>
    <w:rsid w:val="00C6272D"/>
    <w:rsid w:val="00C6424A"/>
    <w:rsid w:val="00C65078"/>
    <w:rsid w:val="00C657E5"/>
    <w:rsid w:val="00C66165"/>
    <w:rsid w:val="00C676BA"/>
    <w:rsid w:val="00C6AABF"/>
    <w:rsid w:val="00C70369"/>
    <w:rsid w:val="00C7198D"/>
    <w:rsid w:val="00C71FA0"/>
    <w:rsid w:val="00C73B6E"/>
    <w:rsid w:val="00C74703"/>
    <w:rsid w:val="00C7687E"/>
    <w:rsid w:val="00C76948"/>
    <w:rsid w:val="00C77A0B"/>
    <w:rsid w:val="00C77A11"/>
    <w:rsid w:val="00C837DB"/>
    <w:rsid w:val="00C84E5D"/>
    <w:rsid w:val="00C85BED"/>
    <w:rsid w:val="00C865F2"/>
    <w:rsid w:val="00C8696A"/>
    <w:rsid w:val="00C87CC4"/>
    <w:rsid w:val="00C91653"/>
    <w:rsid w:val="00C93699"/>
    <w:rsid w:val="00C93CC6"/>
    <w:rsid w:val="00C942B1"/>
    <w:rsid w:val="00C94742"/>
    <w:rsid w:val="00C96C65"/>
    <w:rsid w:val="00CA030D"/>
    <w:rsid w:val="00CA0CAD"/>
    <w:rsid w:val="00CA38EE"/>
    <w:rsid w:val="00CA6B33"/>
    <w:rsid w:val="00CB1479"/>
    <w:rsid w:val="00CB1E5E"/>
    <w:rsid w:val="00CB2571"/>
    <w:rsid w:val="00CB2D80"/>
    <w:rsid w:val="00CB350D"/>
    <w:rsid w:val="00CB3596"/>
    <w:rsid w:val="00CB3B23"/>
    <w:rsid w:val="00CB3B8A"/>
    <w:rsid w:val="00CB4964"/>
    <w:rsid w:val="00CB529A"/>
    <w:rsid w:val="00CB73D3"/>
    <w:rsid w:val="00CC1095"/>
    <w:rsid w:val="00CC18D3"/>
    <w:rsid w:val="00CC2CC8"/>
    <w:rsid w:val="00CC2D25"/>
    <w:rsid w:val="00CC343E"/>
    <w:rsid w:val="00CC3663"/>
    <w:rsid w:val="00CC4449"/>
    <w:rsid w:val="00CC4698"/>
    <w:rsid w:val="00CC4907"/>
    <w:rsid w:val="00CC5060"/>
    <w:rsid w:val="00CC5DC3"/>
    <w:rsid w:val="00CC613A"/>
    <w:rsid w:val="00CC68BA"/>
    <w:rsid w:val="00CC6BFB"/>
    <w:rsid w:val="00CC73ED"/>
    <w:rsid w:val="00CC7AE6"/>
    <w:rsid w:val="00CD02CF"/>
    <w:rsid w:val="00CD07D3"/>
    <w:rsid w:val="00CD0DD2"/>
    <w:rsid w:val="00CD0E87"/>
    <w:rsid w:val="00CD397C"/>
    <w:rsid w:val="00CD492D"/>
    <w:rsid w:val="00CD6790"/>
    <w:rsid w:val="00CE0696"/>
    <w:rsid w:val="00CE4ADB"/>
    <w:rsid w:val="00CE5027"/>
    <w:rsid w:val="00CE691F"/>
    <w:rsid w:val="00CE74A8"/>
    <w:rsid w:val="00CE7B2E"/>
    <w:rsid w:val="00CF0B99"/>
    <w:rsid w:val="00CF1017"/>
    <w:rsid w:val="00CF1B31"/>
    <w:rsid w:val="00CF1ECE"/>
    <w:rsid w:val="00CF2DF2"/>
    <w:rsid w:val="00CF3FF1"/>
    <w:rsid w:val="00CF4589"/>
    <w:rsid w:val="00CF6947"/>
    <w:rsid w:val="00D01B0B"/>
    <w:rsid w:val="00D01D0F"/>
    <w:rsid w:val="00D021FA"/>
    <w:rsid w:val="00D03437"/>
    <w:rsid w:val="00D05BEB"/>
    <w:rsid w:val="00D07056"/>
    <w:rsid w:val="00D074A7"/>
    <w:rsid w:val="00D07833"/>
    <w:rsid w:val="00D100BE"/>
    <w:rsid w:val="00D12373"/>
    <w:rsid w:val="00D13537"/>
    <w:rsid w:val="00D13A87"/>
    <w:rsid w:val="00D14554"/>
    <w:rsid w:val="00D15970"/>
    <w:rsid w:val="00D15BA7"/>
    <w:rsid w:val="00D165F6"/>
    <w:rsid w:val="00D16C47"/>
    <w:rsid w:val="00D17372"/>
    <w:rsid w:val="00D201D1"/>
    <w:rsid w:val="00D2026C"/>
    <w:rsid w:val="00D20560"/>
    <w:rsid w:val="00D20A4B"/>
    <w:rsid w:val="00D20D6E"/>
    <w:rsid w:val="00D21E26"/>
    <w:rsid w:val="00D22202"/>
    <w:rsid w:val="00D22BFA"/>
    <w:rsid w:val="00D25072"/>
    <w:rsid w:val="00D25BBE"/>
    <w:rsid w:val="00D26561"/>
    <w:rsid w:val="00D26B08"/>
    <w:rsid w:val="00D276B5"/>
    <w:rsid w:val="00D30A08"/>
    <w:rsid w:val="00D31216"/>
    <w:rsid w:val="00D32019"/>
    <w:rsid w:val="00D329F1"/>
    <w:rsid w:val="00D336B9"/>
    <w:rsid w:val="00D34EE9"/>
    <w:rsid w:val="00D35F94"/>
    <w:rsid w:val="00D368BD"/>
    <w:rsid w:val="00D36C87"/>
    <w:rsid w:val="00D41BFC"/>
    <w:rsid w:val="00D4246B"/>
    <w:rsid w:val="00D42A35"/>
    <w:rsid w:val="00D43B08"/>
    <w:rsid w:val="00D457EF"/>
    <w:rsid w:val="00D46270"/>
    <w:rsid w:val="00D464BD"/>
    <w:rsid w:val="00D47F22"/>
    <w:rsid w:val="00D515A3"/>
    <w:rsid w:val="00D51E2F"/>
    <w:rsid w:val="00D52C34"/>
    <w:rsid w:val="00D535DB"/>
    <w:rsid w:val="00D53D42"/>
    <w:rsid w:val="00D54D30"/>
    <w:rsid w:val="00D569AB"/>
    <w:rsid w:val="00D57124"/>
    <w:rsid w:val="00D57B87"/>
    <w:rsid w:val="00D57E59"/>
    <w:rsid w:val="00D57F43"/>
    <w:rsid w:val="00D6062B"/>
    <w:rsid w:val="00D624CC"/>
    <w:rsid w:val="00D625A8"/>
    <w:rsid w:val="00D62892"/>
    <w:rsid w:val="00D6313C"/>
    <w:rsid w:val="00D6345D"/>
    <w:rsid w:val="00D63598"/>
    <w:rsid w:val="00D63806"/>
    <w:rsid w:val="00D63993"/>
    <w:rsid w:val="00D64F32"/>
    <w:rsid w:val="00D65A5D"/>
    <w:rsid w:val="00D661EA"/>
    <w:rsid w:val="00D66BF0"/>
    <w:rsid w:val="00D66E7F"/>
    <w:rsid w:val="00D676B2"/>
    <w:rsid w:val="00D70CB7"/>
    <w:rsid w:val="00D71C4F"/>
    <w:rsid w:val="00D73382"/>
    <w:rsid w:val="00D73495"/>
    <w:rsid w:val="00D73F02"/>
    <w:rsid w:val="00D7437E"/>
    <w:rsid w:val="00D74607"/>
    <w:rsid w:val="00D75377"/>
    <w:rsid w:val="00D756BE"/>
    <w:rsid w:val="00D75845"/>
    <w:rsid w:val="00D7707A"/>
    <w:rsid w:val="00D80194"/>
    <w:rsid w:val="00D80673"/>
    <w:rsid w:val="00D82AC2"/>
    <w:rsid w:val="00D838A0"/>
    <w:rsid w:val="00D84222"/>
    <w:rsid w:val="00D8506B"/>
    <w:rsid w:val="00D85404"/>
    <w:rsid w:val="00D85A77"/>
    <w:rsid w:val="00D8668B"/>
    <w:rsid w:val="00D86F8C"/>
    <w:rsid w:val="00D87327"/>
    <w:rsid w:val="00D905BA"/>
    <w:rsid w:val="00D908BE"/>
    <w:rsid w:val="00D90C1B"/>
    <w:rsid w:val="00D92715"/>
    <w:rsid w:val="00D92AB8"/>
    <w:rsid w:val="00D92F80"/>
    <w:rsid w:val="00D930AA"/>
    <w:rsid w:val="00D93B47"/>
    <w:rsid w:val="00D94263"/>
    <w:rsid w:val="00D9428D"/>
    <w:rsid w:val="00D9614C"/>
    <w:rsid w:val="00D9672D"/>
    <w:rsid w:val="00D96E9A"/>
    <w:rsid w:val="00DA1DBB"/>
    <w:rsid w:val="00DA1E52"/>
    <w:rsid w:val="00DA2B32"/>
    <w:rsid w:val="00DA3F21"/>
    <w:rsid w:val="00DA44A4"/>
    <w:rsid w:val="00DA469C"/>
    <w:rsid w:val="00DA498D"/>
    <w:rsid w:val="00DA701D"/>
    <w:rsid w:val="00DA7106"/>
    <w:rsid w:val="00DA7819"/>
    <w:rsid w:val="00DA787A"/>
    <w:rsid w:val="00DB02CD"/>
    <w:rsid w:val="00DB0E69"/>
    <w:rsid w:val="00DB11A5"/>
    <w:rsid w:val="00DB1C20"/>
    <w:rsid w:val="00DB3101"/>
    <w:rsid w:val="00DB32DC"/>
    <w:rsid w:val="00DB342E"/>
    <w:rsid w:val="00DB41CF"/>
    <w:rsid w:val="00DB4CAC"/>
    <w:rsid w:val="00DB55B0"/>
    <w:rsid w:val="00DB5F5E"/>
    <w:rsid w:val="00DB77C6"/>
    <w:rsid w:val="00DB7F6D"/>
    <w:rsid w:val="00DC110F"/>
    <w:rsid w:val="00DC2DCA"/>
    <w:rsid w:val="00DC2FA3"/>
    <w:rsid w:val="00DC3226"/>
    <w:rsid w:val="00DC66EB"/>
    <w:rsid w:val="00DC6AB2"/>
    <w:rsid w:val="00DD04C9"/>
    <w:rsid w:val="00DD2C98"/>
    <w:rsid w:val="00DD3558"/>
    <w:rsid w:val="00DD3650"/>
    <w:rsid w:val="00DD36D0"/>
    <w:rsid w:val="00DD4515"/>
    <w:rsid w:val="00DD6F47"/>
    <w:rsid w:val="00DD7223"/>
    <w:rsid w:val="00DD7344"/>
    <w:rsid w:val="00DD775C"/>
    <w:rsid w:val="00DE003C"/>
    <w:rsid w:val="00DE0447"/>
    <w:rsid w:val="00DE0D89"/>
    <w:rsid w:val="00DE1A84"/>
    <w:rsid w:val="00DE1BC5"/>
    <w:rsid w:val="00DE2E67"/>
    <w:rsid w:val="00DE3281"/>
    <w:rsid w:val="00DE4CE9"/>
    <w:rsid w:val="00DE5E8C"/>
    <w:rsid w:val="00DE5F9E"/>
    <w:rsid w:val="00DE606A"/>
    <w:rsid w:val="00DE67C6"/>
    <w:rsid w:val="00DF08B8"/>
    <w:rsid w:val="00DF163D"/>
    <w:rsid w:val="00DF4BFD"/>
    <w:rsid w:val="00DF4EA1"/>
    <w:rsid w:val="00DF5C0C"/>
    <w:rsid w:val="00DF69C3"/>
    <w:rsid w:val="00DF6D8C"/>
    <w:rsid w:val="00DF72F2"/>
    <w:rsid w:val="00E00F13"/>
    <w:rsid w:val="00E01244"/>
    <w:rsid w:val="00E0184E"/>
    <w:rsid w:val="00E01C33"/>
    <w:rsid w:val="00E0228B"/>
    <w:rsid w:val="00E030B6"/>
    <w:rsid w:val="00E031EF"/>
    <w:rsid w:val="00E03D4A"/>
    <w:rsid w:val="00E03F6C"/>
    <w:rsid w:val="00E03F9D"/>
    <w:rsid w:val="00E0455C"/>
    <w:rsid w:val="00E0594E"/>
    <w:rsid w:val="00E06E00"/>
    <w:rsid w:val="00E075AA"/>
    <w:rsid w:val="00E0779C"/>
    <w:rsid w:val="00E07C7C"/>
    <w:rsid w:val="00E10200"/>
    <w:rsid w:val="00E10A21"/>
    <w:rsid w:val="00E12209"/>
    <w:rsid w:val="00E12BF3"/>
    <w:rsid w:val="00E12BFE"/>
    <w:rsid w:val="00E15B14"/>
    <w:rsid w:val="00E16BC0"/>
    <w:rsid w:val="00E170C3"/>
    <w:rsid w:val="00E17AE3"/>
    <w:rsid w:val="00E2113D"/>
    <w:rsid w:val="00E21491"/>
    <w:rsid w:val="00E21A81"/>
    <w:rsid w:val="00E223A9"/>
    <w:rsid w:val="00E2398F"/>
    <w:rsid w:val="00E24299"/>
    <w:rsid w:val="00E24E81"/>
    <w:rsid w:val="00E2578B"/>
    <w:rsid w:val="00E2595F"/>
    <w:rsid w:val="00E25F75"/>
    <w:rsid w:val="00E26189"/>
    <w:rsid w:val="00E26CC3"/>
    <w:rsid w:val="00E27405"/>
    <w:rsid w:val="00E27583"/>
    <w:rsid w:val="00E27B0D"/>
    <w:rsid w:val="00E30A4F"/>
    <w:rsid w:val="00E3134D"/>
    <w:rsid w:val="00E322D4"/>
    <w:rsid w:val="00E32DB3"/>
    <w:rsid w:val="00E350C8"/>
    <w:rsid w:val="00E353B7"/>
    <w:rsid w:val="00E36C1D"/>
    <w:rsid w:val="00E372F2"/>
    <w:rsid w:val="00E40274"/>
    <w:rsid w:val="00E40B3F"/>
    <w:rsid w:val="00E40B52"/>
    <w:rsid w:val="00E41401"/>
    <w:rsid w:val="00E414AE"/>
    <w:rsid w:val="00E42A4B"/>
    <w:rsid w:val="00E42B92"/>
    <w:rsid w:val="00E42D66"/>
    <w:rsid w:val="00E46FF8"/>
    <w:rsid w:val="00E47574"/>
    <w:rsid w:val="00E50A7B"/>
    <w:rsid w:val="00E50D3E"/>
    <w:rsid w:val="00E50FB0"/>
    <w:rsid w:val="00E51DAB"/>
    <w:rsid w:val="00E5245D"/>
    <w:rsid w:val="00E52E99"/>
    <w:rsid w:val="00E536EB"/>
    <w:rsid w:val="00E5397C"/>
    <w:rsid w:val="00E54C2C"/>
    <w:rsid w:val="00E5582F"/>
    <w:rsid w:val="00E56691"/>
    <w:rsid w:val="00E60FD2"/>
    <w:rsid w:val="00E6143A"/>
    <w:rsid w:val="00E62153"/>
    <w:rsid w:val="00E62573"/>
    <w:rsid w:val="00E63AD5"/>
    <w:rsid w:val="00E641D8"/>
    <w:rsid w:val="00E641DD"/>
    <w:rsid w:val="00E661F8"/>
    <w:rsid w:val="00E662D9"/>
    <w:rsid w:val="00E6757D"/>
    <w:rsid w:val="00E72989"/>
    <w:rsid w:val="00E7344A"/>
    <w:rsid w:val="00E75675"/>
    <w:rsid w:val="00E76245"/>
    <w:rsid w:val="00E769D4"/>
    <w:rsid w:val="00E76D1A"/>
    <w:rsid w:val="00E77C70"/>
    <w:rsid w:val="00E80E4E"/>
    <w:rsid w:val="00E8176B"/>
    <w:rsid w:val="00E825B3"/>
    <w:rsid w:val="00E82DA5"/>
    <w:rsid w:val="00E85157"/>
    <w:rsid w:val="00E85E0C"/>
    <w:rsid w:val="00E85EC7"/>
    <w:rsid w:val="00E85F96"/>
    <w:rsid w:val="00E8666C"/>
    <w:rsid w:val="00E86F95"/>
    <w:rsid w:val="00E86FA0"/>
    <w:rsid w:val="00E87159"/>
    <w:rsid w:val="00E87A96"/>
    <w:rsid w:val="00E87E9D"/>
    <w:rsid w:val="00E87EC1"/>
    <w:rsid w:val="00E91331"/>
    <w:rsid w:val="00E91415"/>
    <w:rsid w:val="00E919EB"/>
    <w:rsid w:val="00E9454B"/>
    <w:rsid w:val="00E94A7A"/>
    <w:rsid w:val="00E954D9"/>
    <w:rsid w:val="00E973CF"/>
    <w:rsid w:val="00E97C63"/>
    <w:rsid w:val="00E97CB8"/>
    <w:rsid w:val="00EA06A0"/>
    <w:rsid w:val="00EA07A1"/>
    <w:rsid w:val="00EA0804"/>
    <w:rsid w:val="00EA1B1A"/>
    <w:rsid w:val="00EA2060"/>
    <w:rsid w:val="00EA334F"/>
    <w:rsid w:val="00EA5A52"/>
    <w:rsid w:val="00EA5ACA"/>
    <w:rsid w:val="00EA5ACE"/>
    <w:rsid w:val="00EA7780"/>
    <w:rsid w:val="00EB00B5"/>
    <w:rsid w:val="00EB063E"/>
    <w:rsid w:val="00EB0767"/>
    <w:rsid w:val="00EB0C15"/>
    <w:rsid w:val="00EB13C7"/>
    <w:rsid w:val="00EB1EC4"/>
    <w:rsid w:val="00EB2896"/>
    <w:rsid w:val="00EB2DC5"/>
    <w:rsid w:val="00EB39CF"/>
    <w:rsid w:val="00EB3FF1"/>
    <w:rsid w:val="00EB6A79"/>
    <w:rsid w:val="00EB7EA9"/>
    <w:rsid w:val="00EC05E4"/>
    <w:rsid w:val="00EC1271"/>
    <w:rsid w:val="00EC2393"/>
    <w:rsid w:val="00EC2C0B"/>
    <w:rsid w:val="00EC3FBB"/>
    <w:rsid w:val="00EC517E"/>
    <w:rsid w:val="00EC56B0"/>
    <w:rsid w:val="00EC6291"/>
    <w:rsid w:val="00ED059F"/>
    <w:rsid w:val="00ED0C78"/>
    <w:rsid w:val="00ED2A57"/>
    <w:rsid w:val="00ED393F"/>
    <w:rsid w:val="00ED3996"/>
    <w:rsid w:val="00ED6881"/>
    <w:rsid w:val="00EE0C95"/>
    <w:rsid w:val="00EE0C9E"/>
    <w:rsid w:val="00EE0FB3"/>
    <w:rsid w:val="00EE1C32"/>
    <w:rsid w:val="00EE2028"/>
    <w:rsid w:val="00EE26E8"/>
    <w:rsid w:val="00EE328B"/>
    <w:rsid w:val="00EE541D"/>
    <w:rsid w:val="00EE5B1C"/>
    <w:rsid w:val="00EE6A47"/>
    <w:rsid w:val="00EF04E9"/>
    <w:rsid w:val="00EF1B82"/>
    <w:rsid w:val="00EF2009"/>
    <w:rsid w:val="00EF30D4"/>
    <w:rsid w:val="00EF5C81"/>
    <w:rsid w:val="00EF74E7"/>
    <w:rsid w:val="00F03241"/>
    <w:rsid w:val="00F03EC1"/>
    <w:rsid w:val="00F05274"/>
    <w:rsid w:val="00F05A43"/>
    <w:rsid w:val="00F05BC0"/>
    <w:rsid w:val="00F06AC8"/>
    <w:rsid w:val="00F07C04"/>
    <w:rsid w:val="00F101B0"/>
    <w:rsid w:val="00F11E0D"/>
    <w:rsid w:val="00F13547"/>
    <w:rsid w:val="00F13F8E"/>
    <w:rsid w:val="00F14196"/>
    <w:rsid w:val="00F14CC1"/>
    <w:rsid w:val="00F17A1D"/>
    <w:rsid w:val="00F20232"/>
    <w:rsid w:val="00F20B77"/>
    <w:rsid w:val="00F20EC4"/>
    <w:rsid w:val="00F236E1"/>
    <w:rsid w:val="00F25F25"/>
    <w:rsid w:val="00F26260"/>
    <w:rsid w:val="00F26845"/>
    <w:rsid w:val="00F2767E"/>
    <w:rsid w:val="00F3278D"/>
    <w:rsid w:val="00F338F1"/>
    <w:rsid w:val="00F34946"/>
    <w:rsid w:val="00F34BCA"/>
    <w:rsid w:val="00F363D5"/>
    <w:rsid w:val="00F3690B"/>
    <w:rsid w:val="00F370E3"/>
    <w:rsid w:val="00F37683"/>
    <w:rsid w:val="00F4109E"/>
    <w:rsid w:val="00F42A34"/>
    <w:rsid w:val="00F434CA"/>
    <w:rsid w:val="00F43715"/>
    <w:rsid w:val="00F438DD"/>
    <w:rsid w:val="00F446E5"/>
    <w:rsid w:val="00F447BB"/>
    <w:rsid w:val="00F4518E"/>
    <w:rsid w:val="00F45FCC"/>
    <w:rsid w:val="00F462C5"/>
    <w:rsid w:val="00F46356"/>
    <w:rsid w:val="00F47104"/>
    <w:rsid w:val="00F4745E"/>
    <w:rsid w:val="00F47BEA"/>
    <w:rsid w:val="00F50749"/>
    <w:rsid w:val="00F517A7"/>
    <w:rsid w:val="00F51FE6"/>
    <w:rsid w:val="00F52186"/>
    <w:rsid w:val="00F52245"/>
    <w:rsid w:val="00F539C6"/>
    <w:rsid w:val="00F53DD0"/>
    <w:rsid w:val="00F5469C"/>
    <w:rsid w:val="00F54775"/>
    <w:rsid w:val="00F57D00"/>
    <w:rsid w:val="00F60500"/>
    <w:rsid w:val="00F60F0F"/>
    <w:rsid w:val="00F622FF"/>
    <w:rsid w:val="00F62F36"/>
    <w:rsid w:val="00F639BE"/>
    <w:rsid w:val="00F649FA"/>
    <w:rsid w:val="00F65E86"/>
    <w:rsid w:val="00F6667A"/>
    <w:rsid w:val="00F66AB2"/>
    <w:rsid w:val="00F710A7"/>
    <w:rsid w:val="00F71E21"/>
    <w:rsid w:val="00F731F7"/>
    <w:rsid w:val="00F73540"/>
    <w:rsid w:val="00F73881"/>
    <w:rsid w:val="00F73B4E"/>
    <w:rsid w:val="00F75351"/>
    <w:rsid w:val="00F76CE4"/>
    <w:rsid w:val="00F81D40"/>
    <w:rsid w:val="00F8399E"/>
    <w:rsid w:val="00F83C34"/>
    <w:rsid w:val="00F8647C"/>
    <w:rsid w:val="00F9084F"/>
    <w:rsid w:val="00F9123B"/>
    <w:rsid w:val="00F93850"/>
    <w:rsid w:val="00F942B0"/>
    <w:rsid w:val="00F9438B"/>
    <w:rsid w:val="00F9472A"/>
    <w:rsid w:val="00F95676"/>
    <w:rsid w:val="00FA01D0"/>
    <w:rsid w:val="00FA06D6"/>
    <w:rsid w:val="00FA1B19"/>
    <w:rsid w:val="00FA1FBC"/>
    <w:rsid w:val="00FA22A2"/>
    <w:rsid w:val="00FA25C7"/>
    <w:rsid w:val="00FA341A"/>
    <w:rsid w:val="00FA34A4"/>
    <w:rsid w:val="00FA3936"/>
    <w:rsid w:val="00FA3C96"/>
    <w:rsid w:val="00FA49A5"/>
    <w:rsid w:val="00FA5989"/>
    <w:rsid w:val="00FA6736"/>
    <w:rsid w:val="00FA6A22"/>
    <w:rsid w:val="00FB0140"/>
    <w:rsid w:val="00FB0C69"/>
    <w:rsid w:val="00FB0D3C"/>
    <w:rsid w:val="00FB1C2D"/>
    <w:rsid w:val="00FB1D77"/>
    <w:rsid w:val="00FB2655"/>
    <w:rsid w:val="00FB32CB"/>
    <w:rsid w:val="00FB33F5"/>
    <w:rsid w:val="00FB362E"/>
    <w:rsid w:val="00FB414E"/>
    <w:rsid w:val="00FB4ED4"/>
    <w:rsid w:val="00FB55D4"/>
    <w:rsid w:val="00FB5CE0"/>
    <w:rsid w:val="00FB69B8"/>
    <w:rsid w:val="00FB7545"/>
    <w:rsid w:val="00FC3373"/>
    <w:rsid w:val="00FC3FD6"/>
    <w:rsid w:val="00FC4241"/>
    <w:rsid w:val="00FC5098"/>
    <w:rsid w:val="00FC5C70"/>
    <w:rsid w:val="00FC5D88"/>
    <w:rsid w:val="00FC66C9"/>
    <w:rsid w:val="00FC6C7F"/>
    <w:rsid w:val="00FC7C33"/>
    <w:rsid w:val="00FD16D4"/>
    <w:rsid w:val="00FD1FA2"/>
    <w:rsid w:val="00FD4453"/>
    <w:rsid w:val="00FD44FA"/>
    <w:rsid w:val="00FD58F7"/>
    <w:rsid w:val="00FD5CE3"/>
    <w:rsid w:val="00FD5D4C"/>
    <w:rsid w:val="00FD5D7E"/>
    <w:rsid w:val="00FD6796"/>
    <w:rsid w:val="00FD6AF5"/>
    <w:rsid w:val="00FD6E50"/>
    <w:rsid w:val="00FD7A8C"/>
    <w:rsid w:val="00FE03E4"/>
    <w:rsid w:val="00FE0DE7"/>
    <w:rsid w:val="00FE3CB1"/>
    <w:rsid w:val="00FE4034"/>
    <w:rsid w:val="00FE4627"/>
    <w:rsid w:val="00FE49B8"/>
    <w:rsid w:val="00FE604E"/>
    <w:rsid w:val="00FE6BB9"/>
    <w:rsid w:val="00FE6D7D"/>
    <w:rsid w:val="00FE7484"/>
    <w:rsid w:val="00FE7638"/>
    <w:rsid w:val="00FF0C8E"/>
    <w:rsid w:val="00FF1250"/>
    <w:rsid w:val="00FF19A2"/>
    <w:rsid w:val="00FF1EF9"/>
    <w:rsid w:val="00FF3EFB"/>
    <w:rsid w:val="00FF4CDD"/>
    <w:rsid w:val="00FF5D49"/>
    <w:rsid w:val="00FF71DC"/>
    <w:rsid w:val="011138D2"/>
    <w:rsid w:val="0140FF8C"/>
    <w:rsid w:val="01861CED"/>
    <w:rsid w:val="018CC295"/>
    <w:rsid w:val="020918B0"/>
    <w:rsid w:val="0228A1EF"/>
    <w:rsid w:val="02794E83"/>
    <w:rsid w:val="029FEE80"/>
    <w:rsid w:val="02F6DA9C"/>
    <w:rsid w:val="0302E4B8"/>
    <w:rsid w:val="0318D1B2"/>
    <w:rsid w:val="03895C80"/>
    <w:rsid w:val="03DF7CD6"/>
    <w:rsid w:val="042A2ED2"/>
    <w:rsid w:val="04D97579"/>
    <w:rsid w:val="056ED0C2"/>
    <w:rsid w:val="0580C859"/>
    <w:rsid w:val="0589710E"/>
    <w:rsid w:val="059BFC69"/>
    <w:rsid w:val="0631F380"/>
    <w:rsid w:val="06914CA8"/>
    <w:rsid w:val="069D049A"/>
    <w:rsid w:val="06C6DF6D"/>
    <w:rsid w:val="0789E9BB"/>
    <w:rsid w:val="07A45D9A"/>
    <w:rsid w:val="07A93DDB"/>
    <w:rsid w:val="08106958"/>
    <w:rsid w:val="082EEAC3"/>
    <w:rsid w:val="08410BB2"/>
    <w:rsid w:val="08A6AC7E"/>
    <w:rsid w:val="08C28CA3"/>
    <w:rsid w:val="08C7A042"/>
    <w:rsid w:val="08C9D672"/>
    <w:rsid w:val="08F1CCA0"/>
    <w:rsid w:val="09107D2F"/>
    <w:rsid w:val="0915A248"/>
    <w:rsid w:val="093E3C2E"/>
    <w:rsid w:val="093EBB84"/>
    <w:rsid w:val="0967CD64"/>
    <w:rsid w:val="096B0E4C"/>
    <w:rsid w:val="09E51123"/>
    <w:rsid w:val="0A656930"/>
    <w:rsid w:val="0A6B8292"/>
    <w:rsid w:val="0AB81479"/>
    <w:rsid w:val="0AE332CB"/>
    <w:rsid w:val="0AE83818"/>
    <w:rsid w:val="0AFB24AA"/>
    <w:rsid w:val="0B5F1CCC"/>
    <w:rsid w:val="0BB1733B"/>
    <w:rsid w:val="0BC74569"/>
    <w:rsid w:val="0BFB61A8"/>
    <w:rsid w:val="0C408AF7"/>
    <w:rsid w:val="0C98B257"/>
    <w:rsid w:val="0CBA7996"/>
    <w:rsid w:val="0CD9ECFF"/>
    <w:rsid w:val="0D035B58"/>
    <w:rsid w:val="0D1B703F"/>
    <w:rsid w:val="0D7AF87D"/>
    <w:rsid w:val="0DDE48A7"/>
    <w:rsid w:val="0DF48001"/>
    <w:rsid w:val="0E138988"/>
    <w:rsid w:val="0E859E5E"/>
    <w:rsid w:val="0ED99005"/>
    <w:rsid w:val="0EEF00CD"/>
    <w:rsid w:val="0F09D2B1"/>
    <w:rsid w:val="0F178246"/>
    <w:rsid w:val="0F360F36"/>
    <w:rsid w:val="0FF21866"/>
    <w:rsid w:val="10B0D60A"/>
    <w:rsid w:val="10F6A915"/>
    <w:rsid w:val="11417F1D"/>
    <w:rsid w:val="117D73E3"/>
    <w:rsid w:val="11F3E558"/>
    <w:rsid w:val="1219CFFA"/>
    <w:rsid w:val="12203A23"/>
    <w:rsid w:val="12616583"/>
    <w:rsid w:val="129B854C"/>
    <w:rsid w:val="12C9B6CE"/>
    <w:rsid w:val="12CE07F0"/>
    <w:rsid w:val="12D985BB"/>
    <w:rsid w:val="1309E81E"/>
    <w:rsid w:val="1321C68D"/>
    <w:rsid w:val="13349D11"/>
    <w:rsid w:val="13A4C9B6"/>
    <w:rsid w:val="13F102BE"/>
    <w:rsid w:val="13FB9800"/>
    <w:rsid w:val="140465D7"/>
    <w:rsid w:val="140945EB"/>
    <w:rsid w:val="1423C98F"/>
    <w:rsid w:val="14392FE3"/>
    <w:rsid w:val="143E60B9"/>
    <w:rsid w:val="1444131A"/>
    <w:rsid w:val="1454345C"/>
    <w:rsid w:val="14D03208"/>
    <w:rsid w:val="14FE1EF1"/>
    <w:rsid w:val="1512611A"/>
    <w:rsid w:val="151D5BAA"/>
    <w:rsid w:val="154C555A"/>
    <w:rsid w:val="15902D77"/>
    <w:rsid w:val="15D1AE86"/>
    <w:rsid w:val="15E110F2"/>
    <w:rsid w:val="15E4579B"/>
    <w:rsid w:val="15F71087"/>
    <w:rsid w:val="1680F8DE"/>
    <w:rsid w:val="16CCCC90"/>
    <w:rsid w:val="170F1491"/>
    <w:rsid w:val="1722EDBC"/>
    <w:rsid w:val="172DBCDD"/>
    <w:rsid w:val="173A21EF"/>
    <w:rsid w:val="17527451"/>
    <w:rsid w:val="178E4EC5"/>
    <w:rsid w:val="178E9EC2"/>
    <w:rsid w:val="179824AE"/>
    <w:rsid w:val="182A9BFF"/>
    <w:rsid w:val="18388377"/>
    <w:rsid w:val="184CCA61"/>
    <w:rsid w:val="1881038D"/>
    <w:rsid w:val="188BDE43"/>
    <w:rsid w:val="18AE8FC3"/>
    <w:rsid w:val="18CB3AA3"/>
    <w:rsid w:val="18DD9061"/>
    <w:rsid w:val="191A689E"/>
    <w:rsid w:val="1947F931"/>
    <w:rsid w:val="1956B415"/>
    <w:rsid w:val="197CF938"/>
    <w:rsid w:val="1A28D3EC"/>
    <w:rsid w:val="1A48DB41"/>
    <w:rsid w:val="1AE6BE46"/>
    <w:rsid w:val="1B0ACBB1"/>
    <w:rsid w:val="1B288E23"/>
    <w:rsid w:val="1B63572F"/>
    <w:rsid w:val="1B67A75F"/>
    <w:rsid w:val="1B78282D"/>
    <w:rsid w:val="1B7A6B0E"/>
    <w:rsid w:val="1BB1450E"/>
    <w:rsid w:val="1BD4D99C"/>
    <w:rsid w:val="1BF3B183"/>
    <w:rsid w:val="1C276F94"/>
    <w:rsid w:val="1C3C396D"/>
    <w:rsid w:val="1C7BFF1C"/>
    <w:rsid w:val="1C9F7FE4"/>
    <w:rsid w:val="1CFFD844"/>
    <w:rsid w:val="1D068790"/>
    <w:rsid w:val="1D9F0405"/>
    <w:rsid w:val="1DFB9039"/>
    <w:rsid w:val="1E1C49F4"/>
    <w:rsid w:val="1E26703E"/>
    <w:rsid w:val="1E35CF80"/>
    <w:rsid w:val="1E86952B"/>
    <w:rsid w:val="1E8F1DB7"/>
    <w:rsid w:val="1ED50CC3"/>
    <w:rsid w:val="1EEC812C"/>
    <w:rsid w:val="1F1C4F09"/>
    <w:rsid w:val="1F2A2057"/>
    <w:rsid w:val="1F7DDC31"/>
    <w:rsid w:val="1FE74C4C"/>
    <w:rsid w:val="1FF015CF"/>
    <w:rsid w:val="1FFBD56D"/>
    <w:rsid w:val="20005DF3"/>
    <w:rsid w:val="20221E3E"/>
    <w:rsid w:val="2044F595"/>
    <w:rsid w:val="20B07C51"/>
    <w:rsid w:val="21434428"/>
    <w:rsid w:val="21673F33"/>
    <w:rsid w:val="2188C50D"/>
    <w:rsid w:val="225D1DBB"/>
    <w:rsid w:val="22867379"/>
    <w:rsid w:val="2316D1E4"/>
    <w:rsid w:val="23479A8C"/>
    <w:rsid w:val="23481DEE"/>
    <w:rsid w:val="236FD436"/>
    <w:rsid w:val="237850CB"/>
    <w:rsid w:val="2452A620"/>
    <w:rsid w:val="2462000C"/>
    <w:rsid w:val="24B95F20"/>
    <w:rsid w:val="24B9C727"/>
    <w:rsid w:val="24E63397"/>
    <w:rsid w:val="24E7AFC7"/>
    <w:rsid w:val="25290988"/>
    <w:rsid w:val="256C1D01"/>
    <w:rsid w:val="25ACFB08"/>
    <w:rsid w:val="25B93074"/>
    <w:rsid w:val="25ED5C82"/>
    <w:rsid w:val="25FE63F8"/>
    <w:rsid w:val="26052330"/>
    <w:rsid w:val="26D1A8AD"/>
    <w:rsid w:val="278338C8"/>
    <w:rsid w:val="27A3F456"/>
    <w:rsid w:val="27AF42DD"/>
    <w:rsid w:val="27E780EA"/>
    <w:rsid w:val="283411E2"/>
    <w:rsid w:val="287B6B7C"/>
    <w:rsid w:val="28BFEF1F"/>
    <w:rsid w:val="292BF3F1"/>
    <w:rsid w:val="293B3954"/>
    <w:rsid w:val="29C3BBDE"/>
    <w:rsid w:val="2AAD2810"/>
    <w:rsid w:val="2AB0FD23"/>
    <w:rsid w:val="2B1AECE0"/>
    <w:rsid w:val="2B230049"/>
    <w:rsid w:val="2B4F13D6"/>
    <w:rsid w:val="2B6959C5"/>
    <w:rsid w:val="2C0DA288"/>
    <w:rsid w:val="2C1B1C68"/>
    <w:rsid w:val="2C68590E"/>
    <w:rsid w:val="2C6A9AFB"/>
    <w:rsid w:val="2D14170D"/>
    <w:rsid w:val="2D299B5A"/>
    <w:rsid w:val="2D41A6EE"/>
    <w:rsid w:val="2D6C7BA1"/>
    <w:rsid w:val="2D7C8042"/>
    <w:rsid w:val="2DEB6BA5"/>
    <w:rsid w:val="2E2E45C2"/>
    <w:rsid w:val="2EAF4F43"/>
    <w:rsid w:val="2EB7CF55"/>
    <w:rsid w:val="2EC8127C"/>
    <w:rsid w:val="2ED60D1F"/>
    <w:rsid w:val="2EDBC1B7"/>
    <w:rsid w:val="2EF2861F"/>
    <w:rsid w:val="2F28C757"/>
    <w:rsid w:val="2F84FAA4"/>
    <w:rsid w:val="2FB42C41"/>
    <w:rsid w:val="2FD5C5E4"/>
    <w:rsid w:val="3042A4A1"/>
    <w:rsid w:val="304ADE8A"/>
    <w:rsid w:val="3059E920"/>
    <w:rsid w:val="3068B444"/>
    <w:rsid w:val="309A7E49"/>
    <w:rsid w:val="30B21506"/>
    <w:rsid w:val="30D937EB"/>
    <w:rsid w:val="30F27066"/>
    <w:rsid w:val="313B50A6"/>
    <w:rsid w:val="315E554C"/>
    <w:rsid w:val="31AC8F06"/>
    <w:rsid w:val="31CE3491"/>
    <w:rsid w:val="31E9CACC"/>
    <w:rsid w:val="31F32358"/>
    <w:rsid w:val="3200A58C"/>
    <w:rsid w:val="324DB8EE"/>
    <w:rsid w:val="325104F6"/>
    <w:rsid w:val="3255D296"/>
    <w:rsid w:val="326203D5"/>
    <w:rsid w:val="329ECDED"/>
    <w:rsid w:val="32A5A2B1"/>
    <w:rsid w:val="32B8B0C5"/>
    <w:rsid w:val="32EEEEE1"/>
    <w:rsid w:val="32FBF520"/>
    <w:rsid w:val="331B6210"/>
    <w:rsid w:val="3341493F"/>
    <w:rsid w:val="33698490"/>
    <w:rsid w:val="33B3A715"/>
    <w:rsid w:val="33E46A1E"/>
    <w:rsid w:val="34FFE9EB"/>
    <w:rsid w:val="352FBCA4"/>
    <w:rsid w:val="3595BF0D"/>
    <w:rsid w:val="35A66778"/>
    <w:rsid w:val="35F3460E"/>
    <w:rsid w:val="3694303C"/>
    <w:rsid w:val="36B3B9AD"/>
    <w:rsid w:val="37013AD4"/>
    <w:rsid w:val="370C7494"/>
    <w:rsid w:val="373E7FC7"/>
    <w:rsid w:val="37552FE7"/>
    <w:rsid w:val="375B0A41"/>
    <w:rsid w:val="37D4CCD3"/>
    <w:rsid w:val="37DD94CD"/>
    <w:rsid w:val="380075B8"/>
    <w:rsid w:val="38434EF1"/>
    <w:rsid w:val="38444F8E"/>
    <w:rsid w:val="3932A4B4"/>
    <w:rsid w:val="396C032B"/>
    <w:rsid w:val="39713C06"/>
    <w:rsid w:val="39B25BC6"/>
    <w:rsid w:val="39D23CA1"/>
    <w:rsid w:val="3A1F7D8B"/>
    <w:rsid w:val="3A3373E0"/>
    <w:rsid w:val="3AD033B4"/>
    <w:rsid w:val="3B3F8B44"/>
    <w:rsid w:val="3B44A92E"/>
    <w:rsid w:val="3B4BCF04"/>
    <w:rsid w:val="3B90E6D9"/>
    <w:rsid w:val="3BA0E36B"/>
    <w:rsid w:val="3BBFF875"/>
    <w:rsid w:val="3BDE58DD"/>
    <w:rsid w:val="3C128C73"/>
    <w:rsid w:val="3C5C8116"/>
    <w:rsid w:val="3C82D739"/>
    <w:rsid w:val="3C9BA45B"/>
    <w:rsid w:val="3CCD06C6"/>
    <w:rsid w:val="3D169FC8"/>
    <w:rsid w:val="3D39493E"/>
    <w:rsid w:val="3D78A817"/>
    <w:rsid w:val="3DC20EF3"/>
    <w:rsid w:val="3DCC3017"/>
    <w:rsid w:val="3E14143A"/>
    <w:rsid w:val="3E31340C"/>
    <w:rsid w:val="3E3A46DA"/>
    <w:rsid w:val="3E4F684E"/>
    <w:rsid w:val="3E649932"/>
    <w:rsid w:val="3E92DA95"/>
    <w:rsid w:val="3F115EC4"/>
    <w:rsid w:val="3F33F31F"/>
    <w:rsid w:val="3F5162B6"/>
    <w:rsid w:val="3F91326A"/>
    <w:rsid w:val="3F9E642B"/>
    <w:rsid w:val="3FA367B8"/>
    <w:rsid w:val="3FBDF6AB"/>
    <w:rsid w:val="4006AD7A"/>
    <w:rsid w:val="4026F527"/>
    <w:rsid w:val="4075B27F"/>
    <w:rsid w:val="407B44E8"/>
    <w:rsid w:val="4084E8CB"/>
    <w:rsid w:val="40F66879"/>
    <w:rsid w:val="4149DF5C"/>
    <w:rsid w:val="4156670C"/>
    <w:rsid w:val="41585943"/>
    <w:rsid w:val="415F0556"/>
    <w:rsid w:val="4174129D"/>
    <w:rsid w:val="4188524B"/>
    <w:rsid w:val="418C6860"/>
    <w:rsid w:val="4196D52B"/>
    <w:rsid w:val="420B7FE6"/>
    <w:rsid w:val="4247D5B1"/>
    <w:rsid w:val="425A48B5"/>
    <w:rsid w:val="428C9ABD"/>
    <w:rsid w:val="4296DFC0"/>
    <w:rsid w:val="42E10130"/>
    <w:rsid w:val="4307A3EC"/>
    <w:rsid w:val="430D0821"/>
    <w:rsid w:val="4312BD9F"/>
    <w:rsid w:val="4366C699"/>
    <w:rsid w:val="436A929A"/>
    <w:rsid w:val="4390A960"/>
    <w:rsid w:val="43BD9C86"/>
    <w:rsid w:val="4420103A"/>
    <w:rsid w:val="44CAA187"/>
    <w:rsid w:val="44FEA95D"/>
    <w:rsid w:val="4582D1D2"/>
    <w:rsid w:val="45C5088A"/>
    <w:rsid w:val="45D7B187"/>
    <w:rsid w:val="45DAB19F"/>
    <w:rsid w:val="45DC3090"/>
    <w:rsid w:val="45F261EA"/>
    <w:rsid w:val="45F2FC86"/>
    <w:rsid w:val="461C89D2"/>
    <w:rsid w:val="462B7D38"/>
    <w:rsid w:val="463062B9"/>
    <w:rsid w:val="46935EE4"/>
    <w:rsid w:val="46D9927F"/>
    <w:rsid w:val="46EFB8A2"/>
    <w:rsid w:val="46FA7BC8"/>
    <w:rsid w:val="475C0C9A"/>
    <w:rsid w:val="4814117C"/>
    <w:rsid w:val="481F9F50"/>
    <w:rsid w:val="482259B6"/>
    <w:rsid w:val="48F14D79"/>
    <w:rsid w:val="49398612"/>
    <w:rsid w:val="496FA996"/>
    <w:rsid w:val="49CF660F"/>
    <w:rsid w:val="49D01634"/>
    <w:rsid w:val="49EF1630"/>
    <w:rsid w:val="4A0C4A2E"/>
    <w:rsid w:val="4A2A51DB"/>
    <w:rsid w:val="4A40C9EE"/>
    <w:rsid w:val="4A63F042"/>
    <w:rsid w:val="4A6AC9CC"/>
    <w:rsid w:val="4A995395"/>
    <w:rsid w:val="4AA303F7"/>
    <w:rsid w:val="4AC4427E"/>
    <w:rsid w:val="4ACEA588"/>
    <w:rsid w:val="4AD3BD2F"/>
    <w:rsid w:val="4AE86EBE"/>
    <w:rsid w:val="4AF0B384"/>
    <w:rsid w:val="4B1E835C"/>
    <w:rsid w:val="4B37350D"/>
    <w:rsid w:val="4B3B9B45"/>
    <w:rsid w:val="4B59B298"/>
    <w:rsid w:val="4C5B44DC"/>
    <w:rsid w:val="4C7F7000"/>
    <w:rsid w:val="4C9913EE"/>
    <w:rsid w:val="4C9E4998"/>
    <w:rsid w:val="4CD6895A"/>
    <w:rsid w:val="4CE10805"/>
    <w:rsid w:val="4D0BFBDB"/>
    <w:rsid w:val="4D1E3DB2"/>
    <w:rsid w:val="4D4B7AEF"/>
    <w:rsid w:val="4D9842B4"/>
    <w:rsid w:val="4D9B2ED4"/>
    <w:rsid w:val="4DA76A71"/>
    <w:rsid w:val="4DAB4A62"/>
    <w:rsid w:val="4DB4C9F2"/>
    <w:rsid w:val="4DB526F3"/>
    <w:rsid w:val="4E0699EB"/>
    <w:rsid w:val="4E94E446"/>
    <w:rsid w:val="4F472575"/>
    <w:rsid w:val="4F77B426"/>
    <w:rsid w:val="502D9D2E"/>
    <w:rsid w:val="506CC36A"/>
    <w:rsid w:val="509E32A3"/>
    <w:rsid w:val="50E0E1E6"/>
    <w:rsid w:val="50F110DC"/>
    <w:rsid w:val="517625D2"/>
    <w:rsid w:val="519BCD20"/>
    <w:rsid w:val="519D4BF4"/>
    <w:rsid w:val="51B283CF"/>
    <w:rsid w:val="51EA8F7C"/>
    <w:rsid w:val="520F2579"/>
    <w:rsid w:val="5221B65E"/>
    <w:rsid w:val="524414AD"/>
    <w:rsid w:val="524FCC0D"/>
    <w:rsid w:val="528261A8"/>
    <w:rsid w:val="5291D4BC"/>
    <w:rsid w:val="52E8AE93"/>
    <w:rsid w:val="52EA268E"/>
    <w:rsid w:val="52F3AA6C"/>
    <w:rsid w:val="532F7B34"/>
    <w:rsid w:val="53794B9F"/>
    <w:rsid w:val="53948FA8"/>
    <w:rsid w:val="53C00BFD"/>
    <w:rsid w:val="53EFAB77"/>
    <w:rsid w:val="53F0F7CF"/>
    <w:rsid w:val="53F3B0D7"/>
    <w:rsid w:val="541F9F9A"/>
    <w:rsid w:val="54345D94"/>
    <w:rsid w:val="543C73CC"/>
    <w:rsid w:val="5452A83F"/>
    <w:rsid w:val="54899502"/>
    <w:rsid w:val="54B58074"/>
    <w:rsid w:val="54BA6B1C"/>
    <w:rsid w:val="54CC88D4"/>
    <w:rsid w:val="5541BC8A"/>
    <w:rsid w:val="55991B8C"/>
    <w:rsid w:val="560201CC"/>
    <w:rsid w:val="567CB2B2"/>
    <w:rsid w:val="5694B2C9"/>
    <w:rsid w:val="56B96315"/>
    <w:rsid w:val="57400EB2"/>
    <w:rsid w:val="57CE0CB7"/>
    <w:rsid w:val="5848763A"/>
    <w:rsid w:val="584DE7FD"/>
    <w:rsid w:val="584FCB02"/>
    <w:rsid w:val="585815E4"/>
    <w:rsid w:val="58C8DD32"/>
    <w:rsid w:val="590E6E3B"/>
    <w:rsid w:val="59501287"/>
    <w:rsid w:val="59694C6D"/>
    <w:rsid w:val="59924850"/>
    <w:rsid w:val="59EBDF05"/>
    <w:rsid w:val="59F28B74"/>
    <w:rsid w:val="5A243326"/>
    <w:rsid w:val="5A986ABF"/>
    <w:rsid w:val="5AE16A58"/>
    <w:rsid w:val="5B0C0AA8"/>
    <w:rsid w:val="5B2731E6"/>
    <w:rsid w:val="5B37B200"/>
    <w:rsid w:val="5B46FBF7"/>
    <w:rsid w:val="5B7579F1"/>
    <w:rsid w:val="5B778E50"/>
    <w:rsid w:val="5C4888C9"/>
    <w:rsid w:val="5C547179"/>
    <w:rsid w:val="5CA8FD0E"/>
    <w:rsid w:val="5CC0A22D"/>
    <w:rsid w:val="5D1D6AB4"/>
    <w:rsid w:val="5D23B3E5"/>
    <w:rsid w:val="5DA4A7AC"/>
    <w:rsid w:val="5DBFFF87"/>
    <w:rsid w:val="5E1EAAB7"/>
    <w:rsid w:val="5EA16DDE"/>
    <w:rsid w:val="5EC86024"/>
    <w:rsid w:val="5F3E9478"/>
    <w:rsid w:val="5F7F218B"/>
    <w:rsid w:val="5F8A70CA"/>
    <w:rsid w:val="5FBDB24C"/>
    <w:rsid w:val="5FD0FF33"/>
    <w:rsid w:val="601E68C0"/>
    <w:rsid w:val="60B69290"/>
    <w:rsid w:val="60BE040D"/>
    <w:rsid w:val="6155B704"/>
    <w:rsid w:val="61633C45"/>
    <w:rsid w:val="617186A4"/>
    <w:rsid w:val="619F9194"/>
    <w:rsid w:val="61AF486A"/>
    <w:rsid w:val="61E4C95A"/>
    <w:rsid w:val="61FB559A"/>
    <w:rsid w:val="621DFC2F"/>
    <w:rsid w:val="622CB031"/>
    <w:rsid w:val="624F0832"/>
    <w:rsid w:val="62583499"/>
    <w:rsid w:val="6276B8E7"/>
    <w:rsid w:val="62881BB7"/>
    <w:rsid w:val="62CE8E5D"/>
    <w:rsid w:val="6305B53E"/>
    <w:rsid w:val="63168299"/>
    <w:rsid w:val="6325CD2B"/>
    <w:rsid w:val="6390B7F9"/>
    <w:rsid w:val="63D0B1D8"/>
    <w:rsid w:val="644D1E22"/>
    <w:rsid w:val="645D1B59"/>
    <w:rsid w:val="64DB0ACE"/>
    <w:rsid w:val="64E3B42A"/>
    <w:rsid w:val="64F13C3B"/>
    <w:rsid w:val="650DA516"/>
    <w:rsid w:val="6546AA32"/>
    <w:rsid w:val="6564663E"/>
    <w:rsid w:val="658C9136"/>
    <w:rsid w:val="65A5A56E"/>
    <w:rsid w:val="65ECF41B"/>
    <w:rsid w:val="65FD87A0"/>
    <w:rsid w:val="660C92C6"/>
    <w:rsid w:val="662847BC"/>
    <w:rsid w:val="664DA779"/>
    <w:rsid w:val="67297CE0"/>
    <w:rsid w:val="674DBFAE"/>
    <w:rsid w:val="675852B0"/>
    <w:rsid w:val="67AC24CA"/>
    <w:rsid w:val="67BFD22E"/>
    <w:rsid w:val="67EB1C78"/>
    <w:rsid w:val="67ED4294"/>
    <w:rsid w:val="681A7D49"/>
    <w:rsid w:val="68246EDB"/>
    <w:rsid w:val="6825E97B"/>
    <w:rsid w:val="684B5FB4"/>
    <w:rsid w:val="688DE248"/>
    <w:rsid w:val="6893E870"/>
    <w:rsid w:val="68A5B2D3"/>
    <w:rsid w:val="68B18CF8"/>
    <w:rsid w:val="68BF0579"/>
    <w:rsid w:val="690C1278"/>
    <w:rsid w:val="69288713"/>
    <w:rsid w:val="693490C0"/>
    <w:rsid w:val="697DF5EC"/>
    <w:rsid w:val="6992ED2A"/>
    <w:rsid w:val="6998FD83"/>
    <w:rsid w:val="6A2900FB"/>
    <w:rsid w:val="6A488AA1"/>
    <w:rsid w:val="6AF0AF17"/>
    <w:rsid w:val="6B706A58"/>
    <w:rsid w:val="6BD39646"/>
    <w:rsid w:val="6BEFDFCD"/>
    <w:rsid w:val="6BF3F092"/>
    <w:rsid w:val="6C03C59D"/>
    <w:rsid w:val="6C2F8534"/>
    <w:rsid w:val="6C3D5981"/>
    <w:rsid w:val="6C45784B"/>
    <w:rsid w:val="6C65D803"/>
    <w:rsid w:val="6C6E68AF"/>
    <w:rsid w:val="6C9083A6"/>
    <w:rsid w:val="6CAC96FC"/>
    <w:rsid w:val="6CF7F6E7"/>
    <w:rsid w:val="6D00E67E"/>
    <w:rsid w:val="6D0D548C"/>
    <w:rsid w:val="6D570F62"/>
    <w:rsid w:val="6DBFBEA9"/>
    <w:rsid w:val="6DD55168"/>
    <w:rsid w:val="6E083814"/>
    <w:rsid w:val="6E095543"/>
    <w:rsid w:val="6E2A1A7F"/>
    <w:rsid w:val="6E3F85D9"/>
    <w:rsid w:val="6E47D785"/>
    <w:rsid w:val="6E58FF71"/>
    <w:rsid w:val="6E7FCC41"/>
    <w:rsid w:val="6EB0861C"/>
    <w:rsid w:val="6ECEBF02"/>
    <w:rsid w:val="6EFE5A18"/>
    <w:rsid w:val="6F1C890D"/>
    <w:rsid w:val="6F50718F"/>
    <w:rsid w:val="6F5642BA"/>
    <w:rsid w:val="6F626A43"/>
    <w:rsid w:val="6F9D4DA6"/>
    <w:rsid w:val="6FDC661B"/>
    <w:rsid w:val="700718E9"/>
    <w:rsid w:val="7024A6DB"/>
    <w:rsid w:val="70CB0F08"/>
    <w:rsid w:val="70EE18EA"/>
    <w:rsid w:val="7142771F"/>
    <w:rsid w:val="717309BF"/>
    <w:rsid w:val="71C02237"/>
    <w:rsid w:val="71E2118E"/>
    <w:rsid w:val="71F5A673"/>
    <w:rsid w:val="722FFE7E"/>
    <w:rsid w:val="7242E1DA"/>
    <w:rsid w:val="72CF7C5C"/>
    <w:rsid w:val="72D3A24A"/>
    <w:rsid w:val="72F2B58F"/>
    <w:rsid w:val="73385CCC"/>
    <w:rsid w:val="7348253D"/>
    <w:rsid w:val="7350CFA4"/>
    <w:rsid w:val="73C4FB50"/>
    <w:rsid w:val="74556398"/>
    <w:rsid w:val="749AE69A"/>
    <w:rsid w:val="7569AB7A"/>
    <w:rsid w:val="7584C1DF"/>
    <w:rsid w:val="7585FA7B"/>
    <w:rsid w:val="7594389A"/>
    <w:rsid w:val="76002A0B"/>
    <w:rsid w:val="765F0E96"/>
    <w:rsid w:val="76FBC0C0"/>
    <w:rsid w:val="7710CE77"/>
    <w:rsid w:val="771909C9"/>
    <w:rsid w:val="772EB845"/>
    <w:rsid w:val="773DFCEB"/>
    <w:rsid w:val="7760CBF7"/>
    <w:rsid w:val="77AE39A2"/>
    <w:rsid w:val="77C2DF77"/>
    <w:rsid w:val="77D0B1CA"/>
    <w:rsid w:val="786252B0"/>
    <w:rsid w:val="7873C850"/>
    <w:rsid w:val="78F9953C"/>
    <w:rsid w:val="792D7421"/>
    <w:rsid w:val="795F88AE"/>
    <w:rsid w:val="7966CF8F"/>
    <w:rsid w:val="79790A27"/>
    <w:rsid w:val="797DD65C"/>
    <w:rsid w:val="79D6A0F1"/>
    <w:rsid w:val="79E781D9"/>
    <w:rsid w:val="7A0405D3"/>
    <w:rsid w:val="7A512BD8"/>
    <w:rsid w:val="7ACC6C88"/>
    <w:rsid w:val="7B371E4C"/>
    <w:rsid w:val="7B7BDCFE"/>
    <w:rsid w:val="7BAB5055"/>
    <w:rsid w:val="7C644EC3"/>
    <w:rsid w:val="7C84C836"/>
    <w:rsid w:val="7C8660A4"/>
    <w:rsid w:val="7CAE1DF3"/>
    <w:rsid w:val="7CB7813E"/>
    <w:rsid w:val="7D1B9B06"/>
    <w:rsid w:val="7D28BB52"/>
    <w:rsid w:val="7D4C23DD"/>
    <w:rsid w:val="7D571C56"/>
    <w:rsid w:val="7D7ABF61"/>
    <w:rsid w:val="7D863C0C"/>
    <w:rsid w:val="7D88586A"/>
    <w:rsid w:val="7DC3D061"/>
    <w:rsid w:val="7E048B41"/>
    <w:rsid w:val="7E3AA432"/>
    <w:rsid w:val="7E544968"/>
    <w:rsid w:val="7E7571F4"/>
    <w:rsid w:val="7E84DDF7"/>
    <w:rsid w:val="7EBF7E41"/>
    <w:rsid w:val="7ECE0764"/>
    <w:rsid w:val="7F3066D7"/>
    <w:rsid w:val="7F9A044E"/>
    <w:rsid w:val="7FF8FB9B"/>
    <w:rsid w:val="7FFCCD17"/>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6F3990"/>
  <w15:chartTrackingRefBased/>
  <w15:docId w15:val="{061CFA1E-BE30-4594-9F8E-85BAB9C0F5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5033"/>
  </w:style>
  <w:style w:type="paragraph" w:styleId="Ttulo1">
    <w:name w:val="heading 1"/>
    <w:basedOn w:val="Normal"/>
    <w:next w:val="Normal"/>
    <w:link w:val="Ttulo1Car"/>
    <w:uiPriority w:val="9"/>
    <w:qFormat/>
    <w:rsid w:val="003F26B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9"/>
    <w:unhideWhenUsed/>
    <w:qFormat/>
    <w:rsid w:val="003F26BE"/>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iPriority w:val="9"/>
    <w:unhideWhenUsed/>
    <w:qFormat/>
    <w:rsid w:val="00A639C0"/>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ar"/>
    <w:uiPriority w:val="9"/>
    <w:unhideWhenUsed/>
    <w:qFormat/>
    <w:rsid w:val="00D71C4F"/>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3F26BE"/>
    <w:rPr>
      <w:rFonts w:asciiTheme="majorHAnsi" w:eastAsiaTheme="majorEastAsia" w:hAnsiTheme="majorHAnsi" w:cstheme="majorBidi"/>
      <w:color w:val="2F5496" w:themeColor="accent1" w:themeShade="BF"/>
      <w:sz w:val="32"/>
      <w:szCs w:val="32"/>
    </w:rPr>
  </w:style>
  <w:style w:type="character" w:customStyle="1" w:styleId="Ttulo2Car">
    <w:name w:val="Título 2 Car"/>
    <w:basedOn w:val="Fuentedeprrafopredeter"/>
    <w:link w:val="Ttulo2"/>
    <w:uiPriority w:val="9"/>
    <w:rsid w:val="003F26BE"/>
    <w:rPr>
      <w:rFonts w:asciiTheme="majorHAnsi" w:eastAsiaTheme="majorEastAsia" w:hAnsiTheme="majorHAnsi" w:cstheme="majorBidi"/>
      <w:color w:val="2F5496" w:themeColor="accent1" w:themeShade="BF"/>
      <w:sz w:val="26"/>
      <w:szCs w:val="26"/>
    </w:rPr>
  </w:style>
  <w:style w:type="character" w:customStyle="1" w:styleId="Ttulo3Car">
    <w:name w:val="Título 3 Car"/>
    <w:basedOn w:val="Fuentedeprrafopredeter"/>
    <w:link w:val="Ttulo3"/>
    <w:uiPriority w:val="9"/>
    <w:rsid w:val="00A639C0"/>
    <w:rPr>
      <w:rFonts w:asciiTheme="majorHAnsi" w:eastAsiaTheme="majorEastAsia" w:hAnsiTheme="majorHAnsi" w:cstheme="majorBidi"/>
      <w:color w:val="1F3763" w:themeColor="accent1" w:themeShade="7F"/>
      <w:sz w:val="24"/>
      <w:szCs w:val="24"/>
    </w:rPr>
  </w:style>
  <w:style w:type="character" w:customStyle="1" w:styleId="Ttulo4Car">
    <w:name w:val="Título 4 Car"/>
    <w:basedOn w:val="Fuentedeprrafopredeter"/>
    <w:link w:val="Ttulo4"/>
    <w:uiPriority w:val="9"/>
    <w:rsid w:val="00D71C4F"/>
    <w:rPr>
      <w:rFonts w:asciiTheme="majorHAnsi" w:eastAsiaTheme="majorEastAsia" w:hAnsiTheme="majorHAnsi" w:cstheme="majorBidi"/>
      <w:i/>
      <w:iCs/>
      <w:color w:val="2F5496" w:themeColor="accent1" w:themeShade="BF"/>
    </w:rPr>
  </w:style>
  <w:style w:type="paragraph" w:styleId="NormalWeb">
    <w:name w:val="Normal (Web)"/>
    <w:basedOn w:val="Normal"/>
    <w:uiPriority w:val="99"/>
    <w:unhideWhenUsed/>
    <w:rsid w:val="003F26BE"/>
    <w:pPr>
      <w:spacing w:before="100" w:beforeAutospacing="1" w:after="100" w:afterAutospacing="1" w:line="240" w:lineRule="auto"/>
    </w:pPr>
    <w:rPr>
      <w:rFonts w:ascii="Times New Roman" w:eastAsia="Times New Roman" w:hAnsi="Times New Roman" w:cs="Times New Roman"/>
      <w:sz w:val="24"/>
      <w:szCs w:val="24"/>
      <w:lang w:eastAsia="es-MX"/>
    </w:rPr>
  </w:style>
  <w:style w:type="paragraph" w:styleId="Prrafodelista">
    <w:name w:val="List Paragraph"/>
    <w:basedOn w:val="Normal"/>
    <w:uiPriority w:val="34"/>
    <w:qFormat/>
    <w:rsid w:val="003F26BE"/>
    <w:pPr>
      <w:ind w:left="720"/>
      <w:contextualSpacing/>
    </w:pPr>
  </w:style>
  <w:style w:type="paragraph" w:styleId="Sinespaciado">
    <w:name w:val="No Spacing"/>
    <w:uiPriority w:val="1"/>
    <w:qFormat/>
    <w:rsid w:val="003F26BE"/>
    <w:pPr>
      <w:spacing w:after="0" w:line="240" w:lineRule="auto"/>
    </w:pPr>
    <w:rPr>
      <w:kern w:val="2"/>
      <w:sz w:val="24"/>
      <w:szCs w:val="24"/>
      <w14:ligatures w14:val="standardContextual"/>
    </w:rPr>
  </w:style>
  <w:style w:type="character" w:styleId="Fuerte">
    <w:name w:val="Strong"/>
    <w:basedOn w:val="Fuentedeprrafopredeter"/>
    <w:uiPriority w:val="22"/>
    <w:qFormat/>
    <w:rsid w:val="006E42D8"/>
    <w:rPr>
      <w:b/>
      <w:bCs/>
    </w:rPr>
  </w:style>
  <w:style w:type="character" w:styleId="nfasis">
    <w:name w:val="Emphasis"/>
    <w:basedOn w:val="Fuentedeprrafopredeter"/>
    <w:uiPriority w:val="20"/>
    <w:qFormat/>
    <w:rsid w:val="005F0C7F"/>
    <w:rPr>
      <w:i/>
      <w:iCs/>
    </w:rPr>
  </w:style>
  <w:style w:type="paragraph" w:styleId="TtuloTDC">
    <w:name w:val="TOC Heading"/>
    <w:basedOn w:val="Ttulo1"/>
    <w:next w:val="Normal"/>
    <w:uiPriority w:val="39"/>
    <w:unhideWhenUsed/>
    <w:qFormat/>
    <w:rsid w:val="00F14196"/>
    <w:pPr>
      <w:outlineLvl w:val="9"/>
    </w:pPr>
    <w:rPr>
      <w:lang w:eastAsia="es-CO"/>
    </w:rPr>
  </w:style>
  <w:style w:type="paragraph" w:styleId="TDC1">
    <w:name w:val="toc 1"/>
    <w:basedOn w:val="Normal"/>
    <w:next w:val="Normal"/>
    <w:autoRedefine/>
    <w:uiPriority w:val="39"/>
    <w:unhideWhenUsed/>
    <w:rsid w:val="00F14196"/>
    <w:pPr>
      <w:spacing w:after="100"/>
    </w:pPr>
  </w:style>
  <w:style w:type="paragraph" w:styleId="TDC2">
    <w:name w:val="toc 2"/>
    <w:basedOn w:val="Normal"/>
    <w:next w:val="Normal"/>
    <w:autoRedefine/>
    <w:uiPriority w:val="39"/>
    <w:unhideWhenUsed/>
    <w:rsid w:val="00F14196"/>
    <w:pPr>
      <w:spacing w:after="100"/>
      <w:ind w:left="220"/>
    </w:pPr>
  </w:style>
  <w:style w:type="paragraph" w:styleId="TDC3">
    <w:name w:val="toc 3"/>
    <w:basedOn w:val="Normal"/>
    <w:next w:val="Normal"/>
    <w:autoRedefine/>
    <w:uiPriority w:val="39"/>
    <w:unhideWhenUsed/>
    <w:rsid w:val="00F14196"/>
    <w:pPr>
      <w:spacing w:after="100"/>
      <w:ind w:left="440"/>
    </w:pPr>
  </w:style>
  <w:style w:type="character" w:styleId="Hipervnculo">
    <w:name w:val="Hyperlink"/>
    <w:basedOn w:val="Fuentedeprrafopredeter"/>
    <w:uiPriority w:val="99"/>
    <w:unhideWhenUsed/>
    <w:rsid w:val="00F14196"/>
    <w:rPr>
      <w:color w:val="0563C1" w:themeColor="hyperlink"/>
      <w:u w:val="single"/>
    </w:rPr>
  </w:style>
  <w:style w:type="paragraph" w:styleId="Textonotapie">
    <w:name w:val="footnote text"/>
    <w:basedOn w:val="Normal"/>
    <w:link w:val="TextonotapieCar"/>
    <w:uiPriority w:val="99"/>
    <w:semiHidden/>
    <w:unhideWhenUsed/>
    <w:rsid w:val="00E2113D"/>
    <w:pPr>
      <w:spacing w:after="0" w:line="240" w:lineRule="auto"/>
    </w:pPr>
    <w:rPr>
      <w:kern w:val="2"/>
      <w:sz w:val="20"/>
      <w:szCs w:val="20"/>
      <w14:ligatures w14:val="standardContextual"/>
    </w:rPr>
  </w:style>
  <w:style w:type="character" w:customStyle="1" w:styleId="TextonotapieCar">
    <w:name w:val="Texto nota pie Car"/>
    <w:basedOn w:val="Fuentedeprrafopredeter"/>
    <w:link w:val="Textonotapie"/>
    <w:uiPriority w:val="99"/>
    <w:semiHidden/>
    <w:rsid w:val="00E2113D"/>
    <w:rPr>
      <w:kern w:val="2"/>
      <w:sz w:val="20"/>
      <w:szCs w:val="20"/>
      <w14:ligatures w14:val="standardContextual"/>
    </w:rPr>
  </w:style>
  <w:style w:type="character" w:styleId="Refdenotaalpie">
    <w:name w:val="footnote reference"/>
    <w:basedOn w:val="Fuentedeprrafopredeter"/>
    <w:uiPriority w:val="99"/>
    <w:semiHidden/>
    <w:unhideWhenUsed/>
    <w:rsid w:val="00E2113D"/>
    <w:rPr>
      <w:vertAlign w:val="superscript"/>
    </w:rPr>
  </w:style>
  <w:style w:type="paragraph" w:styleId="Encabezado">
    <w:name w:val="header"/>
    <w:basedOn w:val="Normal"/>
    <w:link w:val="EncabezadoCar"/>
    <w:uiPriority w:val="99"/>
    <w:unhideWhenUsed/>
    <w:rsid w:val="003A4ADC"/>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3A4ADC"/>
  </w:style>
  <w:style w:type="paragraph" w:styleId="Piedepgina">
    <w:name w:val="footer"/>
    <w:basedOn w:val="Normal"/>
    <w:link w:val="PiedepginaCar"/>
    <w:uiPriority w:val="99"/>
    <w:unhideWhenUsed/>
    <w:rsid w:val="003A4ADC"/>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3A4ADC"/>
  </w:style>
  <w:style w:type="character" w:styleId="Refdecomentario">
    <w:name w:val="annotation reference"/>
    <w:basedOn w:val="Fuentedeprrafopredeter"/>
    <w:uiPriority w:val="99"/>
    <w:semiHidden/>
    <w:unhideWhenUsed/>
    <w:rsid w:val="008864E8"/>
    <w:rPr>
      <w:sz w:val="16"/>
      <w:szCs w:val="16"/>
    </w:rPr>
  </w:style>
  <w:style w:type="paragraph" w:styleId="Textocomentario">
    <w:name w:val="annotation text"/>
    <w:basedOn w:val="Normal"/>
    <w:link w:val="TextocomentarioCar"/>
    <w:uiPriority w:val="99"/>
    <w:unhideWhenUsed/>
    <w:rsid w:val="008864E8"/>
    <w:pPr>
      <w:spacing w:line="240" w:lineRule="auto"/>
    </w:pPr>
    <w:rPr>
      <w:sz w:val="20"/>
      <w:szCs w:val="20"/>
    </w:rPr>
  </w:style>
  <w:style w:type="character" w:customStyle="1" w:styleId="TextocomentarioCar">
    <w:name w:val="Texto comentario Car"/>
    <w:basedOn w:val="Fuentedeprrafopredeter"/>
    <w:link w:val="Textocomentario"/>
    <w:uiPriority w:val="99"/>
    <w:rsid w:val="008864E8"/>
    <w:rPr>
      <w:sz w:val="20"/>
      <w:szCs w:val="20"/>
    </w:rPr>
  </w:style>
  <w:style w:type="paragraph" w:styleId="Asuntodelcomentario">
    <w:name w:val="annotation subject"/>
    <w:basedOn w:val="Textocomentario"/>
    <w:next w:val="Textocomentario"/>
    <w:link w:val="AsuntodelcomentarioCar"/>
    <w:uiPriority w:val="99"/>
    <w:semiHidden/>
    <w:unhideWhenUsed/>
    <w:rsid w:val="008864E8"/>
    <w:rPr>
      <w:b/>
      <w:bCs/>
    </w:rPr>
  </w:style>
  <w:style w:type="character" w:customStyle="1" w:styleId="AsuntodelcomentarioCar">
    <w:name w:val="Asunto del comentario Car"/>
    <w:basedOn w:val="TextocomentarioCar"/>
    <w:link w:val="Asuntodelcomentario"/>
    <w:uiPriority w:val="99"/>
    <w:semiHidden/>
    <w:rsid w:val="008864E8"/>
    <w:rPr>
      <w:b/>
      <w:bCs/>
      <w:sz w:val="20"/>
      <w:szCs w:val="20"/>
    </w:rPr>
  </w:style>
  <w:style w:type="table" w:customStyle="1" w:styleId="Tablaconcuadrcula4-nfasis11">
    <w:name w:val="Tabla con cuadrícula 4 - Énfasis 11"/>
    <w:basedOn w:val="Tablanormal"/>
    <w:next w:val="Tablaconcuadrcula4-nfasis1"/>
    <w:uiPriority w:val="49"/>
    <w:rsid w:val="0092665C"/>
    <w:pPr>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aconcuadrcula4-nfasis1">
    <w:name w:val="Grid Table 4 Accent 1"/>
    <w:basedOn w:val="Tablanormal"/>
    <w:uiPriority w:val="49"/>
    <w:rsid w:val="0092665C"/>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laconcuadrcula">
    <w:name w:val="Table Grid"/>
    <w:basedOn w:val="Tablanormal"/>
    <w:uiPriority w:val="39"/>
    <w:rsid w:val="00E2398F"/>
    <w:pPr>
      <w:spacing w:after="0" w:line="240" w:lineRule="auto"/>
    </w:pPr>
    <w:rPr>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DC4">
    <w:name w:val="toc 4"/>
    <w:basedOn w:val="Normal"/>
    <w:next w:val="Normal"/>
    <w:autoRedefine/>
    <w:uiPriority w:val="39"/>
    <w:unhideWhenUsed/>
    <w:rsid w:val="00E030B6"/>
    <w:pPr>
      <w:spacing w:after="100"/>
      <w:ind w:left="660"/>
    </w:pPr>
    <w:rPr>
      <w:rFonts w:eastAsiaTheme="minorEastAsia"/>
      <w:lang w:eastAsia="es-CO"/>
    </w:rPr>
  </w:style>
  <w:style w:type="paragraph" w:styleId="TDC5">
    <w:name w:val="toc 5"/>
    <w:basedOn w:val="Normal"/>
    <w:next w:val="Normal"/>
    <w:autoRedefine/>
    <w:uiPriority w:val="39"/>
    <w:unhideWhenUsed/>
    <w:rsid w:val="00E030B6"/>
    <w:pPr>
      <w:spacing w:after="100"/>
      <w:ind w:left="880"/>
    </w:pPr>
    <w:rPr>
      <w:rFonts w:eastAsiaTheme="minorEastAsia"/>
      <w:lang w:eastAsia="es-CO"/>
    </w:rPr>
  </w:style>
  <w:style w:type="paragraph" w:styleId="TDC6">
    <w:name w:val="toc 6"/>
    <w:basedOn w:val="Normal"/>
    <w:next w:val="Normal"/>
    <w:autoRedefine/>
    <w:uiPriority w:val="39"/>
    <w:unhideWhenUsed/>
    <w:rsid w:val="00E030B6"/>
    <w:pPr>
      <w:spacing w:after="100"/>
      <w:ind w:left="1100"/>
    </w:pPr>
    <w:rPr>
      <w:rFonts w:eastAsiaTheme="minorEastAsia"/>
      <w:lang w:eastAsia="es-CO"/>
    </w:rPr>
  </w:style>
  <w:style w:type="paragraph" w:styleId="TDC7">
    <w:name w:val="toc 7"/>
    <w:basedOn w:val="Normal"/>
    <w:next w:val="Normal"/>
    <w:autoRedefine/>
    <w:uiPriority w:val="39"/>
    <w:unhideWhenUsed/>
    <w:rsid w:val="00E030B6"/>
    <w:pPr>
      <w:spacing w:after="100"/>
      <w:ind w:left="1320"/>
    </w:pPr>
    <w:rPr>
      <w:rFonts w:eastAsiaTheme="minorEastAsia"/>
      <w:lang w:eastAsia="es-CO"/>
    </w:rPr>
  </w:style>
  <w:style w:type="paragraph" w:styleId="TDC8">
    <w:name w:val="toc 8"/>
    <w:basedOn w:val="Normal"/>
    <w:next w:val="Normal"/>
    <w:autoRedefine/>
    <w:uiPriority w:val="39"/>
    <w:unhideWhenUsed/>
    <w:rsid w:val="00E030B6"/>
    <w:pPr>
      <w:spacing w:after="100"/>
      <w:ind w:left="1540"/>
    </w:pPr>
    <w:rPr>
      <w:rFonts w:eastAsiaTheme="minorEastAsia"/>
      <w:lang w:eastAsia="es-CO"/>
    </w:rPr>
  </w:style>
  <w:style w:type="paragraph" w:styleId="TDC9">
    <w:name w:val="toc 9"/>
    <w:basedOn w:val="Normal"/>
    <w:next w:val="Normal"/>
    <w:autoRedefine/>
    <w:uiPriority w:val="39"/>
    <w:unhideWhenUsed/>
    <w:rsid w:val="00E030B6"/>
    <w:pPr>
      <w:spacing w:after="100"/>
      <w:ind w:left="1760"/>
    </w:pPr>
    <w:rPr>
      <w:rFonts w:eastAsiaTheme="minorEastAsia"/>
      <w:lang w:eastAsia="es-CO"/>
    </w:rPr>
  </w:style>
  <w:style w:type="character" w:styleId="Mencinsinresolver">
    <w:name w:val="Unresolved Mention"/>
    <w:basedOn w:val="Fuentedeprrafopredeter"/>
    <w:uiPriority w:val="99"/>
    <w:semiHidden/>
    <w:unhideWhenUsed/>
    <w:rsid w:val="00E030B6"/>
    <w:rPr>
      <w:color w:val="605E5C"/>
      <w:shd w:val="clear" w:color="auto" w:fill="E1DFDD"/>
    </w:rPr>
  </w:style>
  <w:style w:type="paragraph" w:customStyle="1" w:styleId="p1">
    <w:name w:val="p1"/>
    <w:basedOn w:val="Normal"/>
    <w:rsid w:val="004C3720"/>
    <w:pPr>
      <w:spacing w:after="0" w:line="240" w:lineRule="auto"/>
    </w:pPr>
    <w:rPr>
      <w:rFonts w:ascii="Helvetica" w:eastAsia="Times New Roman" w:hAnsi="Helvetica" w:cs="Times New Roman"/>
      <w:color w:val="000000"/>
      <w:sz w:val="18"/>
      <w:szCs w:val="18"/>
      <w:lang w:val="es-ES" w:eastAsia="es-ES_tradnl"/>
    </w:rPr>
  </w:style>
  <w:style w:type="character" w:customStyle="1" w:styleId="s1">
    <w:name w:val="s1"/>
    <w:basedOn w:val="Fuentedeprrafopredeter"/>
    <w:rsid w:val="004C3720"/>
    <w:rPr>
      <w:rFonts w:ascii="Helvetica" w:hAnsi="Helvetica" w:hint="default"/>
      <w:sz w:val="17"/>
      <w:szCs w:val="17"/>
    </w:rPr>
  </w:style>
  <w:style w:type="character" w:customStyle="1" w:styleId="s2">
    <w:name w:val="s2"/>
    <w:basedOn w:val="Fuentedeprrafopredeter"/>
    <w:rsid w:val="004C3720"/>
    <w:rPr>
      <w:rFonts w:ascii="Helvetica" w:hAnsi="Helvetica" w:hint="default"/>
      <w:sz w:val="17"/>
      <w:szCs w:val="17"/>
    </w:rPr>
  </w:style>
  <w:style w:type="character" w:customStyle="1" w:styleId="apple-converted-space">
    <w:name w:val="apple-converted-space"/>
    <w:basedOn w:val="Fuentedeprrafopredeter"/>
    <w:rsid w:val="004C3720"/>
  </w:style>
  <w:style w:type="paragraph" w:styleId="Revisin">
    <w:name w:val="Revision"/>
    <w:hidden/>
    <w:uiPriority w:val="99"/>
    <w:semiHidden/>
    <w:rsid w:val="004F6105"/>
    <w:pPr>
      <w:spacing w:after="0" w:line="240" w:lineRule="auto"/>
    </w:pPr>
  </w:style>
  <w:style w:type="paragraph" w:customStyle="1" w:styleId="paragraph">
    <w:name w:val="paragraph"/>
    <w:basedOn w:val="Normal"/>
    <w:rsid w:val="004D1CE2"/>
    <w:pPr>
      <w:spacing w:before="100" w:beforeAutospacing="1" w:after="100" w:afterAutospacing="1" w:line="240" w:lineRule="auto"/>
    </w:pPr>
    <w:rPr>
      <w:rFonts w:ascii="Times New Roman" w:eastAsia="Times New Roman" w:hAnsi="Times New Roman" w:cs="Times New Roman"/>
      <w:sz w:val="24"/>
      <w:szCs w:val="24"/>
      <w:lang w:val="es-ES" w:eastAsia="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803001">
      <w:bodyDiv w:val="1"/>
      <w:marLeft w:val="0"/>
      <w:marRight w:val="0"/>
      <w:marTop w:val="0"/>
      <w:marBottom w:val="0"/>
      <w:divBdr>
        <w:top w:val="none" w:sz="0" w:space="0" w:color="auto"/>
        <w:left w:val="none" w:sz="0" w:space="0" w:color="auto"/>
        <w:bottom w:val="none" w:sz="0" w:space="0" w:color="auto"/>
        <w:right w:val="none" w:sz="0" w:space="0" w:color="auto"/>
      </w:divBdr>
    </w:div>
    <w:div w:id="93523183">
      <w:bodyDiv w:val="1"/>
      <w:marLeft w:val="0"/>
      <w:marRight w:val="0"/>
      <w:marTop w:val="0"/>
      <w:marBottom w:val="0"/>
      <w:divBdr>
        <w:top w:val="none" w:sz="0" w:space="0" w:color="auto"/>
        <w:left w:val="none" w:sz="0" w:space="0" w:color="auto"/>
        <w:bottom w:val="none" w:sz="0" w:space="0" w:color="auto"/>
        <w:right w:val="none" w:sz="0" w:space="0" w:color="auto"/>
      </w:divBdr>
      <w:divsChild>
        <w:div w:id="4602531">
          <w:marLeft w:val="0"/>
          <w:marRight w:val="0"/>
          <w:marTop w:val="0"/>
          <w:marBottom w:val="0"/>
          <w:divBdr>
            <w:top w:val="none" w:sz="0" w:space="0" w:color="auto"/>
            <w:left w:val="none" w:sz="0" w:space="0" w:color="auto"/>
            <w:bottom w:val="none" w:sz="0" w:space="0" w:color="auto"/>
            <w:right w:val="none" w:sz="0" w:space="0" w:color="auto"/>
          </w:divBdr>
          <w:divsChild>
            <w:div w:id="1987390684">
              <w:marLeft w:val="0"/>
              <w:marRight w:val="0"/>
              <w:marTop w:val="0"/>
              <w:marBottom w:val="0"/>
              <w:divBdr>
                <w:top w:val="none" w:sz="0" w:space="0" w:color="auto"/>
                <w:left w:val="none" w:sz="0" w:space="0" w:color="auto"/>
                <w:bottom w:val="none" w:sz="0" w:space="0" w:color="auto"/>
                <w:right w:val="none" w:sz="0" w:space="0" w:color="auto"/>
              </w:divBdr>
              <w:divsChild>
                <w:div w:id="2096197056">
                  <w:marLeft w:val="0"/>
                  <w:marRight w:val="0"/>
                  <w:marTop w:val="0"/>
                  <w:marBottom w:val="0"/>
                  <w:divBdr>
                    <w:top w:val="none" w:sz="0" w:space="0" w:color="auto"/>
                    <w:left w:val="none" w:sz="0" w:space="0" w:color="auto"/>
                    <w:bottom w:val="none" w:sz="0" w:space="0" w:color="auto"/>
                    <w:right w:val="none" w:sz="0" w:space="0" w:color="auto"/>
                  </w:divBdr>
                  <w:divsChild>
                    <w:div w:id="1364095658">
                      <w:marLeft w:val="0"/>
                      <w:marRight w:val="0"/>
                      <w:marTop w:val="0"/>
                      <w:marBottom w:val="0"/>
                      <w:divBdr>
                        <w:top w:val="none" w:sz="0" w:space="0" w:color="auto"/>
                        <w:left w:val="none" w:sz="0" w:space="0" w:color="auto"/>
                        <w:bottom w:val="none" w:sz="0" w:space="0" w:color="auto"/>
                        <w:right w:val="none" w:sz="0" w:space="0" w:color="auto"/>
                      </w:divBdr>
                      <w:divsChild>
                        <w:div w:id="1342122653">
                          <w:marLeft w:val="0"/>
                          <w:marRight w:val="0"/>
                          <w:marTop w:val="0"/>
                          <w:marBottom w:val="0"/>
                          <w:divBdr>
                            <w:top w:val="none" w:sz="0" w:space="0" w:color="auto"/>
                            <w:left w:val="none" w:sz="0" w:space="0" w:color="auto"/>
                            <w:bottom w:val="none" w:sz="0" w:space="0" w:color="auto"/>
                            <w:right w:val="none" w:sz="0" w:space="0" w:color="auto"/>
                          </w:divBdr>
                          <w:divsChild>
                            <w:div w:id="1183323643">
                              <w:marLeft w:val="0"/>
                              <w:marRight w:val="0"/>
                              <w:marTop w:val="0"/>
                              <w:marBottom w:val="0"/>
                              <w:divBdr>
                                <w:top w:val="none" w:sz="0" w:space="0" w:color="auto"/>
                                <w:left w:val="none" w:sz="0" w:space="0" w:color="auto"/>
                                <w:bottom w:val="none" w:sz="0" w:space="0" w:color="auto"/>
                                <w:right w:val="none" w:sz="0" w:space="0" w:color="auto"/>
                              </w:divBdr>
                              <w:divsChild>
                                <w:div w:id="93744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88693816">
          <w:marLeft w:val="0"/>
          <w:marRight w:val="0"/>
          <w:marTop w:val="0"/>
          <w:marBottom w:val="0"/>
          <w:divBdr>
            <w:top w:val="none" w:sz="0" w:space="0" w:color="auto"/>
            <w:left w:val="none" w:sz="0" w:space="0" w:color="auto"/>
            <w:bottom w:val="none" w:sz="0" w:space="0" w:color="auto"/>
            <w:right w:val="none" w:sz="0" w:space="0" w:color="auto"/>
          </w:divBdr>
          <w:divsChild>
            <w:div w:id="436605866">
              <w:marLeft w:val="0"/>
              <w:marRight w:val="0"/>
              <w:marTop w:val="0"/>
              <w:marBottom w:val="0"/>
              <w:divBdr>
                <w:top w:val="none" w:sz="0" w:space="0" w:color="auto"/>
                <w:left w:val="none" w:sz="0" w:space="0" w:color="auto"/>
                <w:bottom w:val="none" w:sz="0" w:space="0" w:color="auto"/>
                <w:right w:val="none" w:sz="0" w:space="0" w:color="auto"/>
              </w:divBdr>
              <w:divsChild>
                <w:div w:id="1699431052">
                  <w:marLeft w:val="0"/>
                  <w:marRight w:val="0"/>
                  <w:marTop w:val="0"/>
                  <w:marBottom w:val="0"/>
                  <w:divBdr>
                    <w:top w:val="none" w:sz="0" w:space="0" w:color="auto"/>
                    <w:left w:val="none" w:sz="0" w:space="0" w:color="auto"/>
                    <w:bottom w:val="none" w:sz="0" w:space="0" w:color="auto"/>
                    <w:right w:val="none" w:sz="0" w:space="0" w:color="auto"/>
                  </w:divBdr>
                  <w:divsChild>
                    <w:div w:id="116681987">
                      <w:marLeft w:val="0"/>
                      <w:marRight w:val="0"/>
                      <w:marTop w:val="0"/>
                      <w:marBottom w:val="0"/>
                      <w:divBdr>
                        <w:top w:val="none" w:sz="0" w:space="0" w:color="auto"/>
                        <w:left w:val="none" w:sz="0" w:space="0" w:color="auto"/>
                        <w:bottom w:val="none" w:sz="0" w:space="0" w:color="auto"/>
                        <w:right w:val="none" w:sz="0" w:space="0" w:color="auto"/>
                      </w:divBdr>
                    </w:div>
                    <w:div w:id="2054186020">
                      <w:marLeft w:val="0"/>
                      <w:marRight w:val="0"/>
                      <w:marTop w:val="0"/>
                      <w:marBottom w:val="0"/>
                      <w:divBdr>
                        <w:top w:val="none" w:sz="0" w:space="0" w:color="auto"/>
                        <w:left w:val="none" w:sz="0" w:space="0" w:color="auto"/>
                        <w:bottom w:val="none" w:sz="0" w:space="0" w:color="auto"/>
                        <w:right w:val="none" w:sz="0" w:space="0" w:color="auto"/>
                      </w:divBdr>
                      <w:divsChild>
                        <w:div w:id="1742874687">
                          <w:marLeft w:val="0"/>
                          <w:marRight w:val="0"/>
                          <w:marTop w:val="0"/>
                          <w:marBottom w:val="0"/>
                          <w:divBdr>
                            <w:top w:val="none" w:sz="0" w:space="0" w:color="auto"/>
                            <w:left w:val="none" w:sz="0" w:space="0" w:color="auto"/>
                            <w:bottom w:val="none" w:sz="0" w:space="0" w:color="auto"/>
                            <w:right w:val="none" w:sz="0" w:space="0" w:color="auto"/>
                          </w:divBdr>
                          <w:divsChild>
                            <w:div w:id="226065029">
                              <w:marLeft w:val="0"/>
                              <w:marRight w:val="0"/>
                              <w:marTop w:val="0"/>
                              <w:marBottom w:val="0"/>
                              <w:divBdr>
                                <w:top w:val="none" w:sz="0" w:space="0" w:color="auto"/>
                                <w:left w:val="none" w:sz="0" w:space="0" w:color="auto"/>
                                <w:bottom w:val="none" w:sz="0" w:space="0" w:color="auto"/>
                                <w:right w:val="none" w:sz="0" w:space="0" w:color="auto"/>
                              </w:divBdr>
                              <w:divsChild>
                                <w:div w:id="895166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7941234">
      <w:bodyDiv w:val="1"/>
      <w:marLeft w:val="0"/>
      <w:marRight w:val="0"/>
      <w:marTop w:val="0"/>
      <w:marBottom w:val="0"/>
      <w:divBdr>
        <w:top w:val="none" w:sz="0" w:space="0" w:color="auto"/>
        <w:left w:val="none" w:sz="0" w:space="0" w:color="auto"/>
        <w:bottom w:val="none" w:sz="0" w:space="0" w:color="auto"/>
        <w:right w:val="none" w:sz="0" w:space="0" w:color="auto"/>
      </w:divBdr>
    </w:div>
    <w:div w:id="160240356">
      <w:bodyDiv w:val="1"/>
      <w:marLeft w:val="0"/>
      <w:marRight w:val="0"/>
      <w:marTop w:val="0"/>
      <w:marBottom w:val="0"/>
      <w:divBdr>
        <w:top w:val="none" w:sz="0" w:space="0" w:color="auto"/>
        <w:left w:val="none" w:sz="0" w:space="0" w:color="auto"/>
        <w:bottom w:val="none" w:sz="0" w:space="0" w:color="auto"/>
        <w:right w:val="none" w:sz="0" w:space="0" w:color="auto"/>
      </w:divBdr>
    </w:div>
    <w:div w:id="171534852">
      <w:bodyDiv w:val="1"/>
      <w:marLeft w:val="0"/>
      <w:marRight w:val="0"/>
      <w:marTop w:val="0"/>
      <w:marBottom w:val="0"/>
      <w:divBdr>
        <w:top w:val="none" w:sz="0" w:space="0" w:color="auto"/>
        <w:left w:val="none" w:sz="0" w:space="0" w:color="auto"/>
        <w:bottom w:val="none" w:sz="0" w:space="0" w:color="auto"/>
        <w:right w:val="none" w:sz="0" w:space="0" w:color="auto"/>
      </w:divBdr>
    </w:div>
    <w:div w:id="175773897">
      <w:bodyDiv w:val="1"/>
      <w:marLeft w:val="0"/>
      <w:marRight w:val="0"/>
      <w:marTop w:val="0"/>
      <w:marBottom w:val="0"/>
      <w:divBdr>
        <w:top w:val="none" w:sz="0" w:space="0" w:color="auto"/>
        <w:left w:val="none" w:sz="0" w:space="0" w:color="auto"/>
        <w:bottom w:val="none" w:sz="0" w:space="0" w:color="auto"/>
        <w:right w:val="none" w:sz="0" w:space="0" w:color="auto"/>
      </w:divBdr>
    </w:div>
    <w:div w:id="200017598">
      <w:bodyDiv w:val="1"/>
      <w:marLeft w:val="0"/>
      <w:marRight w:val="0"/>
      <w:marTop w:val="0"/>
      <w:marBottom w:val="0"/>
      <w:divBdr>
        <w:top w:val="none" w:sz="0" w:space="0" w:color="auto"/>
        <w:left w:val="none" w:sz="0" w:space="0" w:color="auto"/>
        <w:bottom w:val="none" w:sz="0" w:space="0" w:color="auto"/>
        <w:right w:val="none" w:sz="0" w:space="0" w:color="auto"/>
      </w:divBdr>
    </w:div>
    <w:div w:id="213588954">
      <w:bodyDiv w:val="1"/>
      <w:marLeft w:val="0"/>
      <w:marRight w:val="0"/>
      <w:marTop w:val="0"/>
      <w:marBottom w:val="0"/>
      <w:divBdr>
        <w:top w:val="none" w:sz="0" w:space="0" w:color="auto"/>
        <w:left w:val="none" w:sz="0" w:space="0" w:color="auto"/>
        <w:bottom w:val="none" w:sz="0" w:space="0" w:color="auto"/>
        <w:right w:val="none" w:sz="0" w:space="0" w:color="auto"/>
      </w:divBdr>
      <w:divsChild>
        <w:div w:id="1556500953">
          <w:marLeft w:val="0"/>
          <w:marRight w:val="0"/>
          <w:marTop w:val="0"/>
          <w:marBottom w:val="0"/>
          <w:divBdr>
            <w:top w:val="none" w:sz="0" w:space="0" w:color="auto"/>
            <w:left w:val="none" w:sz="0" w:space="0" w:color="auto"/>
            <w:bottom w:val="none" w:sz="0" w:space="0" w:color="auto"/>
            <w:right w:val="none" w:sz="0" w:space="0" w:color="auto"/>
          </w:divBdr>
          <w:divsChild>
            <w:div w:id="139468798">
              <w:marLeft w:val="0"/>
              <w:marRight w:val="0"/>
              <w:marTop w:val="0"/>
              <w:marBottom w:val="0"/>
              <w:divBdr>
                <w:top w:val="none" w:sz="0" w:space="0" w:color="auto"/>
                <w:left w:val="none" w:sz="0" w:space="0" w:color="auto"/>
                <w:bottom w:val="none" w:sz="0" w:space="0" w:color="auto"/>
                <w:right w:val="none" w:sz="0" w:space="0" w:color="auto"/>
              </w:divBdr>
              <w:divsChild>
                <w:div w:id="1061830807">
                  <w:marLeft w:val="0"/>
                  <w:marRight w:val="0"/>
                  <w:marTop w:val="0"/>
                  <w:marBottom w:val="0"/>
                  <w:divBdr>
                    <w:top w:val="none" w:sz="0" w:space="0" w:color="auto"/>
                    <w:left w:val="none" w:sz="0" w:space="0" w:color="auto"/>
                    <w:bottom w:val="none" w:sz="0" w:space="0" w:color="auto"/>
                    <w:right w:val="none" w:sz="0" w:space="0" w:color="auto"/>
                  </w:divBdr>
                  <w:divsChild>
                    <w:div w:id="411658665">
                      <w:marLeft w:val="0"/>
                      <w:marRight w:val="0"/>
                      <w:marTop w:val="0"/>
                      <w:marBottom w:val="0"/>
                      <w:divBdr>
                        <w:top w:val="none" w:sz="0" w:space="0" w:color="auto"/>
                        <w:left w:val="none" w:sz="0" w:space="0" w:color="auto"/>
                        <w:bottom w:val="none" w:sz="0" w:space="0" w:color="auto"/>
                        <w:right w:val="none" w:sz="0" w:space="0" w:color="auto"/>
                      </w:divBdr>
                    </w:div>
                    <w:div w:id="626669260">
                      <w:marLeft w:val="0"/>
                      <w:marRight w:val="0"/>
                      <w:marTop w:val="0"/>
                      <w:marBottom w:val="0"/>
                      <w:divBdr>
                        <w:top w:val="none" w:sz="0" w:space="0" w:color="auto"/>
                        <w:left w:val="none" w:sz="0" w:space="0" w:color="auto"/>
                        <w:bottom w:val="none" w:sz="0" w:space="0" w:color="auto"/>
                        <w:right w:val="none" w:sz="0" w:space="0" w:color="auto"/>
                      </w:divBdr>
                      <w:divsChild>
                        <w:div w:id="1634405114">
                          <w:marLeft w:val="0"/>
                          <w:marRight w:val="0"/>
                          <w:marTop w:val="0"/>
                          <w:marBottom w:val="0"/>
                          <w:divBdr>
                            <w:top w:val="none" w:sz="0" w:space="0" w:color="auto"/>
                            <w:left w:val="none" w:sz="0" w:space="0" w:color="auto"/>
                            <w:bottom w:val="none" w:sz="0" w:space="0" w:color="auto"/>
                            <w:right w:val="none" w:sz="0" w:space="0" w:color="auto"/>
                          </w:divBdr>
                          <w:divsChild>
                            <w:div w:id="1221136081">
                              <w:marLeft w:val="0"/>
                              <w:marRight w:val="0"/>
                              <w:marTop w:val="0"/>
                              <w:marBottom w:val="0"/>
                              <w:divBdr>
                                <w:top w:val="none" w:sz="0" w:space="0" w:color="auto"/>
                                <w:left w:val="none" w:sz="0" w:space="0" w:color="auto"/>
                                <w:bottom w:val="none" w:sz="0" w:space="0" w:color="auto"/>
                                <w:right w:val="none" w:sz="0" w:space="0" w:color="auto"/>
                              </w:divBdr>
                              <w:divsChild>
                                <w:div w:id="815223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33312937">
          <w:marLeft w:val="0"/>
          <w:marRight w:val="0"/>
          <w:marTop w:val="0"/>
          <w:marBottom w:val="0"/>
          <w:divBdr>
            <w:top w:val="none" w:sz="0" w:space="0" w:color="auto"/>
            <w:left w:val="none" w:sz="0" w:space="0" w:color="auto"/>
            <w:bottom w:val="none" w:sz="0" w:space="0" w:color="auto"/>
            <w:right w:val="none" w:sz="0" w:space="0" w:color="auto"/>
          </w:divBdr>
          <w:divsChild>
            <w:div w:id="1176076003">
              <w:marLeft w:val="0"/>
              <w:marRight w:val="0"/>
              <w:marTop w:val="0"/>
              <w:marBottom w:val="0"/>
              <w:divBdr>
                <w:top w:val="none" w:sz="0" w:space="0" w:color="auto"/>
                <w:left w:val="none" w:sz="0" w:space="0" w:color="auto"/>
                <w:bottom w:val="none" w:sz="0" w:space="0" w:color="auto"/>
                <w:right w:val="none" w:sz="0" w:space="0" w:color="auto"/>
              </w:divBdr>
              <w:divsChild>
                <w:div w:id="2080903528">
                  <w:marLeft w:val="0"/>
                  <w:marRight w:val="0"/>
                  <w:marTop w:val="0"/>
                  <w:marBottom w:val="0"/>
                  <w:divBdr>
                    <w:top w:val="none" w:sz="0" w:space="0" w:color="auto"/>
                    <w:left w:val="none" w:sz="0" w:space="0" w:color="auto"/>
                    <w:bottom w:val="none" w:sz="0" w:space="0" w:color="auto"/>
                    <w:right w:val="none" w:sz="0" w:space="0" w:color="auto"/>
                  </w:divBdr>
                  <w:divsChild>
                    <w:div w:id="646319155">
                      <w:marLeft w:val="0"/>
                      <w:marRight w:val="0"/>
                      <w:marTop w:val="0"/>
                      <w:marBottom w:val="0"/>
                      <w:divBdr>
                        <w:top w:val="none" w:sz="0" w:space="0" w:color="auto"/>
                        <w:left w:val="none" w:sz="0" w:space="0" w:color="auto"/>
                        <w:bottom w:val="none" w:sz="0" w:space="0" w:color="auto"/>
                        <w:right w:val="none" w:sz="0" w:space="0" w:color="auto"/>
                      </w:divBdr>
                      <w:divsChild>
                        <w:div w:id="25329344">
                          <w:marLeft w:val="0"/>
                          <w:marRight w:val="0"/>
                          <w:marTop w:val="0"/>
                          <w:marBottom w:val="0"/>
                          <w:divBdr>
                            <w:top w:val="none" w:sz="0" w:space="0" w:color="auto"/>
                            <w:left w:val="none" w:sz="0" w:space="0" w:color="auto"/>
                            <w:bottom w:val="none" w:sz="0" w:space="0" w:color="auto"/>
                            <w:right w:val="none" w:sz="0" w:space="0" w:color="auto"/>
                          </w:divBdr>
                          <w:divsChild>
                            <w:div w:id="532889774">
                              <w:marLeft w:val="0"/>
                              <w:marRight w:val="0"/>
                              <w:marTop w:val="0"/>
                              <w:marBottom w:val="0"/>
                              <w:divBdr>
                                <w:top w:val="none" w:sz="0" w:space="0" w:color="auto"/>
                                <w:left w:val="none" w:sz="0" w:space="0" w:color="auto"/>
                                <w:bottom w:val="none" w:sz="0" w:space="0" w:color="auto"/>
                                <w:right w:val="none" w:sz="0" w:space="0" w:color="auto"/>
                              </w:divBdr>
                              <w:divsChild>
                                <w:div w:id="373575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72790136">
      <w:bodyDiv w:val="1"/>
      <w:marLeft w:val="0"/>
      <w:marRight w:val="0"/>
      <w:marTop w:val="0"/>
      <w:marBottom w:val="0"/>
      <w:divBdr>
        <w:top w:val="none" w:sz="0" w:space="0" w:color="auto"/>
        <w:left w:val="none" w:sz="0" w:space="0" w:color="auto"/>
        <w:bottom w:val="none" w:sz="0" w:space="0" w:color="auto"/>
        <w:right w:val="none" w:sz="0" w:space="0" w:color="auto"/>
      </w:divBdr>
    </w:div>
    <w:div w:id="338429061">
      <w:bodyDiv w:val="1"/>
      <w:marLeft w:val="0"/>
      <w:marRight w:val="0"/>
      <w:marTop w:val="0"/>
      <w:marBottom w:val="0"/>
      <w:divBdr>
        <w:top w:val="none" w:sz="0" w:space="0" w:color="auto"/>
        <w:left w:val="none" w:sz="0" w:space="0" w:color="auto"/>
        <w:bottom w:val="none" w:sz="0" w:space="0" w:color="auto"/>
        <w:right w:val="none" w:sz="0" w:space="0" w:color="auto"/>
      </w:divBdr>
    </w:div>
    <w:div w:id="375005328">
      <w:bodyDiv w:val="1"/>
      <w:marLeft w:val="0"/>
      <w:marRight w:val="0"/>
      <w:marTop w:val="0"/>
      <w:marBottom w:val="0"/>
      <w:divBdr>
        <w:top w:val="none" w:sz="0" w:space="0" w:color="auto"/>
        <w:left w:val="none" w:sz="0" w:space="0" w:color="auto"/>
        <w:bottom w:val="none" w:sz="0" w:space="0" w:color="auto"/>
        <w:right w:val="none" w:sz="0" w:space="0" w:color="auto"/>
      </w:divBdr>
    </w:div>
    <w:div w:id="401754607">
      <w:bodyDiv w:val="1"/>
      <w:marLeft w:val="0"/>
      <w:marRight w:val="0"/>
      <w:marTop w:val="0"/>
      <w:marBottom w:val="0"/>
      <w:divBdr>
        <w:top w:val="none" w:sz="0" w:space="0" w:color="auto"/>
        <w:left w:val="none" w:sz="0" w:space="0" w:color="auto"/>
        <w:bottom w:val="none" w:sz="0" w:space="0" w:color="auto"/>
        <w:right w:val="none" w:sz="0" w:space="0" w:color="auto"/>
      </w:divBdr>
      <w:divsChild>
        <w:div w:id="258606371">
          <w:marLeft w:val="0"/>
          <w:marRight w:val="0"/>
          <w:marTop w:val="0"/>
          <w:marBottom w:val="0"/>
          <w:divBdr>
            <w:top w:val="none" w:sz="0" w:space="0" w:color="auto"/>
            <w:left w:val="none" w:sz="0" w:space="0" w:color="auto"/>
            <w:bottom w:val="none" w:sz="0" w:space="0" w:color="auto"/>
            <w:right w:val="none" w:sz="0" w:space="0" w:color="auto"/>
          </w:divBdr>
        </w:div>
        <w:div w:id="269121445">
          <w:marLeft w:val="0"/>
          <w:marRight w:val="0"/>
          <w:marTop w:val="0"/>
          <w:marBottom w:val="0"/>
          <w:divBdr>
            <w:top w:val="none" w:sz="0" w:space="0" w:color="auto"/>
            <w:left w:val="none" w:sz="0" w:space="0" w:color="auto"/>
            <w:bottom w:val="none" w:sz="0" w:space="0" w:color="auto"/>
            <w:right w:val="none" w:sz="0" w:space="0" w:color="auto"/>
          </w:divBdr>
        </w:div>
      </w:divsChild>
    </w:div>
    <w:div w:id="426508928">
      <w:bodyDiv w:val="1"/>
      <w:marLeft w:val="0"/>
      <w:marRight w:val="0"/>
      <w:marTop w:val="0"/>
      <w:marBottom w:val="0"/>
      <w:divBdr>
        <w:top w:val="none" w:sz="0" w:space="0" w:color="auto"/>
        <w:left w:val="none" w:sz="0" w:space="0" w:color="auto"/>
        <w:bottom w:val="none" w:sz="0" w:space="0" w:color="auto"/>
        <w:right w:val="none" w:sz="0" w:space="0" w:color="auto"/>
      </w:divBdr>
    </w:div>
    <w:div w:id="480342228">
      <w:bodyDiv w:val="1"/>
      <w:marLeft w:val="0"/>
      <w:marRight w:val="0"/>
      <w:marTop w:val="0"/>
      <w:marBottom w:val="0"/>
      <w:divBdr>
        <w:top w:val="none" w:sz="0" w:space="0" w:color="auto"/>
        <w:left w:val="none" w:sz="0" w:space="0" w:color="auto"/>
        <w:bottom w:val="none" w:sz="0" w:space="0" w:color="auto"/>
        <w:right w:val="none" w:sz="0" w:space="0" w:color="auto"/>
      </w:divBdr>
    </w:div>
    <w:div w:id="523176432">
      <w:bodyDiv w:val="1"/>
      <w:marLeft w:val="0"/>
      <w:marRight w:val="0"/>
      <w:marTop w:val="0"/>
      <w:marBottom w:val="0"/>
      <w:divBdr>
        <w:top w:val="none" w:sz="0" w:space="0" w:color="auto"/>
        <w:left w:val="none" w:sz="0" w:space="0" w:color="auto"/>
        <w:bottom w:val="none" w:sz="0" w:space="0" w:color="auto"/>
        <w:right w:val="none" w:sz="0" w:space="0" w:color="auto"/>
      </w:divBdr>
    </w:div>
    <w:div w:id="614603544">
      <w:bodyDiv w:val="1"/>
      <w:marLeft w:val="0"/>
      <w:marRight w:val="0"/>
      <w:marTop w:val="0"/>
      <w:marBottom w:val="0"/>
      <w:divBdr>
        <w:top w:val="none" w:sz="0" w:space="0" w:color="auto"/>
        <w:left w:val="none" w:sz="0" w:space="0" w:color="auto"/>
        <w:bottom w:val="none" w:sz="0" w:space="0" w:color="auto"/>
        <w:right w:val="none" w:sz="0" w:space="0" w:color="auto"/>
      </w:divBdr>
    </w:div>
    <w:div w:id="727336926">
      <w:bodyDiv w:val="1"/>
      <w:marLeft w:val="0"/>
      <w:marRight w:val="0"/>
      <w:marTop w:val="0"/>
      <w:marBottom w:val="0"/>
      <w:divBdr>
        <w:top w:val="none" w:sz="0" w:space="0" w:color="auto"/>
        <w:left w:val="none" w:sz="0" w:space="0" w:color="auto"/>
        <w:bottom w:val="none" w:sz="0" w:space="0" w:color="auto"/>
        <w:right w:val="none" w:sz="0" w:space="0" w:color="auto"/>
      </w:divBdr>
    </w:div>
    <w:div w:id="740099912">
      <w:bodyDiv w:val="1"/>
      <w:marLeft w:val="0"/>
      <w:marRight w:val="0"/>
      <w:marTop w:val="0"/>
      <w:marBottom w:val="0"/>
      <w:divBdr>
        <w:top w:val="none" w:sz="0" w:space="0" w:color="auto"/>
        <w:left w:val="none" w:sz="0" w:space="0" w:color="auto"/>
        <w:bottom w:val="none" w:sz="0" w:space="0" w:color="auto"/>
        <w:right w:val="none" w:sz="0" w:space="0" w:color="auto"/>
      </w:divBdr>
    </w:div>
    <w:div w:id="756096389">
      <w:bodyDiv w:val="1"/>
      <w:marLeft w:val="0"/>
      <w:marRight w:val="0"/>
      <w:marTop w:val="0"/>
      <w:marBottom w:val="0"/>
      <w:divBdr>
        <w:top w:val="none" w:sz="0" w:space="0" w:color="auto"/>
        <w:left w:val="none" w:sz="0" w:space="0" w:color="auto"/>
        <w:bottom w:val="none" w:sz="0" w:space="0" w:color="auto"/>
        <w:right w:val="none" w:sz="0" w:space="0" w:color="auto"/>
      </w:divBdr>
    </w:div>
    <w:div w:id="769617639">
      <w:bodyDiv w:val="1"/>
      <w:marLeft w:val="0"/>
      <w:marRight w:val="0"/>
      <w:marTop w:val="0"/>
      <w:marBottom w:val="0"/>
      <w:divBdr>
        <w:top w:val="none" w:sz="0" w:space="0" w:color="auto"/>
        <w:left w:val="none" w:sz="0" w:space="0" w:color="auto"/>
        <w:bottom w:val="none" w:sz="0" w:space="0" w:color="auto"/>
        <w:right w:val="none" w:sz="0" w:space="0" w:color="auto"/>
      </w:divBdr>
      <w:divsChild>
        <w:div w:id="196629067">
          <w:marLeft w:val="0"/>
          <w:marRight w:val="0"/>
          <w:marTop w:val="0"/>
          <w:marBottom w:val="0"/>
          <w:divBdr>
            <w:top w:val="none" w:sz="0" w:space="0" w:color="auto"/>
            <w:left w:val="none" w:sz="0" w:space="0" w:color="auto"/>
            <w:bottom w:val="none" w:sz="0" w:space="0" w:color="auto"/>
            <w:right w:val="none" w:sz="0" w:space="0" w:color="auto"/>
          </w:divBdr>
        </w:div>
        <w:div w:id="301351310">
          <w:marLeft w:val="0"/>
          <w:marRight w:val="0"/>
          <w:marTop w:val="0"/>
          <w:marBottom w:val="0"/>
          <w:divBdr>
            <w:top w:val="none" w:sz="0" w:space="0" w:color="auto"/>
            <w:left w:val="none" w:sz="0" w:space="0" w:color="auto"/>
            <w:bottom w:val="none" w:sz="0" w:space="0" w:color="auto"/>
            <w:right w:val="none" w:sz="0" w:space="0" w:color="auto"/>
          </w:divBdr>
          <w:divsChild>
            <w:div w:id="1435830740">
              <w:marLeft w:val="0"/>
              <w:marRight w:val="0"/>
              <w:marTop w:val="0"/>
              <w:marBottom w:val="0"/>
              <w:divBdr>
                <w:top w:val="none" w:sz="0" w:space="0" w:color="auto"/>
                <w:left w:val="none" w:sz="0" w:space="0" w:color="auto"/>
                <w:bottom w:val="none" w:sz="0" w:space="0" w:color="auto"/>
                <w:right w:val="none" w:sz="0" w:space="0" w:color="auto"/>
              </w:divBdr>
              <w:divsChild>
                <w:div w:id="498885167">
                  <w:marLeft w:val="0"/>
                  <w:marRight w:val="0"/>
                  <w:marTop w:val="0"/>
                  <w:marBottom w:val="0"/>
                  <w:divBdr>
                    <w:top w:val="none" w:sz="0" w:space="0" w:color="auto"/>
                    <w:left w:val="none" w:sz="0" w:space="0" w:color="auto"/>
                    <w:bottom w:val="none" w:sz="0" w:space="0" w:color="auto"/>
                    <w:right w:val="none" w:sz="0" w:space="0" w:color="auto"/>
                  </w:divBdr>
                  <w:divsChild>
                    <w:div w:id="1338850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2839426">
      <w:bodyDiv w:val="1"/>
      <w:marLeft w:val="0"/>
      <w:marRight w:val="0"/>
      <w:marTop w:val="0"/>
      <w:marBottom w:val="0"/>
      <w:divBdr>
        <w:top w:val="none" w:sz="0" w:space="0" w:color="auto"/>
        <w:left w:val="none" w:sz="0" w:space="0" w:color="auto"/>
        <w:bottom w:val="none" w:sz="0" w:space="0" w:color="auto"/>
        <w:right w:val="none" w:sz="0" w:space="0" w:color="auto"/>
      </w:divBdr>
    </w:div>
    <w:div w:id="880824466">
      <w:bodyDiv w:val="1"/>
      <w:marLeft w:val="0"/>
      <w:marRight w:val="0"/>
      <w:marTop w:val="0"/>
      <w:marBottom w:val="0"/>
      <w:divBdr>
        <w:top w:val="none" w:sz="0" w:space="0" w:color="auto"/>
        <w:left w:val="none" w:sz="0" w:space="0" w:color="auto"/>
        <w:bottom w:val="none" w:sz="0" w:space="0" w:color="auto"/>
        <w:right w:val="none" w:sz="0" w:space="0" w:color="auto"/>
      </w:divBdr>
    </w:div>
    <w:div w:id="927033825">
      <w:bodyDiv w:val="1"/>
      <w:marLeft w:val="0"/>
      <w:marRight w:val="0"/>
      <w:marTop w:val="0"/>
      <w:marBottom w:val="0"/>
      <w:divBdr>
        <w:top w:val="none" w:sz="0" w:space="0" w:color="auto"/>
        <w:left w:val="none" w:sz="0" w:space="0" w:color="auto"/>
        <w:bottom w:val="none" w:sz="0" w:space="0" w:color="auto"/>
        <w:right w:val="none" w:sz="0" w:space="0" w:color="auto"/>
      </w:divBdr>
    </w:div>
    <w:div w:id="936131539">
      <w:bodyDiv w:val="1"/>
      <w:marLeft w:val="0"/>
      <w:marRight w:val="0"/>
      <w:marTop w:val="0"/>
      <w:marBottom w:val="0"/>
      <w:divBdr>
        <w:top w:val="none" w:sz="0" w:space="0" w:color="auto"/>
        <w:left w:val="none" w:sz="0" w:space="0" w:color="auto"/>
        <w:bottom w:val="none" w:sz="0" w:space="0" w:color="auto"/>
        <w:right w:val="none" w:sz="0" w:space="0" w:color="auto"/>
      </w:divBdr>
    </w:div>
    <w:div w:id="938369657">
      <w:bodyDiv w:val="1"/>
      <w:marLeft w:val="0"/>
      <w:marRight w:val="0"/>
      <w:marTop w:val="0"/>
      <w:marBottom w:val="0"/>
      <w:divBdr>
        <w:top w:val="none" w:sz="0" w:space="0" w:color="auto"/>
        <w:left w:val="none" w:sz="0" w:space="0" w:color="auto"/>
        <w:bottom w:val="none" w:sz="0" w:space="0" w:color="auto"/>
        <w:right w:val="none" w:sz="0" w:space="0" w:color="auto"/>
      </w:divBdr>
    </w:div>
    <w:div w:id="1006906521">
      <w:bodyDiv w:val="1"/>
      <w:marLeft w:val="0"/>
      <w:marRight w:val="0"/>
      <w:marTop w:val="0"/>
      <w:marBottom w:val="0"/>
      <w:divBdr>
        <w:top w:val="none" w:sz="0" w:space="0" w:color="auto"/>
        <w:left w:val="none" w:sz="0" w:space="0" w:color="auto"/>
        <w:bottom w:val="none" w:sz="0" w:space="0" w:color="auto"/>
        <w:right w:val="none" w:sz="0" w:space="0" w:color="auto"/>
      </w:divBdr>
    </w:div>
    <w:div w:id="1093665856">
      <w:bodyDiv w:val="1"/>
      <w:marLeft w:val="0"/>
      <w:marRight w:val="0"/>
      <w:marTop w:val="0"/>
      <w:marBottom w:val="0"/>
      <w:divBdr>
        <w:top w:val="none" w:sz="0" w:space="0" w:color="auto"/>
        <w:left w:val="none" w:sz="0" w:space="0" w:color="auto"/>
        <w:bottom w:val="none" w:sz="0" w:space="0" w:color="auto"/>
        <w:right w:val="none" w:sz="0" w:space="0" w:color="auto"/>
      </w:divBdr>
      <w:divsChild>
        <w:div w:id="387723377">
          <w:marLeft w:val="0"/>
          <w:marRight w:val="0"/>
          <w:marTop w:val="0"/>
          <w:marBottom w:val="0"/>
          <w:divBdr>
            <w:top w:val="none" w:sz="0" w:space="0" w:color="auto"/>
            <w:left w:val="none" w:sz="0" w:space="0" w:color="auto"/>
            <w:bottom w:val="none" w:sz="0" w:space="0" w:color="auto"/>
            <w:right w:val="none" w:sz="0" w:space="0" w:color="auto"/>
          </w:divBdr>
        </w:div>
        <w:div w:id="832838553">
          <w:marLeft w:val="0"/>
          <w:marRight w:val="0"/>
          <w:marTop w:val="0"/>
          <w:marBottom w:val="0"/>
          <w:divBdr>
            <w:top w:val="none" w:sz="0" w:space="0" w:color="auto"/>
            <w:left w:val="none" w:sz="0" w:space="0" w:color="auto"/>
            <w:bottom w:val="none" w:sz="0" w:space="0" w:color="auto"/>
            <w:right w:val="none" w:sz="0" w:space="0" w:color="auto"/>
          </w:divBdr>
        </w:div>
        <w:div w:id="838738616">
          <w:marLeft w:val="0"/>
          <w:marRight w:val="0"/>
          <w:marTop w:val="0"/>
          <w:marBottom w:val="0"/>
          <w:divBdr>
            <w:top w:val="none" w:sz="0" w:space="0" w:color="auto"/>
            <w:left w:val="none" w:sz="0" w:space="0" w:color="auto"/>
            <w:bottom w:val="none" w:sz="0" w:space="0" w:color="auto"/>
            <w:right w:val="none" w:sz="0" w:space="0" w:color="auto"/>
          </w:divBdr>
        </w:div>
        <w:div w:id="1244998026">
          <w:marLeft w:val="0"/>
          <w:marRight w:val="0"/>
          <w:marTop w:val="0"/>
          <w:marBottom w:val="0"/>
          <w:divBdr>
            <w:top w:val="none" w:sz="0" w:space="0" w:color="auto"/>
            <w:left w:val="none" w:sz="0" w:space="0" w:color="auto"/>
            <w:bottom w:val="none" w:sz="0" w:space="0" w:color="auto"/>
            <w:right w:val="none" w:sz="0" w:space="0" w:color="auto"/>
          </w:divBdr>
        </w:div>
      </w:divsChild>
    </w:div>
    <w:div w:id="1107579102">
      <w:bodyDiv w:val="1"/>
      <w:marLeft w:val="0"/>
      <w:marRight w:val="0"/>
      <w:marTop w:val="0"/>
      <w:marBottom w:val="0"/>
      <w:divBdr>
        <w:top w:val="none" w:sz="0" w:space="0" w:color="auto"/>
        <w:left w:val="none" w:sz="0" w:space="0" w:color="auto"/>
        <w:bottom w:val="none" w:sz="0" w:space="0" w:color="auto"/>
        <w:right w:val="none" w:sz="0" w:space="0" w:color="auto"/>
      </w:divBdr>
    </w:div>
    <w:div w:id="1158034828">
      <w:bodyDiv w:val="1"/>
      <w:marLeft w:val="0"/>
      <w:marRight w:val="0"/>
      <w:marTop w:val="0"/>
      <w:marBottom w:val="0"/>
      <w:divBdr>
        <w:top w:val="none" w:sz="0" w:space="0" w:color="auto"/>
        <w:left w:val="none" w:sz="0" w:space="0" w:color="auto"/>
        <w:bottom w:val="none" w:sz="0" w:space="0" w:color="auto"/>
        <w:right w:val="none" w:sz="0" w:space="0" w:color="auto"/>
      </w:divBdr>
    </w:div>
    <w:div w:id="1182936752">
      <w:bodyDiv w:val="1"/>
      <w:marLeft w:val="0"/>
      <w:marRight w:val="0"/>
      <w:marTop w:val="0"/>
      <w:marBottom w:val="0"/>
      <w:divBdr>
        <w:top w:val="none" w:sz="0" w:space="0" w:color="auto"/>
        <w:left w:val="none" w:sz="0" w:space="0" w:color="auto"/>
        <w:bottom w:val="none" w:sz="0" w:space="0" w:color="auto"/>
        <w:right w:val="none" w:sz="0" w:space="0" w:color="auto"/>
      </w:divBdr>
    </w:div>
    <w:div w:id="1195532143">
      <w:bodyDiv w:val="1"/>
      <w:marLeft w:val="0"/>
      <w:marRight w:val="0"/>
      <w:marTop w:val="0"/>
      <w:marBottom w:val="0"/>
      <w:divBdr>
        <w:top w:val="none" w:sz="0" w:space="0" w:color="auto"/>
        <w:left w:val="none" w:sz="0" w:space="0" w:color="auto"/>
        <w:bottom w:val="none" w:sz="0" w:space="0" w:color="auto"/>
        <w:right w:val="none" w:sz="0" w:space="0" w:color="auto"/>
      </w:divBdr>
    </w:div>
    <w:div w:id="1228416801">
      <w:bodyDiv w:val="1"/>
      <w:marLeft w:val="0"/>
      <w:marRight w:val="0"/>
      <w:marTop w:val="0"/>
      <w:marBottom w:val="0"/>
      <w:divBdr>
        <w:top w:val="none" w:sz="0" w:space="0" w:color="auto"/>
        <w:left w:val="none" w:sz="0" w:space="0" w:color="auto"/>
        <w:bottom w:val="none" w:sz="0" w:space="0" w:color="auto"/>
        <w:right w:val="none" w:sz="0" w:space="0" w:color="auto"/>
      </w:divBdr>
    </w:div>
    <w:div w:id="1282954359">
      <w:bodyDiv w:val="1"/>
      <w:marLeft w:val="0"/>
      <w:marRight w:val="0"/>
      <w:marTop w:val="0"/>
      <w:marBottom w:val="0"/>
      <w:divBdr>
        <w:top w:val="none" w:sz="0" w:space="0" w:color="auto"/>
        <w:left w:val="none" w:sz="0" w:space="0" w:color="auto"/>
        <w:bottom w:val="none" w:sz="0" w:space="0" w:color="auto"/>
        <w:right w:val="none" w:sz="0" w:space="0" w:color="auto"/>
      </w:divBdr>
    </w:div>
    <w:div w:id="1427383948">
      <w:bodyDiv w:val="1"/>
      <w:marLeft w:val="0"/>
      <w:marRight w:val="0"/>
      <w:marTop w:val="0"/>
      <w:marBottom w:val="0"/>
      <w:divBdr>
        <w:top w:val="none" w:sz="0" w:space="0" w:color="auto"/>
        <w:left w:val="none" w:sz="0" w:space="0" w:color="auto"/>
        <w:bottom w:val="none" w:sz="0" w:space="0" w:color="auto"/>
        <w:right w:val="none" w:sz="0" w:space="0" w:color="auto"/>
      </w:divBdr>
    </w:div>
    <w:div w:id="1429036966">
      <w:bodyDiv w:val="1"/>
      <w:marLeft w:val="0"/>
      <w:marRight w:val="0"/>
      <w:marTop w:val="0"/>
      <w:marBottom w:val="0"/>
      <w:divBdr>
        <w:top w:val="none" w:sz="0" w:space="0" w:color="auto"/>
        <w:left w:val="none" w:sz="0" w:space="0" w:color="auto"/>
        <w:bottom w:val="none" w:sz="0" w:space="0" w:color="auto"/>
        <w:right w:val="none" w:sz="0" w:space="0" w:color="auto"/>
      </w:divBdr>
    </w:div>
    <w:div w:id="1474130913">
      <w:bodyDiv w:val="1"/>
      <w:marLeft w:val="0"/>
      <w:marRight w:val="0"/>
      <w:marTop w:val="0"/>
      <w:marBottom w:val="0"/>
      <w:divBdr>
        <w:top w:val="none" w:sz="0" w:space="0" w:color="auto"/>
        <w:left w:val="none" w:sz="0" w:space="0" w:color="auto"/>
        <w:bottom w:val="none" w:sz="0" w:space="0" w:color="auto"/>
        <w:right w:val="none" w:sz="0" w:space="0" w:color="auto"/>
      </w:divBdr>
      <w:divsChild>
        <w:div w:id="976298959">
          <w:marLeft w:val="0"/>
          <w:marRight w:val="0"/>
          <w:marTop w:val="0"/>
          <w:marBottom w:val="0"/>
          <w:divBdr>
            <w:top w:val="none" w:sz="0" w:space="0" w:color="auto"/>
            <w:left w:val="none" w:sz="0" w:space="0" w:color="auto"/>
            <w:bottom w:val="none" w:sz="0" w:space="0" w:color="auto"/>
            <w:right w:val="none" w:sz="0" w:space="0" w:color="auto"/>
          </w:divBdr>
          <w:divsChild>
            <w:div w:id="1024862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5214740">
      <w:bodyDiv w:val="1"/>
      <w:marLeft w:val="0"/>
      <w:marRight w:val="0"/>
      <w:marTop w:val="0"/>
      <w:marBottom w:val="0"/>
      <w:divBdr>
        <w:top w:val="none" w:sz="0" w:space="0" w:color="auto"/>
        <w:left w:val="none" w:sz="0" w:space="0" w:color="auto"/>
        <w:bottom w:val="none" w:sz="0" w:space="0" w:color="auto"/>
        <w:right w:val="none" w:sz="0" w:space="0" w:color="auto"/>
      </w:divBdr>
      <w:divsChild>
        <w:div w:id="237442165">
          <w:marLeft w:val="0"/>
          <w:marRight w:val="0"/>
          <w:marTop w:val="0"/>
          <w:marBottom w:val="0"/>
          <w:divBdr>
            <w:top w:val="none" w:sz="0" w:space="0" w:color="auto"/>
            <w:left w:val="none" w:sz="0" w:space="0" w:color="auto"/>
            <w:bottom w:val="none" w:sz="0" w:space="0" w:color="auto"/>
            <w:right w:val="none" w:sz="0" w:space="0" w:color="auto"/>
          </w:divBdr>
        </w:div>
        <w:div w:id="1036005867">
          <w:marLeft w:val="0"/>
          <w:marRight w:val="0"/>
          <w:marTop w:val="0"/>
          <w:marBottom w:val="0"/>
          <w:divBdr>
            <w:top w:val="none" w:sz="0" w:space="0" w:color="auto"/>
            <w:left w:val="none" w:sz="0" w:space="0" w:color="auto"/>
            <w:bottom w:val="none" w:sz="0" w:space="0" w:color="auto"/>
            <w:right w:val="none" w:sz="0" w:space="0" w:color="auto"/>
          </w:divBdr>
        </w:div>
      </w:divsChild>
    </w:div>
    <w:div w:id="1634679522">
      <w:bodyDiv w:val="1"/>
      <w:marLeft w:val="0"/>
      <w:marRight w:val="0"/>
      <w:marTop w:val="0"/>
      <w:marBottom w:val="0"/>
      <w:divBdr>
        <w:top w:val="none" w:sz="0" w:space="0" w:color="auto"/>
        <w:left w:val="none" w:sz="0" w:space="0" w:color="auto"/>
        <w:bottom w:val="none" w:sz="0" w:space="0" w:color="auto"/>
        <w:right w:val="none" w:sz="0" w:space="0" w:color="auto"/>
      </w:divBdr>
    </w:div>
    <w:div w:id="1636137116">
      <w:bodyDiv w:val="1"/>
      <w:marLeft w:val="0"/>
      <w:marRight w:val="0"/>
      <w:marTop w:val="0"/>
      <w:marBottom w:val="0"/>
      <w:divBdr>
        <w:top w:val="none" w:sz="0" w:space="0" w:color="auto"/>
        <w:left w:val="none" w:sz="0" w:space="0" w:color="auto"/>
        <w:bottom w:val="none" w:sz="0" w:space="0" w:color="auto"/>
        <w:right w:val="none" w:sz="0" w:space="0" w:color="auto"/>
      </w:divBdr>
    </w:div>
    <w:div w:id="1645622591">
      <w:bodyDiv w:val="1"/>
      <w:marLeft w:val="0"/>
      <w:marRight w:val="0"/>
      <w:marTop w:val="0"/>
      <w:marBottom w:val="0"/>
      <w:divBdr>
        <w:top w:val="none" w:sz="0" w:space="0" w:color="auto"/>
        <w:left w:val="none" w:sz="0" w:space="0" w:color="auto"/>
        <w:bottom w:val="none" w:sz="0" w:space="0" w:color="auto"/>
        <w:right w:val="none" w:sz="0" w:space="0" w:color="auto"/>
      </w:divBdr>
      <w:divsChild>
        <w:div w:id="1365517984">
          <w:marLeft w:val="0"/>
          <w:marRight w:val="0"/>
          <w:marTop w:val="0"/>
          <w:marBottom w:val="0"/>
          <w:divBdr>
            <w:top w:val="none" w:sz="0" w:space="0" w:color="auto"/>
            <w:left w:val="none" w:sz="0" w:space="0" w:color="auto"/>
            <w:bottom w:val="none" w:sz="0" w:space="0" w:color="auto"/>
            <w:right w:val="none" w:sz="0" w:space="0" w:color="auto"/>
          </w:divBdr>
        </w:div>
        <w:div w:id="1797680281">
          <w:marLeft w:val="0"/>
          <w:marRight w:val="0"/>
          <w:marTop w:val="0"/>
          <w:marBottom w:val="0"/>
          <w:divBdr>
            <w:top w:val="none" w:sz="0" w:space="0" w:color="auto"/>
            <w:left w:val="none" w:sz="0" w:space="0" w:color="auto"/>
            <w:bottom w:val="none" w:sz="0" w:space="0" w:color="auto"/>
            <w:right w:val="none" w:sz="0" w:space="0" w:color="auto"/>
          </w:divBdr>
        </w:div>
      </w:divsChild>
    </w:div>
    <w:div w:id="1694529809">
      <w:bodyDiv w:val="1"/>
      <w:marLeft w:val="0"/>
      <w:marRight w:val="0"/>
      <w:marTop w:val="0"/>
      <w:marBottom w:val="0"/>
      <w:divBdr>
        <w:top w:val="none" w:sz="0" w:space="0" w:color="auto"/>
        <w:left w:val="none" w:sz="0" w:space="0" w:color="auto"/>
        <w:bottom w:val="none" w:sz="0" w:space="0" w:color="auto"/>
        <w:right w:val="none" w:sz="0" w:space="0" w:color="auto"/>
      </w:divBdr>
    </w:div>
    <w:div w:id="1695425960">
      <w:bodyDiv w:val="1"/>
      <w:marLeft w:val="0"/>
      <w:marRight w:val="0"/>
      <w:marTop w:val="0"/>
      <w:marBottom w:val="0"/>
      <w:divBdr>
        <w:top w:val="none" w:sz="0" w:space="0" w:color="auto"/>
        <w:left w:val="none" w:sz="0" w:space="0" w:color="auto"/>
        <w:bottom w:val="none" w:sz="0" w:space="0" w:color="auto"/>
        <w:right w:val="none" w:sz="0" w:space="0" w:color="auto"/>
      </w:divBdr>
    </w:div>
    <w:div w:id="1741710084">
      <w:bodyDiv w:val="1"/>
      <w:marLeft w:val="0"/>
      <w:marRight w:val="0"/>
      <w:marTop w:val="0"/>
      <w:marBottom w:val="0"/>
      <w:divBdr>
        <w:top w:val="none" w:sz="0" w:space="0" w:color="auto"/>
        <w:left w:val="none" w:sz="0" w:space="0" w:color="auto"/>
        <w:bottom w:val="none" w:sz="0" w:space="0" w:color="auto"/>
        <w:right w:val="none" w:sz="0" w:space="0" w:color="auto"/>
      </w:divBdr>
    </w:div>
    <w:div w:id="1780371366">
      <w:bodyDiv w:val="1"/>
      <w:marLeft w:val="0"/>
      <w:marRight w:val="0"/>
      <w:marTop w:val="0"/>
      <w:marBottom w:val="0"/>
      <w:divBdr>
        <w:top w:val="none" w:sz="0" w:space="0" w:color="auto"/>
        <w:left w:val="none" w:sz="0" w:space="0" w:color="auto"/>
        <w:bottom w:val="none" w:sz="0" w:space="0" w:color="auto"/>
        <w:right w:val="none" w:sz="0" w:space="0" w:color="auto"/>
      </w:divBdr>
    </w:div>
    <w:div w:id="1785342040">
      <w:bodyDiv w:val="1"/>
      <w:marLeft w:val="0"/>
      <w:marRight w:val="0"/>
      <w:marTop w:val="0"/>
      <w:marBottom w:val="0"/>
      <w:divBdr>
        <w:top w:val="none" w:sz="0" w:space="0" w:color="auto"/>
        <w:left w:val="none" w:sz="0" w:space="0" w:color="auto"/>
        <w:bottom w:val="none" w:sz="0" w:space="0" w:color="auto"/>
        <w:right w:val="none" w:sz="0" w:space="0" w:color="auto"/>
      </w:divBdr>
    </w:div>
    <w:div w:id="1809274926">
      <w:bodyDiv w:val="1"/>
      <w:marLeft w:val="0"/>
      <w:marRight w:val="0"/>
      <w:marTop w:val="0"/>
      <w:marBottom w:val="0"/>
      <w:divBdr>
        <w:top w:val="none" w:sz="0" w:space="0" w:color="auto"/>
        <w:left w:val="none" w:sz="0" w:space="0" w:color="auto"/>
        <w:bottom w:val="none" w:sz="0" w:space="0" w:color="auto"/>
        <w:right w:val="none" w:sz="0" w:space="0" w:color="auto"/>
      </w:divBdr>
      <w:divsChild>
        <w:div w:id="1175609960">
          <w:marLeft w:val="0"/>
          <w:marRight w:val="0"/>
          <w:marTop w:val="0"/>
          <w:marBottom w:val="0"/>
          <w:divBdr>
            <w:top w:val="none" w:sz="0" w:space="0" w:color="auto"/>
            <w:left w:val="none" w:sz="0" w:space="0" w:color="auto"/>
            <w:bottom w:val="none" w:sz="0" w:space="0" w:color="auto"/>
            <w:right w:val="none" w:sz="0" w:space="0" w:color="auto"/>
          </w:divBdr>
        </w:div>
        <w:div w:id="1277832198">
          <w:marLeft w:val="0"/>
          <w:marRight w:val="0"/>
          <w:marTop w:val="0"/>
          <w:marBottom w:val="0"/>
          <w:divBdr>
            <w:top w:val="none" w:sz="0" w:space="0" w:color="auto"/>
            <w:left w:val="none" w:sz="0" w:space="0" w:color="auto"/>
            <w:bottom w:val="none" w:sz="0" w:space="0" w:color="auto"/>
            <w:right w:val="none" w:sz="0" w:space="0" w:color="auto"/>
          </w:divBdr>
        </w:div>
      </w:divsChild>
    </w:div>
    <w:div w:id="1954969296">
      <w:bodyDiv w:val="1"/>
      <w:marLeft w:val="0"/>
      <w:marRight w:val="0"/>
      <w:marTop w:val="0"/>
      <w:marBottom w:val="0"/>
      <w:divBdr>
        <w:top w:val="none" w:sz="0" w:space="0" w:color="auto"/>
        <w:left w:val="none" w:sz="0" w:space="0" w:color="auto"/>
        <w:bottom w:val="none" w:sz="0" w:space="0" w:color="auto"/>
        <w:right w:val="none" w:sz="0" w:space="0" w:color="auto"/>
      </w:divBdr>
    </w:div>
    <w:div w:id="2013875520">
      <w:bodyDiv w:val="1"/>
      <w:marLeft w:val="0"/>
      <w:marRight w:val="0"/>
      <w:marTop w:val="0"/>
      <w:marBottom w:val="0"/>
      <w:divBdr>
        <w:top w:val="none" w:sz="0" w:space="0" w:color="auto"/>
        <w:left w:val="none" w:sz="0" w:space="0" w:color="auto"/>
        <w:bottom w:val="none" w:sz="0" w:space="0" w:color="auto"/>
        <w:right w:val="none" w:sz="0" w:space="0" w:color="auto"/>
      </w:divBdr>
    </w:div>
    <w:div w:id="2104497694">
      <w:bodyDiv w:val="1"/>
      <w:marLeft w:val="0"/>
      <w:marRight w:val="0"/>
      <w:marTop w:val="0"/>
      <w:marBottom w:val="0"/>
      <w:divBdr>
        <w:top w:val="none" w:sz="0" w:space="0" w:color="auto"/>
        <w:left w:val="none" w:sz="0" w:space="0" w:color="auto"/>
        <w:bottom w:val="none" w:sz="0" w:space="0" w:color="auto"/>
        <w:right w:val="none" w:sz="0" w:space="0" w:color="auto"/>
      </w:divBdr>
    </w:div>
    <w:div w:id="21053019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diagramData" Target="diagrams/data1.xml"/><Relationship Id="rId21" Type="http://schemas.openxmlformats.org/officeDocument/2006/relationships/image" Target="media/image11.png"/><Relationship Id="rId34" Type="http://schemas.openxmlformats.org/officeDocument/2006/relationships/image" Target="media/image19.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18.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diagramColors" Target="diagrams/colors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jpeg"/><Relationship Id="rId32" Type="http://schemas.openxmlformats.org/officeDocument/2006/relationships/image" Target="media/image17.png"/><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diagramQuickStyle" Target="diagrams/quickStyle1.xml"/><Relationship Id="rId36" Type="http://schemas.openxmlformats.org/officeDocument/2006/relationships/hyperlink" Target="https://minvivienda.gov.co/sala-de-prensa/el-gobierno-nacional-protege-la-estabilidad-de-precios-de-la-vis-ante-practica-de-aumentos-desproporcionados-por-alza-del-salario-minimo" TargetMode="Externa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1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diagramLayout" Target="diagrams/layout1.xml"/><Relationship Id="rId30" Type="http://schemas.microsoft.com/office/2007/relationships/diagramDrawing" Target="diagrams/drawing1.xml"/><Relationship Id="rId35" Type="http://schemas.openxmlformats.org/officeDocument/2006/relationships/hyperlink" Target="https://minvivienda.gov.co/sala-de-prensa/gobierno-nacional-reitera-que-los-precios-de-la-vivienda-deben-informarse-y-definirse-en-las-promesas-de-compraventa-en-pesos-colombianos"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_rels/footnotes.xml.rels><?xml version="1.0" encoding="UTF-8" standalone="yes"?>
<Relationships xmlns="http://schemas.openxmlformats.org/package/2006/relationships"><Relationship Id="rId1" Type="http://schemas.openxmlformats.org/officeDocument/2006/relationships/hyperlink" Target="https://www.car.gov.co/uploads/files/63dc3328df54e.pdf" TargetMode="External"/></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84FE694-B5AA-46CB-9E61-BEE4182CF800}" type="doc">
      <dgm:prSet loTypeId="urn:microsoft.com/office/officeart/2005/8/layout/bProcess3" loCatId="process" qsTypeId="urn:microsoft.com/office/officeart/2005/8/quickstyle/simple1" qsCatId="simple" csTypeId="urn:microsoft.com/office/officeart/2005/8/colors/colorful5" csCatId="colorful" phldr="1"/>
      <dgm:spPr/>
      <dgm:t>
        <a:bodyPr/>
        <a:lstStyle/>
        <a:p>
          <a:endParaRPr lang="es-CO"/>
        </a:p>
      </dgm:t>
    </dgm:pt>
    <dgm:pt modelId="{34519CAA-E55E-402B-9847-87800C8EC27B}">
      <dgm:prSet custT="1"/>
      <dgm:spPr>
        <a:xfrm>
          <a:off x="6880" y="469293"/>
          <a:ext cx="1581687" cy="949012"/>
        </a:xfrm>
        <a:prstGeom prst="rect">
          <a:avLst/>
        </a:prstGeom>
      </dgm:spPr>
      <dgm:t>
        <a:bodyPr/>
        <a:lstStyle/>
        <a:p>
          <a:pPr>
            <a:buNone/>
          </a:pPr>
          <a:r>
            <a:rPr lang="es-CO" sz="1000">
              <a:latin typeface="Arial" panose="020B0604020202020204" pitchFamily="34" charset="0"/>
              <a:ea typeface="+mn-ea"/>
              <a:cs typeface="Arial" panose="020B0604020202020204" pitchFamily="34" charset="0"/>
            </a:rPr>
            <a:t>Alistamiento</a:t>
          </a:r>
        </a:p>
      </dgm:t>
    </dgm:pt>
    <dgm:pt modelId="{DAA56CD5-A2AF-44CF-9C0E-71A51ED55487}" type="parTrans" cxnId="{08F85D75-A510-4B5D-8B75-1C26500C0389}">
      <dgm:prSet/>
      <dgm:spPr/>
      <dgm:t>
        <a:bodyPr/>
        <a:lstStyle/>
        <a:p>
          <a:endParaRPr lang="es-CO" sz="1200"/>
        </a:p>
      </dgm:t>
    </dgm:pt>
    <dgm:pt modelId="{6C28659B-6948-4731-B906-25036B97066E}" type="sibTrans" cxnId="{08F85D75-A510-4B5D-8B75-1C26500C0389}">
      <dgm:prSet custT="1"/>
      <dgm:spPr>
        <a:xfrm>
          <a:off x="1586768" y="898079"/>
          <a:ext cx="333188" cy="91440"/>
        </a:xfrm>
        <a:custGeom>
          <a:avLst/>
          <a:gdLst/>
          <a:ahLst/>
          <a:cxnLst/>
          <a:rect l="0" t="0" r="0" b="0"/>
          <a:pathLst>
            <a:path>
              <a:moveTo>
                <a:pt x="0" y="45720"/>
              </a:moveTo>
              <a:lnTo>
                <a:pt x="333188" y="45720"/>
              </a:lnTo>
            </a:path>
          </a:pathLst>
        </a:custGeom>
      </dgm:spPr>
      <dgm:t>
        <a:bodyPr/>
        <a:lstStyle/>
        <a:p>
          <a:pPr>
            <a:buNone/>
          </a:pPr>
          <a:endParaRPr lang="es-CO" sz="200">
            <a:solidFill>
              <a:sysClr val="windowText" lastClr="000000">
                <a:hueOff val="0"/>
                <a:satOff val="0"/>
                <a:lumOff val="0"/>
                <a:alphaOff val="0"/>
              </a:sysClr>
            </a:solidFill>
            <a:latin typeface="Calibri" panose="020F0502020204030204"/>
            <a:ea typeface="+mn-ea"/>
            <a:cs typeface="+mn-cs"/>
          </a:endParaRPr>
        </a:p>
      </dgm:t>
    </dgm:pt>
    <dgm:pt modelId="{4CA6C08E-3265-41B4-AD13-BF4E8B68BD51}">
      <dgm:prSet custT="1"/>
      <dgm:spPr>
        <a:xfrm>
          <a:off x="1952356" y="469293"/>
          <a:ext cx="1581687" cy="949012"/>
        </a:xfrm>
        <a:prstGeom prst="rect">
          <a:avLst/>
        </a:prstGeom>
      </dgm:spPr>
      <dgm:t>
        <a:bodyPr/>
        <a:lstStyle/>
        <a:p>
          <a:pPr>
            <a:buNone/>
          </a:pPr>
          <a:endParaRPr lang="es-CO" sz="800">
            <a:latin typeface="Arial" panose="020B0604020202020204" pitchFamily="34" charset="0"/>
            <a:ea typeface="+mn-ea"/>
            <a:cs typeface="Arial" panose="020B0604020202020204" pitchFamily="34" charset="0"/>
          </a:endParaRPr>
        </a:p>
        <a:p>
          <a:pPr>
            <a:buNone/>
          </a:pPr>
          <a:r>
            <a:rPr lang="es-CO" sz="800">
              <a:latin typeface="Arial" panose="020B0604020202020204" pitchFamily="34" charset="0"/>
              <a:ea typeface="+mn-ea"/>
              <a:cs typeface="Arial" panose="020B0604020202020204" pitchFamily="34" charset="0"/>
            </a:rPr>
            <a:t>Relacionamiento inicial con las comunidades</a:t>
          </a:r>
        </a:p>
        <a:p>
          <a:pPr>
            <a:buNone/>
          </a:pPr>
          <a:r>
            <a:rPr lang="es-CO" sz="800">
              <a:latin typeface="Arial" panose="020B0604020202020204" pitchFamily="34" charset="0"/>
              <a:ea typeface="+mn-ea"/>
              <a:cs typeface="Arial" panose="020B0604020202020204" pitchFamily="34" charset="0"/>
            </a:rPr>
            <a:t>. </a:t>
          </a:r>
        </a:p>
      </dgm:t>
    </dgm:pt>
    <dgm:pt modelId="{7C1FA4B7-0E1E-40B3-BD22-EF3480586E1D}" type="parTrans" cxnId="{0334E745-93E0-4656-9E5E-1430716AA730}">
      <dgm:prSet/>
      <dgm:spPr/>
      <dgm:t>
        <a:bodyPr/>
        <a:lstStyle/>
        <a:p>
          <a:endParaRPr lang="es-CO" sz="1200"/>
        </a:p>
      </dgm:t>
    </dgm:pt>
    <dgm:pt modelId="{E712AE6A-61FD-4C58-ACD7-6DB2AA0C1347}" type="sibTrans" cxnId="{0334E745-93E0-4656-9E5E-1430716AA730}">
      <dgm:prSet custT="1"/>
      <dgm:spPr>
        <a:xfrm>
          <a:off x="3532243" y="898079"/>
          <a:ext cx="333188" cy="91440"/>
        </a:xfrm>
        <a:custGeom>
          <a:avLst/>
          <a:gdLst/>
          <a:ahLst/>
          <a:cxnLst/>
          <a:rect l="0" t="0" r="0" b="0"/>
          <a:pathLst>
            <a:path>
              <a:moveTo>
                <a:pt x="0" y="45720"/>
              </a:moveTo>
              <a:lnTo>
                <a:pt x="333188" y="45720"/>
              </a:lnTo>
            </a:path>
          </a:pathLst>
        </a:custGeom>
      </dgm:spPr>
      <dgm:t>
        <a:bodyPr/>
        <a:lstStyle/>
        <a:p>
          <a:pPr>
            <a:buNone/>
          </a:pPr>
          <a:endParaRPr lang="es-CO" sz="200">
            <a:solidFill>
              <a:sysClr val="windowText" lastClr="000000">
                <a:hueOff val="0"/>
                <a:satOff val="0"/>
                <a:lumOff val="0"/>
                <a:alphaOff val="0"/>
              </a:sysClr>
            </a:solidFill>
            <a:latin typeface="Calibri" panose="020F0502020204030204"/>
            <a:ea typeface="+mn-ea"/>
            <a:cs typeface="+mn-cs"/>
          </a:endParaRPr>
        </a:p>
      </dgm:t>
    </dgm:pt>
    <dgm:pt modelId="{603F054F-8557-4710-B1BC-D3DC677CE1CB}">
      <dgm:prSet custT="1"/>
      <dgm:spPr>
        <a:xfrm>
          <a:off x="1952356" y="1782094"/>
          <a:ext cx="1581687" cy="949012"/>
        </a:xfrm>
        <a:prstGeom prst="rect">
          <a:avLst/>
        </a:prstGeom>
      </dgm:spPr>
      <dgm:t>
        <a:bodyPr/>
        <a:lstStyle/>
        <a:p>
          <a:pPr>
            <a:buNone/>
          </a:pPr>
          <a:r>
            <a:rPr lang="es-CO" sz="900">
              <a:latin typeface="Arial" panose="020B0604020202020204" pitchFamily="34" charset="0"/>
              <a:ea typeface="+mn-ea"/>
              <a:cs typeface="Arial" panose="020B0604020202020204" pitchFamily="34" charset="0"/>
            </a:rPr>
            <a:t>Implementación de los momentos de fortalecimiento de capacidades</a:t>
          </a:r>
        </a:p>
      </dgm:t>
    </dgm:pt>
    <dgm:pt modelId="{ED8B6EAD-F4BB-419E-861F-BDAFF72580DF}" type="parTrans" cxnId="{E919958B-4A23-4E64-B438-C688EDD1FB3E}">
      <dgm:prSet/>
      <dgm:spPr/>
      <dgm:t>
        <a:bodyPr/>
        <a:lstStyle/>
        <a:p>
          <a:endParaRPr lang="es-CO" sz="1200"/>
        </a:p>
      </dgm:t>
    </dgm:pt>
    <dgm:pt modelId="{30DC104A-7E2C-4829-84A3-8097FA39A850}" type="sibTrans" cxnId="{E919958B-4A23-4E64-B438-C688EDD1FB3E}">
      <dgm:prSet custT="1"/>
      <dgm:spPr/>
      <dgm:t>
        <a:bodyPr/>
        <a:lstStyle/>
        <a:p>
          <a:endParaRPr lang="es-CO" sz="200"/>
        </a:p>
      </dgm:t>
    </dgm:pt>
    <dgm:pt modelId="{009B3317-1D5F-458B-8A89-1DAC6F633A2C}">
      <dgm:prSet custT="1"/>
      <dgm:spPr/>
      <dgm:t>
        <a:bodyPr/>
        <a:lstStyle/>
        <a:p>
          <a:pPr>
            <a:buNone/>
          </a:pPr>
          <a:r>
            <a:rPr lang="es-CO" sz="900">
              <a:latin typeface="Arial" panose="020B0604020202020204" pitchFamily="34" charset="0"/>
              <a:ea typeface="+mn-ea"/>
              <a:cs typeface="Arial" panose="020B0604020202020204" pitchFamily="34" charset="0"/>
            </a:rPr>
            <a:t>Plan de Asistencia técnica y fortalecimiento comunitario</a:t>
          </a:r>
        </a:p>
      </dgm:t>
    </dgm:pt>
    <dgm:pt modelId="{53D444AD-CBD1-4993-B3D3-7F7AA690E7CD}" type="parTrans" cxnId="{2E1EAD2B-521B-4735-BEC5-7F865F74984F}">
      <dgm:prSet/>
      <dgm:spPr/>
      <dgm:t>
        <a:bodyPr/>
        <a:lstStyle/>
        <a:p>
          <a:endParaRPr lang="es-CO" sz="1200"/>
        </a:p>
      </dgm:t>
    </dgm:pt>
    <dgm:pt modelId="{D88153F3-8DF8-4343-9544-0A3C3BCD4BE9}" type="sibTrans" cxnId="{2E1EAD2B-521B-4735-BEC5-7F865F74984F}">
      <dgm:prSet custT="1"/>
      <dgm:spPr/>
      <dgm:t>
        <a:bodyPr/>
        <a:lstStyle/>
        <a:p>
          <a:endParaRPr lang="es-CO" sz="200"/>
        </a:p>
      </dgm:t>
    </dgm:pt>
    <dgm:pt modelId="{E0BC160C-3CF3-4082-B8DA-FE620E2F4E87}">
      <dgm:prSet custT="1"/>
      <dgm:spPr/>
      <dgm:t>
        <a:bodyPr/>
        <a:lstStyle/>
        <a:p>
          <a:r>
            <a:rPr lang="es-CO" sz="900">
              <a:latin typeface="Arial" panose="020B0604020202020204" pitchFamily="34" charset="0"/>
              <a:ea typeface="+mn-ea"/>
              <a:cs typeface="Arial" panose="020B0604020202020204" pitchFamily="34" charset="0"/>
            </a:rPr>
            <a:t>Identificación y </a:t>
          </a:r>
          <a:r>
            <a:rPr lang="es-CO" sz="800">
              <a:latin typeface="Arial" panose="020B0604020202020204" pitchFamily="34" charset="0"/>
              <a:ea typeface="+mn-ea"/>
              <a:cs typeface="Arial" panose="020B0604020202020204" pitchFamily="34" charset="0"/>
            </a:rPr>
            <a:t>reconocimiento de las comunidades y sistemas de agua </a:t>
          </a:r>
          <a:r>
            <a:rPr lang="es-CO" sz="900">
              <a:latin typeface="Arial" panose="020B0604020202020204" pitchFamily="34" charset="0"/>
              <a:ea typeface="+mn-ea"/>
              <a:cs typeface="Arial" panose="020B0604020202020204" pitchFamily="34" charset="0"/>
            </a:rPr>
            <a:t>rehabilitados</a:t>
          </a:r>
        </a:p>
      </dgm:t>
    </dgm:pt>
    <dgm:pt modelId="{4184C8E6-C0FF-4300-A56D-881EC6A5737F}" type="parTrans" cxnId="{CE57EA84-A35C-4B3C-9D06-6EB0E1A0B165}">
      <dgm:prSet/>
      <dgm:spPr/>
      <dgm:t>
        <a:bodyPr/>
        <a:lstStyle/>
        <a:p>
          <a:endParaRPr lang="es-CO" sz="1200"/>
        </a:p>
      </dgm:t>
    </dgm:pt>
    <dgm:pt modelId="{BDB0AB58-EE83-4C75-9BB4-4D3D3929A940}" type="sibTrans" cxnId="{CE57EA84-A35C-4B3C-9D06-6EB0E1A0B165}">
      <dgm:prSet custT="1"/>
      <dgm:spPr/>
      <dgm:t>
        <a:bodyPr/>
        <a:lstStyle/>
        <a:p>
          <a:endParaRPr lang="es-CO" sz="200"/>
        </a:p>
      </dgm:t>
    </dgm:pt>
    <dgm:pt modelId="{6E285796-EBF9-4AF4-9DDB-176FD9F29B10}">
      <dgm:prSet custT="1"/>
      <dgm:spPr/>
      <dgm:t>
        <a:bodyPr/>
        <a:lstStyle/>
        <a:p>
          <a:r>
            <a:rPr lang="es-CO" sz="900">
              <a:latin typeface="Arial" panose="020B0604020202020204" pitchFamily="34" charset="0"/>
              <a:ea typeface="+mn-ea"/>
              <a:cs typeface="Arial" panose="020B0604020202020204" pitchFamily="34" charset="0"/>
            </a:rPr>
            <a:t>Caracterización sobre la organización social para la gestión del agua</a:t>
          </a:r>
        </a:p>
      </dgm:t>
    </dgm:pt>
    <dgm:pt modelId="{CA5A303A-C56C-4586-9789-53A44F248571}" type="parTrans" cxnId="{6AFAB253-6FBF-4871-B9FF-85B125B0B7C6}">
      <dgm:prSet/>
      <dgm:spPr/>
      <dgm:t>
        <a:bodyPr/>
        <a:lstStyle/>
        <a:p>
          <a:endParaRPr lang="es-CO" sz="1200"/>
        </a:p>
      </dgm:t>
    </dgm:pt>
    <dgm:pt modelId="{72B77854-D868-40B6-BFF9-9FC4557C28B5}" type="sibTrans" cxnId="{6AFAB253-6FBF-4871-B9FF-85B125B0B7C6}">
      <dgm:prSet custT="1"/>
      <dgm:spPr/>
      <dgm:t>
        <a:bodyPr/>
        <a:lstStyle/>
        <a:p>
          <a:endParaRPr lang="es-CO" sz="200"/>
        </a:p>
      </dgm:t>
    </dgm:pt>
    <dgm:pt modelId="{3FA19A53-B381-4AE3-9301-BE6D1B1BAB47}">
      <dgm:prSet custT="1"/>
      <dgm:spPr>
        <a:xfrm>
          <a:off x="1952356" y="1782094"/>
          <a:ext cx="1581687" cy="949012"/>
        </a:xfrm>
      </dgm:spPr>
      <dgm:t>
        <a:bodyPr/>
        <a:lstStyle/>
        <a:p>
          <a:pPr>
            <a:buNone/>
          </a:pPr>
          <a:r>
            <a:rPr lang="es-CO" sz="900">
              <a:latin typeface="Arial" panose="020B0604020202020204" pitchFamily="34" charset="0"/>
              <a:ea typeface="+mn-ea"/>
              <a:cs typeface="Arial" panose="020B0604020202020204" pitchFamily="34" charset="0"/>
            </a:rPr>
            <a:t>Medición niveles de apropiación y seguimiento </a:t>
          </a:r>
        </a:p>
      </dgm:t>
    </dgm:pt>
    <dgm:pt modelId="{2B6BBA86-B314-483E-B877-DD78703BD48E}" type="parTrans" cxnId="{38892466-3268-4681-AEC2-3E9CB8101EF6}">
      <dgm:prSet/>
      <dgm:spPr/>
      <dgm:t>
        <a:bodyPr/>
        <a:lstStyle/>
        <a:p>
          <a:endParaRPr lang="es-CO" sz="1200"/>
        </a:p>
      </dgm:t>
    </dgm:pt>
    <dgm:pt modelId="{87D2597A-62A9-4B19-B4E4-07B41F3D804A}" type="sibTrans" cxnId="{38892466-3268-4681-AEC2-3E9CB8101EF6}">
      <dgm:prSet/>
      <dgm:spPr/>
      <dgm:t>
        <a:bodyPr/>
        <a:lstStyle/>
        <a:p>
          <a:endParaRPr lang="es-CO" sz="1200"/>
        </a:p>
      </dgm:t>
    </dgm:pt>
    <dgm:pt modelId="{2B98FF1A-2433-4D6D-BEC0-0DA3A1BDB584}" type="pres">
      <dgm:prSet presAssocID="{F84FE694-B5AA-46CB-9E61-BEE4182CF800}" presName="Name0" presStyleCnt="0">
        <dgm:presLayoutVars>
          <dgm:dir/>
          <dgm:resizeHandles val="exact"/>
        </dgm:presLayoutVars>
      </dgm:prSet>
      <dgm:spPr/>
    </dgm:pt>
    <dgm:pt modelId="{E84A2706-EC66-4C9F-8EF5-807FDF5716E6}" type="pres">
      <dgm:prSet presAssocID="{34519CAA-E55E-402B-9847-87800C8EC27B}" presName="node" presStyleLbl="node1" presStyleIdx="0" presStyleCnt="7">
        <dgm:presLayoutVars>
          <dgm:bulletEnabled val="1"/>
        </dgm:presLayoutVars>
      </dgm:prSet>
      <dgm:spPr/>
    </dgm:pt>
    <dgm:pt modelId="{757E317D-C04E-4A4F-8263-A2F48230435F}" type="pres">
      <dgm:prSet presAssocID="{6C28659B-6948-4731-B906-25036B97066E}" presName="sibTrans" presStyleLbl="sibTrans1D1" presStyleIdx="0" presStyleCnt="6"/>
      <dgm:spPr/>
    </dgm:pt>
    <dgm:pt modelId="{1715CA3C-F942-4831-9810-171E7DB7786E}" type="pres">
      <dgm:prSet presAssocID="{6C28659B-6948-4731-B906-25036B97066E}" presName="connectorText" presStyleLbl="sibTrans1D1" presStyleIdx="0" presStyleCnt="6"/>
      <dgm:spPr/>
    </dgm:pt>
    <dgm:pt modelId="{62DF54D7-006B-42AD-80D6-5AE63F26A60C}" type="pres">
      <dgm:prSet presAssocID="{4CA6C08E-3265-41B4-AD13-BF4E8B68BD51}" presName="node" presStyleLbl="node1" presStyleIdx="1" presStyleCnt="7">
        <dgm:presLayoutVars>
          <dgm:bulletEnabled val="1"/>
        </dgm:presLayoutVars>
      </dgm:prSet>
      <dgm:spPr/>
    </dgm:pt>
    <dgm:pt modelId="{362DB266-1942-4272-9E72-96137E66CC1F}" type="pres">
      <dgm:prSet presAssocID="{E712AE6A-61FD-4C58-ACD7-6DB2AA0C1347}" presName="sibTrans" presStyleLbl="sibTrans1D1" presStyleIdx="1" presStyleCnt="6"/>
      <dgm:spPr/>
    </dgm:pt>
    <dgm:pt modelId="{0836E8F8-3957-405A-8134-78CBCBCD042C}" type="pres">
      <dgm:prSet presAssocID="{E712AE6A-61FD-4C58-ACD7-6DB2AA0C1347}" presName="connectorText" presStyleLbl="sibTrans1D1" presStyleIdx="1" presStyleCnt="6"/>
      <dgm:spPr/>
    </dgm:pt>
    <dgm:pt modelId="{70D4FBC6-56AB-4135-A873-A7B1A080626A}" type="pres">
      <dgm:prSet presAssocID="{E0BC160C-3CF3-4082-B8DA-FE620E2F4E87}" presName="node" presStyleLbl="node1" presStyleIdx="2" presStyleCnt="7">
        <dgm:presLayoutVars>
          <dgm:bulletEnabled val="1"/>
        </dgm:presLayoutVars>
      </dgm:prSet>
      <dgm:spPr/>
    </dgm:pt>
    <dgm:pt modelId="{ABF5E464-BC8B-432D-A8AD-B0D75A0A331D}" type="pres">
      <dgm:prSet presAssocID="{BDB0AB58-EE83-4C75-9BB4-4D3D3929A940}" presName="sibTrans" presStyleLbl="sibTrans1D1" presStyleIdx="2" presStyleCnt="6"/>
      <dgm:spPr/>
    </dgm:pt>
    <dgm:pt modelId="{743C21AA-BCF9-4712-91FE-61676B8FA9C9}" type="pres">
      <dgm:prSet presAssocID="{BDB0AB58-EE83-4C75-9BB4-4D3D3929A940}" presName="connectorText" presStyleLbl="sibTrans1D1" presStyleIdx="2" presStyleCnt="6"/>
      <dgm:spPr/>
    </dgm:pt>
    <dgm:pt modelId="{4511A917-A2D6-4B71-BFA1-986E841BEF43}" type="pres">
      <dgm:prSet presAssocID="{6E285796-EBF9-4AF4-9DDB-176FD9F29B10}" presName="node" presStyleLbl="node1" presStyleIdx="3" presStyleCnt="7">
        <dgm:presLayoutVars>
          <dgm:bulletEnabled val="1"/>
        </dgm:presLayoutVars>
      </dgm:prSet>
      <dgm:spPr/>
    </dgm:pt>
    <dgm:pt modelId="{8A6EEFF9-6C5F-41CD-84C0-4E2C290596E6}" type="pres">
      <dgm:prSet presAssocID="{72B77854-D868-40B6-BFF9-9FC4557C28B5}" presName="sibTrans" presStyleLbl="sibTrans1D1" presStyleIdx="3" presStyleCnt="6"/>
      <dgm:spPr/>
    </dgm:pt>
    <dgm:pt modelId="{ED93BDAC-BBCB-440E-94A3-0B0076AC5DAE}" type="pres">
      <dgm:prSet presAssocID="{72B77854-D868-40B6-BFF9-9FC4557C28B5}" presName="connectorText" presStyleLbl="sibTrans1D1" presStyleIdx="3" presStyleCnt="6"/>
      <dgm:spPr/>
    </dgm:pt>
    <dgm:pt modelId="{E46B2AF3-D555-4656-8046-055AF5216C32}" type="pres">
      <dgm:prSet presAssocID="{009B3317-1D5F-458B-8A89-1DAC6F633A2C}" presName="node" presStyleLbl="node1" presStyleIdx="4" presStyleCnt="7" custLinFactY="774" custLinFactNeighborX="1099" custLinFactNeighborY="100000">
        <dgm:presLayoutVars>
          <dgm:bulletEnabled val="1"/>
        </dgm:presLayoutVars>
      </dgm:prSet>
      <dgm:spPr/>
    </dgm:pt>
    <dgm:pt modelId="{CF325CE5-6779-4AB7-84EF-2963B12F7037}" type="pres">
      <dgm:prSet presAssocID="{D88153F3-8DF8-4343-9544-0A3C3BCD4BE9}" presName="sibTrans" presStyleLbl="sibTrans1D1" presStyleIdx="4" presStyleCnt="6"/>
      <dgm:spPr/>
    </dgm:pt>
    <dgm:pt modelId="{5A39FD60-08B9-459A-B154-858FCE93BDBF}" type="pres">
      <dgm:prSet presAssocID="{D88153F3-8DF8-4343-9544-0A3C3BCD4BE9}" presName="connectorText" presStyleLbl="sibTrans1D1" presStyleIdx="4" presStyleCnt="6"/>
      <dgm:spPr/>
    </dgm:pt>
    <dgm:pt modelId="{39328134-8259-43C4-8A8F-3F7140C437A7}" type="pres">
      <dgm:prSet presAssocID="{603F054F-8557-4710-B1BC-D3DC677CE1CB}" presName="node" presStyleLbl="node1" presStyleIdx="5" presStyleCnt="7" custLinFactNeighborY="19239">
        <dgm:presLayoutVars>
          <dgm:bulletEnabled val="1"/>
        </dgm:presLayoutVars>
      </dgm:prSet>
      <dgm:spPr/>
    </dgm:pt>
    <dgm:pt modelId="{B88FBB1B-8E38-45D8-82D1-7D05C73772F4}" type="pres">
      <dgm:prSet presAssocID="{30DC104A-7E2C-4829-84A3-8097FA39A850}" presName="sibTrans" presStyleLbl="sibTrans1D1" presStyleIdx="5" presStyleCnt="6"/>
      <dgm:spPr/>
    </dgm:pt>
    <dgm:pt modelId="{FF317567-1F62-4B6C-B74A-07AB573AC737}" type="pres">
      <dgm:prSet presAssocID="{30DC104A-7E2C-4829-84A3-8097FA39A850}" presName="connectorText" presStyleLbl="sibTrans1D1" presStyleIdx="5" presStyleCnt="6"/>
      <dgm:spPr/>
    </dgm:pt>
    <dgm:pt modelId="{870EDC64-E642-4005-A881-14B6E6B1BA05}" type="pres">
      <dgm:prSet presAssocID="{3FA19A53-B381-4AE3-9301-BE6D1B1BAB47}" presName="node" presStyleLbl="node1" presStyleIdx="6" presStyleCnt="7" custLinFactNeighborX="550" custLinFactNeighborY="14658">
        <dgm:presLayoutVars>
          <dgm:bulletEnabled val="1"/>
        </dgm:presLayoutVars>
      </dgm:prSet>
      <dgm:spPr>
        <a:prstGeom prst="rect">
          <a:avLst/>
        </a:prstGeom>
      </dgm:spPr>
    </dgm:pt>
  </dgm:ptLst>
  <dgm:cxnLst>
    <dgm:cxn modelId="{D223680E-F545-46FF-ADD6-3ED161CBB385}" type="presOf" srcId="{6C28659B-6948-4731-B906-25036B97066E}" destId="{1715CA3C-F942-4831-9810-171E7DB7786E}" srcOrd="1" destOrd="0" presId="urn:microsoft.com/office/officeart/2005/8/layout/bProcess3"/>
    <dgm:cxn modelId="{982BC415-D499-4321-8211-FC35A3DA3E44}" type="presOf" srcId="{30DC104A-7E2C-4829-84A3-8097FA39A850}" destId="{FF317567-1F62-4B6C-B74A-07AB573AC737}" srcOrd="1" destOrd="0" presId="urn:microsoft.com/office/officeart/2005/8/layout/bProcess3"/>
    <dgm:cxn modelId="{CB7A5818-04C3-4B35-8175-F78A0B182D46}" type="presOf" srcId="{E0BC160C-3CF3-4082-B8DA-FE620E2F4E87}" destId="{70D4FBC6-56AB-4135-A873-A7B1A080626A}" srcOrd="0" destOrd="0" presId="urn:microsoft.com/office/officeart/2005/8/layout/bProcess3"/>
    <dgm:cxn modelId="{65D1021F-3CE0-4C07-8884-F3CB34821C14}" type="presOf" srcId="{F84FE694-B5AA-46CB-9E61-BEE4182CF800}" destId="{2B98FF1A-2433-4D6D-BEC0-0DA3A1BDB584}" srcOrd="0" destOrd="0" presId="urn:microsoft.com/office/officeart/2005/8/layout/bProcess3"/>
    <dgm:cxn modelId="{07DB212A-A623-4AA3-B3B7-13191953E0D8}" type="presOf" srcId="{6C28659B-6948-4731-B906-25036B97066E}" destId="{757E317D-C04E-4A4F-8263-A2F48230435F}" srcOrd="0" destOrd="0" presId="urn:microsoft.com/office/officeart/2005/8/layout/bProcess3"/>
    <dgm:cxn modelId="{2E1EAD2B-521B-4735-BEC5-7F865F74984F}" srcId="{F84FE694-B5AA-46CB-9E61-BEE4182CF800}" destId="{009B3317-1D5F-458B-8A89-1DAC6F633A2C}" srcOrd="4" destOrd="0" parTransId="{53D444AD-CBD1-4993-B3D3-7F7AA690E7CD}" sibTransId="{D88153F3-8DF8-4343-9544-0A3C3BCD4BE9}"/>
    <dgm:cxn modelId="{A2440C3B-980F-40FF-A75D-DAE92AC06C84}" type="presOf" srcId="{D88153F3-8DF8-4343-9544-0A3C3BCD4BE9}" destId="{5A39FD60-08B9-459A-B154-858FCE93BDBF}" srcOrd="1" destOrd="0" presId="urn:microsoft.com/office/officeart/2005/8/layout/bProcess3"/>
    <dgm:cxn modelId="{5A4E213E-73BB-4FF2-86C6-48F1AD4A9C9B}" type="presOf" srcId="{4CA6C08E-3265-41B4-AD13-BF4E8B68BD51}" destId="{62DF54D7-006B-42AD-80D6-5AE63F26A60C}" srcOrd="0" destOrd="0" presId="urn:microsoft.com/office/officeart/2005/8/layout/bProcess3"/>
    <dgm:cxn modelId="{523E855F-F63D-4CE6-B844-26E04EDB9896}" type="presOf" srcId="{30DC104A-7E2C-4829-84A3-8097FA39A850}" destId="{B88FBB1B-8E38-45D8-82D1-7D05C73772F4}" srcOrd="0" destOrd="0" presId="urn:microsoft.com/office/officeart/2005/8/layout/bProcess3"/>
    <dgm:cxn modelId="{71A3BC43-1BA7-4815-9650-E4E8B955CDD2}" type="presOf" srcId="{3FA19A53-B381-4AE3-9301-BE6D1B1BAB47}" destId="{870EDC64-E642-4005-A881-14B6E6B1BA05}" srcOrd="0" destOrd="0" presId="urn:microsoft.com/office/officeart/2005/8/layout/bProcess3"/>
    <dgm:cxn modelId="{0334E745-93E0-4656-9E5E-1430716AA730}" srcId="{F84FE694-B5AA-46CB-9E61-BEE4182CF800}" destId="{4CA6C08E-3265-41B4-AD13-BF4E8B68BD51}" srcOrd="1" destOrd="0" parTransId="{7C1FA4B7-0E1E-40B3-BD22-EF3480586E1D}" sibTransId="{E712AE6A-61FD-4C58-ACD7-6DB2AA0C1347}"/>
    <dgm:cxn modelId="{38892466-3268-4681-AEC2-3E9CB8101EF6}" srcId="{F84FE694-B5AA-46CB-9E61-BEE4182CF800}" destId="{3FA19A53-B381-4AE3-9301-BE6D1B1BAB47}" srcOrd="6" destOrd="0" parTransId="{2B6BBA86-B314-483E-B877-DD78703BD48E}" sibTransId="{87D2597A-62A9-4B19-B4E4-07B41F3D804A}"/>
    <dgm:cxn modelId="{6AFAB253-6FBF-4871-B9FF-85B125B0B7C6}" srcId="{F84FE694-B5AA-46CB-9E61-BEE4182CF800}" destId="{6E285796-EBF9-4AF4-9DDB-176FD9F29B10}" srcOrd="3" destOrd="0" parTransId="{CA5A303A-C56C-4586-9789-53A44F248571}" sibTransId="{72B77854-D868-40B6-BFF9-9FC4557C28B5}"/>
    <dgm:cxn modelId="{08F85D75-A510-4B5D-8B75-1C26500C0389}" srcId="{F84FE694-B5AA-46CB-9E61-BEE4182CF800}" destId="{34519CAA-E55E-402B-9847-87800C8EC27B}" srcOrd="0" destOrd="0" parTransId="{DAA56CD5-A2AF-44CF-9C0E-71A51ED55487}" sibTransId="{6C28659B-6948-4731-B906-25036B97066E}"/>
    <dgm:cxn modelId="{271C0C58-95D7-4AC4-A372-8A2161997D44}" type="presOf" srcId="{72B77854-D868-40B6-BFF9-9FC4557C28B5}" destId="{ED93BDAC-BBCB-440E-94A3-0B0076AC5DAE}" srcOrd="1" destOrd="0" presId="urn:microsoft.com/office/officeart/2005/8/layout/bProcess3"/>
    <dgm:cxn modelId="{B35C6880-5E97-4BDE-8122-33A48B211AE5}" type="presOf" srcId="{72B77854-D868-40B6-BFF9-9FC4557C28B5}" destId="{8A6EEFF9-6C5F-41CD-84C0-4E2C290596E6}" srcOrd="0" destOrd="0" presId="urn:microsoft.com/office/officeart/2005/8/layout/bProcess3"/>
    <dgm:cxn modelId="{CE57EA84-A35C-4B3C-9D06-6EB0E1A0B165}" srcId="{F84FE694-B5AA-46CB-9E61-BEE4182CF800}" destId="{E0BC160C-3CF3-4082-B8DA-FE620E2F4E87}" srcOrd="2" destOrd="0" parTransId="{4184C8E6-C0FF-4300-A56D-881EC6A5737F}" sibTransId="{BDB0AB58-EE83-4C75-9BB4-4D3D3929A940}"/>
    <dgm:cxn modelId="{896C0E87-57E9-4027-B71A-353F3783E122}" type="presOf" srcId="{BDB0AB58-EE83-4C75-9BB4-4D3D3929A940}" destId="{ABF5E464-BC8B-432D-A8AD-B0D75A0A331D}" srcOrd="0" destOrd="0" presId="urn:microsoft.com/office/officeart/2005/8/layout/bProcess3"/>
    <dgm:cxn modelId="{E919958B-4A23-4E64-B438-C688EDD1FB3E}" srcId="{F84FE694-B5AA-46CB-9E61-BEE4182CF800}" destId="{603F054F-8557-4710-B1BC-D3DC677CE1CB}" srcOrd="5" destOrd="0" parTransId="{ED8B6EAD-F4BB-419E-861F-BDAFF72580DF}" sibTransId="{30DC104A-7E2C-4829-84A3-8097FA39A850}"/>
    <dgm:cxn modelId="{CB4FA1A9-BD84-4AE7-9F1C-F03F9B6226D1}" type="presOf" srcId="{6E285796-EBF9-4AF4-9DDB-176FD9F29B10}" destId="{4511A917-A2D6-4B71-BFA1-986E841BEF43}" srcOrd="0" destOrd="0" presId="urn:microsoft.com/office/officeart/2005/8/layout/bProcess3"/>
    <dgm:cxn modelId="{E95DCCAD-17E3-4162-B737-38CC82A0D7D0}" type="presOf" srcId="{34519CAA-E55E-402B-9847-87800C8EC27B}" destId="{E84A2706-EC66-4C9F-8EF5-807FDF5716E6}" srcOrd="0" destOrd="0" presId="urn:microsoft.com/office/officeart/2005/8/layout/bProcess3"/>
    <dgm:cxn modelId="{53232FB1-BCCF-4429-8358-D30556F0050E}" type="presOf" srcId="{D88153F3-8DF8-4343-9544-0A3C3BCD4BE9}" destId="{CF325CE5-6779-4AB7-84EF-2963B12F7037}" srcOrd="0" destOrd="0" presId="urn:microsoft.com/office/officeart/2005/8/layout/bProcess3"/>
    <dgm:cxn modelId="{9C6E15BD-2721-4CE7-9D8D-E9F56A65DA3C}" type="presOf" srcId="{BDB0AB58-EE83-4C75-9BB4-4D3D3929A940}" destId="{743C21AA-BCF9-4712-91FE-61676B8FA9C9}" srcOrd="1" destOrd="0" presId="urn:microsoft.com/office/officeart/2005/8/layout/bProcess3"/>
    <dgm:cxn modelId="{0DE465BD-2C96-4F1B-B17A-7128EAE000B1}" type="presOf" srcId="{603F054F-8557-4710-B1BC-D3DC677CE1CB}" destId="{39328134-8259-43C4-8A8F-3F7140C437A7}" srcOrd="0" destOrd="0" presId="urn:microsoft.com/office/officeart/2005/8/layout/bProcess3"/>
    <dgm:cxn modelId="{7C4E13F2-7C63-4159-8E8C-CED7293912AE}" type="presOf" srcId="{009B3317-1D5F-458B-8A89-1DAC6F633A2C}" destId="{E46B2AF3-D555-4656-8046-055AF5216C32}" srcOrd="0" destOrd="0" presId="urn:microsoft.com/office/officeart/2005/8/layout/bProcess3"/>
    <dgm:cxn modelId="{F6DEBEF2-84B6-4BFB-B7F5-4E1F759D831A}" type="presOf" srcId="{E712AE6A-61FD-4C58-ACD7-6DB2AA0C1347}" destId="{362DB266-1942-4272-9E72-96137E66CC1F}" srcOrd="0" destOrd="0" presId="urn:microsoft.com/office/officeart/2005/8/layout/bProcess3"/>
    <dgm:cxn modelId="{E3ABABF4-C503-4F6E-8040-FF362DD9DE98}" type="presOf" srcId="{E712AE6A-61FD-4C58-ACD7-6DB2AA0C1347}" destId="{0836E8F8-3957-405A-8134-78CBCBCD042C}" srcOrd="1" destOrd="0" presId="urn:microsoft.com/office/officeart/2005/8/layout/bProcess3"/>
    <dgm:cxn modelId="{970EAA38-0013-4F7A-AEDD-273A953DC6D1}" type="presParOf" srcId="{2B98FF1A-2433-4D6D-BEC0-0DA3A1BDB584}" destId="{E84A2706-EC66-4C9F-8EF5-807FDF5716E6}" srcOrd="0" destOrd="0" presId="urn:microsoft.com/office/officeart/2005/8/layout/bProcess3"/>
    <dgm:cxn modelId="{8F4B7317-F229-466E-97F8-865C3D82FD05}" type="presParOf" srcId="{2B98FF1A-2433-4D6D-BEC0-0DA3A1BDB584}" destId="{757E317D-C04E-4A4F-8263-A2F48230435F}" srcOrd="1" destOrd="0" presId="urn:microsoft.com/office/officeart/2005/8/layout/bProcess3"/>
    <dgm:cxn modelId="{9B0A8284-59D4-443D-8CEA-08BACE618C38}" type="presParOf" srcId="{757E317D-C04E-4A4F-8263-A2F48230435F}" destId="{1715CA3C-F942-4831-9810-171E7DB7786E}" srcOrd="0" destOrd="0" presId="urn:microsoft.com/office/officeart/2005/8/layout/bProcess3"/>
    <dgm:cxn modelId="{A2310242-30CA-4DA5-9D3D-CC48314CE8CD}" type="presParOf" srcId="{2B98FF1A-2433-4D6D-BEC0-0DA3A1BDB584}" destId="{62DF54D7-006B-42AD-80D6-5AE63F26A60C}" srcOrd="2" destOrd="0" presId="urn:microsoft.com/office/officeart/2005/8/layout/bProcess3"/>
    <dgm:cxn modelId="{053532F6-6797-4235-8DF3-33BFDB8FF997}" type="presParOf" srcId="{2B98FF1A-2433-4D6D-BEC0-0DA3A1BDB584}" destId="{362DB266-1942-4272-9E72-96137E66CC1F}" srcOrd="3" destOrd="0" presId="urn:microsoft.com/office/officeart/2005/8/layout/bProcess3"/>
    <dgm:cxn modelId="{F0014339-36CC-42BD-B54F-0454DF788B37}" type="presParOf" srcId="{362DB266-1942-4272-9E72-96137E66CC1F}" destId="{0836E8F8-3957-405A-8134-78CBCBCD042C}" srcOrd="0" destOrd="0" presId="urn:microsoft.com/office/officeart/2005/8/layout/bProcess3"/>
    <dgm:cxn modelId="{57CEE149-BB8F-45F8-A4A8-D5BE45D73A47}" type="presParOf" srcId="{2B98FF1A-2433-4D6D-BEC0-0DA3A1BDB584}" destId="{70D4FBC6-56AB-4135-A873-A7B1A080626A}" srcOrd="4" destOrd="0" presId="urn:microsoft.com/office/officeart/2005/8/layout/bProcess3"/>
    <dgm:cxn modelId="{C36D2E59-D20F-4E7A-9B42-3B7D709F6D50}" type="presParOf" srcId="{2B98FF1A-2433-4D6D-BEC0-0DA3A1BDB584}" destId="{ABF5E464-BC8B-432D-A8AD-B0D75A0A331D}" srcOrd="5" destOrd="0" presId="urn:microsoft.com/office/officeart/2005/8/layout/bProcess3"/>
    <dgm:cxn modelId="{CA27F929-6314-4DF7-930A-ED83C74B8D66}" type="presParOf" srcId="{ABF5E464-BC8B-432D-A8AD-B0D75A0A331D}" destId="{743C21AA-BCF9-4712-91FE-61676B8FA9C9}" srcOrd="0" destOrd="0" presId="urn:microsoft.com/office/officeart/2005/8/layout/bProcess3"/>
    <dgm:cxn modelId="{FA59A279-4FC0-42B3-B164-64AEE4D70FEA}" type="presParOf" srcId="{2B98FF1A-2433-4D6D-BEC0-0DA3A1BDB584}" destId="{4511A917-A2D6-4B71-BFA1-986E841BEF43}" srcOrd="6" destOrd="0" presId="urn:microsoft.com/office/officeart/2005/8/layout/bProcess3"/>
    <dgm:cxn modelId="{6F3B3533-56A1-45E9-83D3-1CCA90DB8E73}" type="presParOf" srcId="{2B98FF1A-2433-4D6D-BEC0-0DA3A1BDB584}" destId="{8A6EEFF9-6C5F-41CD-84C0-4E2C290596E6}" srcOrd="7" destOrd="0" presId="urn:microsoft.com/office/officeart/2005/8/layout/bProcess3"/>
    <dgm:cxn modelId="{62035D61-DB5A-4CC8-9451-826D523A1038}" type="presParOf" srcId="{8A6EEFF9-6C5F-41CD-84C0-4E2C290596E6}" destId="{ED93BDAC-BBCB-440E-94A3-0B0076AC5DAE}" srcOrd="0" destOrd="0" presId="urn:microsoft.com/office/officeart/2005/8/layout/bProcess3"/>
    <dgm:cxn modelId="{62A85FC9-6C84-4B5F-B47D-C57C1645D764}" type="presParOf" srcId="{2B98FF1A-2433-4D6D-BEC0-0DA3A1BDB584}" destId="{E46B2AF3-D555-4656-8046-055AF5216C32}" srcOrd="8" destOrd="0" presId="urn:microsoft.com/office/officeart/2005/8/layout/bProcess3"/>
    <dgm:cxn modelId="{7983E5DE-A5E6-4198-90C7-E0561A6CDC70}" type="presParOf" srcId="{2B98FF1A-2433-4D6D-BEC0-0DA3A1BDB584}" destId="{CF325CE5-6779-4AB7-84EF-2963B12F7037}" srcOrd="9" destOrd="0" presId="urn:microsoft.com/office/officeart/2005/8/layout/bProcess3"/>
    <dgm:cxn modelId="{54148EEE-B7A2-44B1-98BF-4219740B4E72}" type="presParOf" srcId="{CF325CE5-6779-4AB7-84EF-2963B12F7037}" destId="{5A39FD60-08B9-459A-B154-858FCE93BDBF}" srcOrd="0" destOrd="0" presId="urn:microsoft.com/office/officeart/2005/8/layout/bProcess3"/>
    <dgm:cxn modelId="{59B7C826-98CC-4E36-821D-A03F07686B8D}" type="presParOf" srcId="{2B98FF1A-2433-4D6D-BEC0-0DA3A1BDB584}" destId="{39328134-8259-43C4-8A8F-3F7140C437A7}" srcOrd="10" destOrd="0" presId="urn:microsoft.com/office/officeart/2005/8/layout/bProcess3"/>
    <dgm:cxn modelId="{CFD241CE-5E58-4A82-948A-CE449FA49FEE}" type="presParOf" srcId="{2B98FF1A-2433-4D6D-BEC0-0DA3A1BDB584}" destId="{B88FBB1B-8E38-45D8-82D1-7D05C73772F4}" srcOrd="11" destOrd="0" presId="urn:microsoft.com/office/officeart/2005/8/layout/bProcess3"/>
    <dgm:cxn modelId="{7DDEF926-CEC9-4709-B52A-9AAECFAF6270}" type="presParOf" srcId="{B88FBB1B-8E38-45D8-82D1-7D05C73772F4}" destId="{FF317567-1F62-4B6C-B74A-07AB573AC737}" srcOrd="0" destOrd="0" presId="urn:microsoft.com/office/officeart/2005/8/layout/bProcess3"/>
    <dgm:cxn modelId="{1D25F6C3-8DA2-4163-8901-9C9A429D2707}" type="presParOf" srcId="{2B98FF1A-2433-4D6D-BEC0-0DA3A1BDB584}" destId="{870EDC64-E642-4005-A881-14B6E6B1BA05}" srcOrd="12" destOrd="0" presId="urn:microsoft.com/office/officeart/2005/8/layout/bProcess3"/>
  </dgm:cxnLst>
  <dgm:bg/>
  <dgm:whole/>
  <dgm:extLst>
    <a:ext uri="http://schemas.microsoft.com/office/drawing/2008/diagram">
      <dsp:dataModelExt xmlns:dsp="http://schemas.microsoft.com/office/drawing/2008/diagram" relId="rId3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57E317D-C04E-4A4F-8263-A2F48230435F}">
      <dsp:nvSpPr>
        <dsp:cNvPr id="0" name=""/>
        <dsp:cNvSpPr/>
      </dsp:nvSpPr>
      <dsp:spPr>
        <a:xfrm>
          <a:off x="1157148" y="627388"/>
          <a:ext cx="235100" cy="91440"/>
        </a:xfrm>
        <a:custGeom>
          <a:avLst/>
          <a:gdLst/>
          <a:ahLst/>
          <a:cxnLst/>
          <a:rect l="0" t="0" r="0" b="0"/>
          <a:pathLst>
            <a:path>
              <a:moveTo>
                <a:pt x="0" y="45720"/>
              </a:moveTo>
              <a:lnTo>
                <a:pt x="333188" y="45720"/>
              </a:lnTo>
            </a:path>
          </a:pathLst>
        </a:custGeom>
        <a:noFill/>
        <a:ln w="6350" cap="flat" cmpd="sng" algn="ctr">
          <a:solidFill>
            <a:schemeClr val="accent5">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88900">
            <a:lnSpc>
              <a:spcPct val="90000"/>
            </a:lnSpc>
            <a:spcBef>
              <a:spcPct val="0"/>
            </a:spcBef>
            <a:spcAft>
              <a:spcPct val="35000"/>
            </a:spcAft>
            <a:buNone/>
          </a:pPr>
          <a:endParaRPr lang="es-CO" sz="200" kern="1200">
            <a:solidFill>
              <a:sysClr val="windowText" lastClr="000000">
                <a:hueOff val="0"/>
                <a:satOff val="0"/>
                <a:lumOff val="0"/>
                <a:alphaOff val="0"/>
              </a:sysClr>
            </a:solidFill>
            <a:latin typeface="Calibri" panose="020F0502020204030204"/>
            <a:ea typeface="+mn-ea"/>
            <a:cs typeface="+mn-cs"/>
          </a:endParaRPr>
        </a:p>
      </dsp:txBody>
      <dsp:txXfrm>
        <a:off x="1268056" y="671778"/>
        <a:ext cx="0" cy="0"/>
      </dsp:txXfrm>
    </dsp:sp>
    <dsp:sp modelId="{E84A2706-EC66-4C9F-8EF5-807FDF5716E6}">
      <dsp:nvSpPr>
        <dsp:cNvPr id="0" name=""/>
        <dsp:cNvSpPr/>
      </dsp:nvSpPr>
      <dsp:spPr>
        <a:xfrm>
          <a:off x="3727" y="326542"/>
          <a:ext cx="1155220" cy="693132"/>
        </a:xfrm>
        <a:prstGeom prst="rect">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es-CO" sz="1000" kern="1200">
              <a:latin typeface="Arial" panose="020B0604020202020204" pitchFamily="34" charset="0"/>
              <a:ea typeface="+mn-ea"/>
              <a:cs typeface="Arial" panose="020B0604020202020204" pitchFamily="34" charset="0"/>
            </a:rPr>
            <a:t>Alistamiento</a:t>
          </a:r>
        </a:p>
      </dsp:txBody>
      <dsp:txXfrm>
        <a:off x="3727" y="326542"/>
        <a:ext cx="1155220" cy="693132"/>
      </dsp:txXfrm>
    </dsp:sp>
    <dsp:sp modelId="{362DB266-1942-4272-9E72-96137E66CC1F}">
      <dsp:nvSpPr>
        <dsp:cNvPr id="0" name=""/>
        <dsp:cNvSpPr/>
      </dsp:nvSpPr>
      <dsp:spPr>
        <a:xfrm>
          <a:off x="2578069" y="627388"/>
          <a:ext cx="235100" cy="91440"/>
        </a:xfrm>
        <a:custGeom>
          <a:avLst/>
          <a:gdLst/>
          <a:ahLst/>
          <a:cxnLst/>
          <a:rect l="0" t="0" r="0" b="0"/>
          <a:pathLst>
            <a:path>
              <a:moveTo>
                <a:pt x="0" y="45720"/>
              </a:moveTo>
              <a:lnTo>
                <a:pt x="333188" y="45720"/>
              </a:lnTo>
            </a:path>
          </a:pathLst>
        </a:custGeom>
        <a:noFill/>
        <a:ln w="6350" cap="flat" cmpd="sng" algn="ctr">
          <a:solidFill>
            <a:schemeClr val="accent5">
              <a:hueOff val="-1351709"/>
              <a:satOff val="-3484"/>
              <a:lumOff val="-2353"/>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88900">
            <a:lnSpc>
              <a:spcPct val="90000"/>
            </a:lnSpc>
            <a:spcBef>
              <a:spcPct val="0"/>
            </a:spcBef>
            <a:spcAft>
              <a:spcPct val="35000"/>
            </a:spcAft>
            <a:buNone/>
          </a:pPr>
          <a:endParaRPr lang="es-CO" sz="200" kern="1200">
            <a:solidFill>
              <a:sysClr val="windowText" lastClr="000000">
                <a:hueOff val="0"/>
                <a:satOff val="0"/>
                <a:lumOff val="0"/>
                <a:alphaOff val="0"/>
              </a:sysClr>
            </a:solidFill>
            <a:latin typeface="Calibri" panose="020F0502020204030204"/>
            <a:ea typeface="+mn-ea"/>
            <a:cs typeface="+mn-cs"/>
          </a:endParaRPr>
        </a:p>
      </dsp:txBody>
      <dsp:txXfrm>
        <a:off x="2688977" y="671778"/>
        <a:ext cx="0" cy="0"/>
      </dsp:txXfrm>
    </dsp:sp>
    <dsp:sp modelId="{62DF54D7-006B-42AD-80D6-5AE63F26A60C}">
      <dsp:nvSpPr>
        <dsp:cNvPr id="0" name=""/>
        <dsp:cNvSpPr/>
      </dsp:nvSpPr>
      <dsp:spPr>
        <a:xfrm>
          <a:off x="1424648" y="326542"/>
          <a:ext cx="1155220" cy="693132"/>
        </a:xfrm>
        <a:prstGeom prst="rect">
          <a:avLst/>
        </a:prstGeom>
        <a:solidFill>
          <a:schemeClr val="accent5">
            <a:hueOff val="-1126424"/>
            <a:satOff val="-2903"/>
            <a:lumOff val="-196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56896" rIns="56896" bIns="56896" numCol="1" spcCol="1270" anchor="ctr" anchorCtr="0">
          <a:noAutofit/>
        </a:bodyPr>
        <a:lstStyle/>
        <a:p>
          <a:pPr marL="0" lvl="0" indent="0" algn="ctr" defTabSz="355600">
            <a:lnSpc>
              <a:spcPct val="90000"/>
            </a:lnSpc>
            <a:spcBef>
              <a:spcPct val="0"/>
            </a:spcBef>
            <a:spcAft>
              <a:spcPct val="35000"/>
            </a:spcAft>
            <a:buNone/>
          </a:pPr>
          <a:endParaRPr lang="es-CO" sz="800" kern="1200">
            <a:latin typeface="Arial" panose="020B0604020202020204" pitchFamily="34" charset="0"/>
            <a:ea typeface="+mn-ea"/>
            <a:cs typeface="Arial" panose="020B0604020202020204" pitchFamily="34" charset="0"/>
          </a:endParaRPr>
        </a:p>
        <a:p>
          <a:pPr marL="0" lvl="0" indent="0" algn="ctr" defTabSz="355600">
            <a:lnSpc>
              <a:spcPct val="90000"/>
            </a:lnSpc>
            <a:spcBef>
              <a:spcPct val="0"/>
            </a:spcBef>
            <a:spcAft>
              <a:spcPct val="35000"/>
            </a:spcAft>
            <a:buNone/>
          </a:pPr>
          <a:r>
            <a:rPr lang="es-CO" sz="800" kern="1200">
              <a:latin typeface="Arial" panose="020B0604020202020204" pitchFamily="34" charset="0"/>
              <a:ea typeface="+mn-ea"/>
              <a:cs typeface="Arial" panose="020B0604020202020204" pitchFamily="34" charset="0"/>
            </a:rPr>
            <a:t>Relacionamiento inicial con las comunidades</a:t>
          </a:r>
        </a:p>
        <a:p>
          <a:pPr marL="0" lvl="0" indent="0" algn="ctr" defTabSz="355600">
            <a:lnSpc>
              <a:spcPct val="90000"/>
            </a:lnSpc>
            <a:spcBef>
              <a:spcPct val="0"/>
            </a:spcBef>
            <a:spcAft>
              <a:spcPct val="35000"/>
            </a:spcAft>
            <a:buNone/>
          </a:pPr>
          <a:r>
            <a:rPr lang="es-CO" sz="800" kern="1200">
              <a:latin typeface="Arial" panose="020B0604020202020204" pitchFamily="34" charset="0"/>
              <a:ea typeface="+mn-ea"/>
              <a:cs typeface="Arial" panose="020B0604020202020204" pitchFamily="34" charset="0"/>
            </a:rPr>
            <a:t>. </a:t>
          </a:r>
        </a:p>
      </dsp:txBody>
      <dsp:txXfrm>
        <a:off x="1424648" y="326542"/>
        <a:ext cx="1155220" cy="693132"/>
      </dsp:txXfrm>
    </dsp:sp>
    <dsp:sp modelId="{ABF5E464-BC8B-432D-A8AD-B0D75A0A331D}">
      <dsp:nvSpPr>
        <dsp:cNvPr id="0" name=""/>
        <dsp:cNvSpPr/>
      </dsp:nvSpPr>
      <dsp:spPr>
        <a:xfrm>
          <a:off x="3998991" y="627388"/>
          <a:ext cx="235100" cy="91440"/>
        </a:xfrm>
        <a:custGeom>
          <a:avLst/>
          <a:gdLst/>
          <a:ahLst/>
          <a:cxnLst/>
          <a:rect l="0" t="0" r="0" b="0"/>
          <a:pathLst>
            <a:path>
              <a:moveTo>
                <a:pt x="0" y="45720"/>
              </a:moveTo>
              <a:lnTo>
                <a:pt x="235100" y="45720"/>
              </a:lnTo>
            </a:path>
          </a:pathLst>
        </a:custGeom>
        <a:noFill/>
        <a:ln w="6350" cap="flat" cmpd="sng" algn="ctr">
          <a:solidFill>
            <a:schemeClr val="accent5">
              <a:hueOff val="-2703417"/>
              <a:satOff val="-6968"/>
              <a:lumOff val="-4706"/>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88900">
            <a:lnSpc>
              <a:spcPct val="90000"/>
            </a:lnSpc>
            <a:spcBef>
              <a:spcPct val="0"/>
            </a:spcBef>
            <a:spcAft>
              <a:spcPct val="35000"/>
            </a:spcAft>
            <a:buNone/>
          </a:pPr>
          <a:endParaRPr lang="es-CO" sz="200" kern="1200"/>
        </a:p>
      </dsp:txBody>
      <dsp:txXfrm>
        <a:off x="4109898" y="671778"/>
        <a:ext cx="13285" cy="2659"/>
      </dsp:txXfrm>
    </dsp:sp>
    <dsp:sp modelId="{70D4FBC6-56AB-4135-A873-A7B1A080626A}">
      <dsp:nvSpPr>
        <dsp:cNvPr id="0" name=""/>
        <dsp:cNvSpPr/>
      </dsp:nvSpPr>
      <dsp:spPr>
        <a:xfrm>
          <a:off x="2845570" y="326542"/>
          <a:ext cx="1155220" cy="693132"/>
        </a:xfrm>
        <a:prstGeom prst="rect">
          <a:avLst/>
        </a:prstGeom>
        <a:solidFill>
          <a:schemeClr val="accent5">
            <a:hueOff val="-2252848"/>
            <a:satOff val="-5806"/>
            <a:lumOff val="-392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marL="0" lvl="0" indent="0" algn="ctr" defTabSz="400050">
            <a:lnSpc>
              <a:spcPct val="90000"/>
            </a:lnSpc>
            <a:spcBef>
              <a:spcPct val="0"/>
            </a:spcBef>
            <a:spcAft>
              <a:spcPct val="35000"/>
            </a:spcAft>
            <a:buNone/>
          </a:pPr>
          <a:r>
            <a:rPr lang="es-CO" sz="900" kern="1200">
              <a:latin typeface="Arial" panose="020B0604020202020204" pitchFamily="34" charset="0"/>
              <a:ea typeface="+mn-ea"/>
              <a:cs typeface="Arial" panose="020B0604020202020204" pitchFamily="34" charset="0"/>
            </a:rPr>
            <a:t>Identificación y </a:t>
          </a:r>
          <a:r>
            <a:rPr lang="es-CO" sz="800" kern="1200">
              <a:latin typeface="Arial" panose="020B0604020202020204" pitchFamily="34" charset="0"/>
              <a:ea typeface="+mn-ea"/>
              <a:cs typeface="Arial" panose="020B0604020202020204" pitchFamily="34" charset="0"/>
            </a:rPr>
            <a:t>reconocimiento de las comunidades y sistemas de agua </a:t>
          </a:r>
          <a:r>
            <a:rPr lang="es-CO" sz="900" kern="1200">
              <a:latin typeface="Arial" panose="020B0604020202020204" pitchFamily="34" charset="0"/>
              <a:ea typeface="+mn-ea"/>
              <a:cs typeface="Arial" panose="020B0604020202020204" pitchFamily="34" charset="0"/>
            </a:rPr>
            <a:t>rehabilitados</a:t>
          </a:r>
        </a:p>
      </dsp:txBody>
      <dsp:txXfrm>
        <a:off x="2845570" y="326542"/>
        <a:ext cx="1155220" cy="693132"/>
      </dsp:txXfrm>
    </dsp:sp>
    <dsp:sp modelId="{8A6EEFF9-6C5F-41CD-84C0-4E2C290596E6}">
      <dsp:nvSpPr>
        <dsp:cNvPr id="0" name=""/>
        <dsp:cNvSpPr/>
      </dsp:nvSpPr>
      <dsp:spPr>
        <a:xfrm>
          <a:off x="594033" y="1017874"/>
          <a:ext cx="4250068" cy="561642"/>
        </a:xfrm>
        <a:custGeom>
          <a:avLst/>
          <a:gdLst/>
          <a:ahLst/>
          <a:cxnLst/>
          <a:rect l="0" t="0" r="0" b="0"/>
          <a:pathLst>
            <a:path>
              <a:moveTo>
                <a:pt x="4250068" y="0"/>
              </a:moveTo>
              <a:lnTo>
                <a:pt x="4250068" y="297921"/>
              </a:lnTo>
              <a:lnTo>
                <a:pt x="0" y="297921"/>
              </a:lnTo>
              <a:lnTo>
                <a:pt x="0" y="561642"/>
              </a:lnTo>
            </a:path>
          </a:pathLst>
        </a:custGeom>
        <a:noFill/>
        <a:ln w="6350" cap="flat" cmpd="sng" algn="ctr">
          <a:solidFill>
            <a:schemeClr val="accent5">
              <a:hueOff val="-4055126"/>
              <a:satOff val="-10451"/>
              <a:lumOff val="-7059"/>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88900">
            <a:lnSpc>
              <a:spcPct val="90000"/>
            </a:lnSpc>
            <a:spcBef>
              <a:spcPct val="0"/>
            </a:spcBef>
            <a:spcAft>
              <a:spcPct val="35000"/>
            </a:spcAft>
            <a:buNone/>
          </a:pPr>
          <a:endParaRPr lang="es-CO" sz="200" kern="1200"/>
        </a:p>
      </dsp:txBody>
      <dsp:txXfrm>
        <a:off x="2611789" y="1297366"/>
        <a:ext cx="214556" cy="2659"/>
      </dsp:txXfrm>
    </dsp:sp>
    <dsp:sp modelId="{4511A917-A2D6-4B71-BFA1-986E841BEF43}">
      <dsp:nvSpPr>
        <dsp:cNvPr id="0" name=""/>
        <dsp:cNvSpPr/>
      </dsp:nvSpPr>
      <dsp:spPr>
        <a:xfrm>
          <a:off x="4266491" y="326542"/>
          <a:ext cx="1155220" cy="693132"/>
        </a:xfrm>
        <a:prstGeom prst="rect">
          <a:avLst/>
        </a:prstGeom>
        <a:solidFill>
          <a:schemeClr val="accent5">
            <a:hueOff val="-3379271"/>
            <a:satOff val="-8710"/>
            <a:lumOff val="-588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marL="0" lvl="0" indent="0" algn="ctr" defTabSz="400050">
            <a:lnSpc>
              <a:spcPct val="90000"/>
            </a:lnSpc>
            <a:spcBef>
              <a:spcPct val="0"/>
            </a:spcBef>
            <a:spcAft>
              <a:spcPct val="35000"/>
            </a:spcAft>
            <a:buNone/>
          </a:pPr>
          <a:r>
            <a:rPr lang="es-CO" sz="900" kern="1200">
              <a:latin typeface="Arial" panose="020B0604020202020204" pitchFamily="34" charset="0"/>
              <a:ea typeface="+mn-ea"/>
              <a:cs typeface="Arial" panose="020B0604020202020204" pitchFamily="34" charset="0"/>
            </a:rPr>
            <a:t>Caracterización sobre la organización social para la gestión del agua</a:t>
          </a:r>
        </a:p>
      </dsp:txBody>
      <dsp:txXfrm>
        <a:off x="4266491" y="326542"/>
        <a:ext cx="1155220" cy="693132"/>
      </dsp:txXfrm>
    </dsp:sp>
    <dsp:sp modelId="{CF325CE5-6779-4AB7-84EF-2963B12F7037}">
      <dsp:nvSpPr>
        <dsp:cNvPr id="0" name=""/>
        <dsp:cNvSpPr/>
      </dsp:nvSpPr>
      <dsp:spPr>
        <a:xfrm>
          <a:off x="1169844" y="1765293"/>
          <a:ext cx="222404" cy="193190"/>
        </a:xfrm>
        <a:custGeom>
          <a:avLst/>
          <a:gdLst/>
          <a:ahLst/>
          <a:cxnLst/>
          <a:rect l="0" t="0" r="0" b="0"/>
          <a:pathLst>
            <a:path>
              <a:moveTo>
                <a:pt x="0" y="193190"/>
              </a:moveTo>
              <a:lnTo>
                <a:pt x="128302" y="193190"/>
              </a:lnTo>
              <a:lnTo>
                <a:pt x="128302" y="0"/>
              </a:lnTo>
              <a:lnTo>
                <a:pt x="222404" y="0"/>
              </a:lnTo>
            </a:path>
          </a:pathLst>
        </a:custGeom>
        <a:noFill/>
        <a:ln w="6350" cap="flat" cmpd="sng" algn="ctr">
          <a:solidFill>
            <a:schemeClr val="accent5">
              <a:hueOff val="-5406834"/>
              <a:satOff val="-13935"/>
              <a:lumOff val="-9412"/>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88900">
            <a:lnSpc>
              <a:spcPct val="90000"/>
            </a:lnSpc>
            <a:spcBef>
              <a:spcPct val="0"/>
            </a:spcBef>
            <a:spcAft>
              <a:spcPct val="35000"/>
            </a:spcAft>
            <a:buNone/>
          </a:pPr>
          <a:endParaRPr lang="es-CO" sz="200" kern="1200"/>
        </a:p>
      </dsp:txBody>
      <dsp:txXfrm>
        <a:off x="1273088" y="1860558"/>
        <a:ext cx="15916" cy="2659"/>
      </dsp:txXfrm>
    </dsp:sp>
    <dsp:sp modelId="{E46B2AF3-D555-4656-8046-055AF5216C32}">
      <dsp:nvSpPr>
        <dsp:cNvPr id="0" name=""/>
        <dsp:cNvSpPr/>
      </dsp:nvSpPr>
      <dsp:spPr>
        <a:xfrm>
          <a:off x="16423" y="1611917"/>
          <a:ext cx="1155220" cy="693132"/>
        </a:xfrm>
        <a:prstGeom prst="rect">
          <a:avLst/>
        </a:prstGeom>
        <a:solidFill>
          <a:schemeClr val="accent5">
            <a:hueOff val="-4505695"/>
            <a:satOff val="-11613"/>
            <a:lumOff val="-784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marL="0" lvl="0" indent="0" algn="ctr" defTabSz="400050">
            <a:lnSpc>
              <a:spcPct val="90000"/>
            </a:lnSpc>
            <a:spcBef>
              <a:spcPct val="0"/>
            </a:spcBef>
            <a:spcAft>
              <a:spcPct val="35000"/>
            </a:spcAft>
            <a:buNone/>
          </a:pPr>
          <a:r>
            <a:rPr lang="es-CO" sz="900" kern="1200">
              <a:latin typeface="Arial" panose="020B0604020202020204" pitchFamily="34" charset="0"/>
              <a:ea typeface="+mn-ea"/>
              <a:cs typeface="Arial" panose="020B0604020202020204" pitchFamily="34" charset="0"/>
            </a:rPr>
            <a:t>Plan de Asistencia técnica y fortalecimiento comunitario</a:t>
          </a:r>
        </a:p>
      </dsp:txBody>
      <dsp:txXfrm>
        <a:off x="16423" y="1611917"/>
        <a:ext cx="1155220" cy="693132"/>
      </dsp:txXfrm>
    </dsp:sp>
    <dsp:sp modelId="{B88FBB1B-8E38-45D8-82D1-7D05C73772F4}">
      <dsp:nvSpPr>
        <dsp:cNvPr id="0" name=""/>
        <dsp:cNvSpPr/>
      </dsp:nvSpPr>
      <dsp:spPr>
        <a:xfrm>
          <a:off x="2578069" y="1687820"/>
          <a:ext cx="241454" cy="91440"/>
        </a:xfrm>
        <a:custGeom>
          <a:avLst/>
          <a:gdLst/>
          <a:ahLst/>
          <a:cxnLst/>
          <a:rect l="0" t="0" r="0" b="0"/>
          <a:pathLst>
            <a:path>
              <a:moveTo>
                <a:pt x="0" y="77472"/>
              </a:moveTo>
              <a:lnTo>
                <a:pt x="137827" y="77472"/>
              </a:lnTo>
              <a:lnTo>
                <a:pt x="137827" y="45720"/>
              </a:lnTo>
              <a:lnTo>
                <a:pt x="241454" y="45720"/>
              </a:lnTo>
            </a:path>
          </a:pathLst>
        </a:custGeom>
        <a:noFill/>
        <a:ln w="6350" cap="flat" cmpd="sng" algn="ctr">
          <a:solidFill>
            <a:schemeClr val="accent5">
              <a:hueOff val="-6758543"/>
              <a:satOff val="-17419"/>
              <a:lumOff val="-11765"/>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88900">
            <a:lnSpc>
              <a:spcPct val="90000"/>
            </a:lnSpc>
            <a:spcBef>
              <a:spcPct val="0"/>
            </a:spcBef>
            <a:spcAft>
              <a:spcPct val="35000"/>
            </a:spcAft>
            <a:buNone/>
          </a:pPr>
          <a:endParaRPr lang="es-CO" sz="200" kern="1200"/>
        </a:p>
      </dsp:txBody>
      <dsp:txXfrm>
        <a:off x="2691949" y="1732211"/>
        <a:ext cx="13695" cy="2659"/>
      </dsp:txXfrm>
    </dsp:sp>
    <dsp:sp modelId="{39328134-8259-43C4-8A8F-3F7140C437A7}">
      <dsp:nvSpPr>
        <dsp:cNvPr id="0" name=""/>
        <dsp:cNvSpPr/>
      </dsp:nvSpPr>
      <dsp:spPr>
        <a:xfrm>
          <a:off x="1424648" y="1418727"/>
          <a:ext cx="1155220" cy="693132"/>
        </a:xfrm>
        <a:prstGeom prst="rect">
          <a:avLst/>
        </a:prstGeom>
        <a:solidFill>
          <a:schemeClr val="accent5">
            <a:hueOff val="-5632119"/>
            <a:satOff val="-14516"/>
            <a:lumOff val="-9804"/>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marL="0" lvl="0" indent="0" algn="ctr" defTabSz="400050">
            <a:lnSpc>
              <a:spcPct val="90000"/>
            </a:lnSpc>
            <a:spcBef>
              <a:spcPct val="0"/>
            </a:spcBef>
            <a:spcAft>
              <a:spcPct val="35000"/>
            </a:spcAft>
            <a:buNone/>
          </a:pPr>
          <a:r>
            <a:rPr lang="es-CO" sz="900" kern="1200">
              <a:latin typeface="Arial" panose="020B0604020202020204" pitchFamily="34" charset="0"/>
              <a:ea typeface="+mn-ea"/>
              <a:cs typeface="Arial" panose="020B0604020202020204" pitchFamily="34" charset="0"/>
            </a:rPr>
            <a:t>Implementación de los momentos de fortalecimiento de capacidades</a:t>
          </a:r>
        </a:p>
      </dsp:txBody>
      <dsp:txXfrm>
        <a:off x="1424648" y="1418727"/>
        <a:ext cx="1155220" cy="693132"/>
      </dsp:txXfrm>
    </dsp:sp>
    <dsp:sp modelId="{870EDC64-E642-4005-A881-14B6E6B1BA05}">
      <dsp:nvSpPr>
        <dsp:cNvPr id="0" name=""/>
        <dsp:cNvSpPr/>
      </dsp:nvSpPr>
      <dsp:spPr>
        <a:xfrm>
          <a:off x="2851924" y="1386974"/>
          <a:ext cx="1155220" cy="693132"/>
        </a:xfrm>
        <a:prstGeom prst="rect">
          <a:avLst/>
        </a:prstGeom>
        <a:solidFill>
          <a:schemeClr val="accent5">
            <a:hueOff val="-6758543"/>
            <a:satOff val="-17419"/>
            <a:lumOff val="-1176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marL="0" lvl="0" indent="0" algn="ctr" defTabSz="400050">
            <a:lnSpc>
              <a:spcPct val="90000"/>
            </a:lnSpc>
            <a:spcBef>
              <a:spcPct val="0"/>
            </a:spcBef>
            <a:spcAft>
              <a:spcPct val="35000"/>
            </a:spcAft>
            <a:buNone/>
          </a:pPr>
          <a:r>
            <a:rPr lang="es-CO" sz="900" kern="1200">
              <a:latin typeface="Arial" panose="020B0604020202020204" pitchFamily="34" charset="0"/>
              <a:ea typeface="+mn-ea"/>
              <a:cs typeface="Arial" panose="020B0604020202020204" pitchFamily="34" charset="0"/>
            </a:rPr>
            <a:t>Medición niveles de apropiación y seguimiento </a:t>
          </a:r>
        </a:p>
      </dsp:txBody>
      <dsp:txXfrm>
        <a:off x="2851924" y="1386974"/>
        <a:ext cx="1155220" cy="693132"/>
      </dsp:txXfrm>
    </dsp:sp>
  </dsp:spTree>
</dsp:drawing>
</file>

<file path=word/diagrams/layout1.xml><?xml version="1.0" encoding="utf-8"?>
<dgm:layoutDef xmlns:dgm="http://schemas.openxmlformats.org/drawingml/2006/diagram" xmlns:a="http://schemas.openxmlformats.org/drawingml/2006/main" uniqueId="urn:microsoft.com/office/officeart/2005/8/layout/bProcess3">
  <dgm:title val=""/>
  <dgm:desc val=""/>
  <dgm:catLst>
    <dgm:cat type="process" pri="18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axis="self" func="var" arg="dir" op="equ" val="norm">
        <dgm:alg type="snake">
          <dgm:param type="grDir" val="tL"/>
          <dgm:param type="flowDir" val="row"/>
          <dgm:param type="contDir" val="sameDir"/>
          <dgm:param type="bkpt" val="endCnv"/>
        </dgm:alg>
      </dgm:if>
      <dgm:else name="Name3">
        <dgm:alg type="snake">
          <dgm:param type="grDir" val="tR"/>
          <dgm:param type="flowDir" val="row"/>
          <dgm:param type="contDir" val="same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23"/>
      <dgm:constr type="sp" refType="w" refFor="ch" refForName="sibTrans" op="equ"/>
      <dgm:constr type="userB" for="des" forName="connectorText" refType="sp"/>
      <dgm:constr type="primFontSz" for="ch" ptType="node" op="equ" val="65"/>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ect" r:blip="">
          <dgm:adjLst/>
        </dgm:shape>
        <dgm:presOf axis="desOrSelf" ptType="node"/>
        <dgm:constrLst>
          <dgm:constr type="h" refType="w" fact="0.6"/>
        </dgm:constrLst>
        <dgm:ruleLst>
          <dgm:rule type="primFontSz" val="5" fact="NaN" max="NaN"/>
        </dgm:ruleLst>
      </dgm:layoutNode>
      <dgm:forEach name="sibTransForEach" axis="followSib" ptType="sibTrans" cnt="1">
        <dgm:layoutNode name="sibTrans">
          <dgm:choose name="Name4">
            <dgm:if name="Name5" axis="self" func="var" arg="dir" op="equ" val="norm">
              <dgm:alg type="conn">
                <dgm:param type="connRout" val="bend"/>
                <dgm:param type="dim" val="1D"/>
                <dgm:param type="begPts" val="midR bCtr"/>
                <dgm:param type="endPts" val="midL tCtr"/>
              </dgm:alg>
            </dgm:if>
            <dgm:else name="Name6">
              <dgm:alg type="conn">
                <dgm:param type="connRout" val="bend"/>
                <dgm:param type="dim" val="1D"/>
                <dgm:param type="begPts" val="midL bCtr"/>
                <dgm:param type="endPts" val="midR tCtr"/>
              </dgm:alg>
            </dgm:else>
          </dgm:choose>
          <dgm:shape xmlns:r="http://schemas.openxmlformats.org/officeDocument/2006/relationships" type="conn" r:blip="" zOrderOff="-2">
            <dgm:adjLst/>
          </dgm:shape>
          <dgm:presOf axis="self"/>
          <dgm:constrLst>
            <dgm:constr type="begPad" val="-0.05"/>
            <dgm:constr type="endPad" val="0.9"/>
            <dgm:constr type="userA" for="ch" refType="connDist"/>
          </dgm:constrLst>
          <dgm:ruleLst/>
          <dgm:layoutNode name="connectorText">
            <dgm:alg type="tx">
              <dgm:param type="autoTxRot" val="upr"/>
            </dgm:alg>
            <dgm:shape xmlns:r="http://schemas.openxmlformats.org/officeDocument/2006/relationships" type="rect" r:blip="" hideGeom="1">
              <dgm:adjLst/>
            </dgm:shape>
            <dgm:presOf axis="self"/>
            <dgm:constrLst>
              <dgm:constr type="userA"/>
              <dgm:constr type="userB"/>
              <dgm:constr type="w" refType="userA" fact="0.05"/>
              <dgm:constr type="h" refType="userB" fact="0.01"/>
              <dgm:constr type="lMarg" val="1"/>
              <dgm:constr type="rMarg" val="1"/>
              <dgm:constr type="tMarg"/>
              <dgm:constr type="bMarg"/>
            </dgm:constrLst>
            <dgm:ruleLst>
              <dgm:rule type="w" val="NaN" fact="0.6" max="NaN"/>
              <dgm:rule type="h" val="NaN" fact="0.6" max="NaN"/>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3A25D4E13AA75644A3B17E27AF241808" ma:contentTypeVersion="12" ma:contentTypeDescription="Crear nuevo documento." ma:contentTypeScope="" ma:versionID="761fb89e351b98b54be3c87c9c136046">
  <xsd:schema xmlns:xsd="http://www.w3.org/2001/XMLSchema" xmlns:xs="http://www.w3.org/2001/XMLSchema" xmlns:p="http://schemas.microsoft.com/office/2006/metadata/properties" xmlns:ns2="e160ed59-9bdb-47c4-a83e-e7ddd2d3ecfc" xmlns:ns3="52ef8960-e02b-4856-a657-55e72c926cd1" targetNamespace="http://schemas.microsoft.com/office/2006/metadata/properties" ma:root="true" ma:fieldsID="4de64f9957304595523457006d015c6f" ns2:_="" ns3:_="">
    <xsd:import namespace="e160ed59-9bdb-47c4-a83e-e7ddd2d3ecfc"/>
    <xsd:import namespace="52ef8960-e02b-4856-a657-55e72c926cd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BillingMetadata"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160ed59-9bdb-47c4-a83e-e7ddd2d3ecf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BillingMetadata" ma:index="11" nillable="true" ma:displayName="MediaServiceBillingMetadata" ma:hidden="true" ma:internalName="MediaServiceBilling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lcf76f155ced4ddcb4097134ff3c332f" ma:index="14" nillable="true" ma:taxonomy="true" ma:internalName="lcf76f155ced4ddcb4097134ff3c332f" ma:taxonomyFieldName="MediaServiceImageTags" ma:displayName="Etiquetas de imagen" ma:readOnly="false" ma:fieldId="{5cf76f15-5ced-4ddc-b409-7134ff3c332f}" ma:taxonomyMulti="true" ma:sspId="fbc45cb4-c21a-49bb-988e-5b402dd8a977"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52ef8960-e02b-4856-a657-55e72c926cd1"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8b760af0-db32-4416-8e4e-a31136d5cb41}" ma:internalName="TaxCatchAll" ma:showField="CatchAllData" ma:web="52ef8960-e02b-4856-a657-55e72c926cd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e160ed59-9bdb-47c4-a83e-e7ddd2d3ecfc">
      <Terms xmlns="http://schemas.microsoft.com/office/infopath/2007/PartnerControls"/>
    </lcf76f155ced4ddcb4097134ff3c332f>
    <TaxCatchAll xmlns="52ef8960-e02b-4856-a657-55e72c926cd1"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CFEC472-CA97-4D54-8AB9-18FD076DB8C8}"/>
</file>

<file path=customXml/itemProps2.xml><?xml version="1.0" encoding="utf-8"?>
<ds:datastoreItem xmlns:ds="http://schemas.openxmlformats.org/officeDocument/2006/customXml" ds:itemID="{2FD59C84-92A6-415C-8D7D-843313E8FBEF}">
  <ds:schemaRefs>
    <ds:schemaRef ds:uri="http://schemas.openxmlformats.org/officeDocument/2006/bibliography"/>
  </ds:schemaRefs>
</ds:datastoreItem>
</file>

<file path=customXml/itemProps3.xml><?xml version="1.0" encoding="utf-8"?>
<ds:datastoreItem xmlns:ds="http://schemas.openxmlformats.org/officeDocument/2006/customXml" ds:itemID="{F074D04E-328C-498F-84F3-E73572F41035}">
  <ds:schemaRefs>
    <ds:schemaRef ds:uri="http://schemas.microsoft.com/office/2006/metadata/properties"/>
    <ds:schemaRef ds:uri="http://schemas.microsoft.com/office/infopath/2007/PartnerControls"/>
    <ds:schemaRef ds:uri="ce55621b-d98c-490c-b5e2-38b94512231e"/>
    <ds:schemaRef ds:uri="29f38ae7-f15c-43c4-9fa0-72b79eb0c7a4"/>
  </ds:schemaRefs>
</ds:datastoreItem>
</file>

<file path=customXml/itemProps4.xml><?xml version="1.0" encoding="utf-8"?>
<ds:datastoreItem xmlns:ds="http://schemas.openxmlformats.org/officeDocument/2006/customXml" ds:itemID="{A1A4906C-D48A-43F9-9B1A-8953610F650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241</Pages>
  <Words>71141</Words>
  <Characters>391280</Characters>
  <Application>Microsoft Office Word</Application>
  <DocSecurity>0</DocSecurity>
  <Lines>3260</Lines>
  <Paragraphs>922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461499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Martha Josefina Espejo Barrios</dc:creator>
  <cp:keywords/>
  <dc:description/>
  <cp:lastModifiedBy>Magda Lucia Perez Mosos</cp:lastModifiedBy>
  <cp:revision>4</cp:revision>
  <dcterms:created xsi:type="dcterms:W3CDTF">2026-07-06T19:47:00Z</dcterms:created>
  <dcterms:modified xsi:type="dcterms:W3CDTF">2026-07-06T20:06:00Z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0x0101003A25D4E13AA75644A3B17E27AF241808</vt:lpwstr>
  </property>
  <property fmtid="{D5CDD505-2E9C-101B-9397-08002B2CF9AE}" pid="3" name="MediaServiceImageTags">
    <vt:lpwstr/>
  </property>
</Properties>
</file>